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6073" w:rsidRPr="00F61E2A" w:rsidRDefault="00666073" w:rsidP="00666073">
      <w:pPr>
        <w:spacing w:before="100" w:beforeAutospacing="1" w:after="100" w:afterAutospacing="1" w:line="240" w:lineRule="auto"/>
        <w:outlineLvl w:val="2"/>
        <w:rPr>
          <w:rFonts w:ascii="Segoe UI" w:eastAsia="Times New Roman" w:hAnsi="Segoe UI" w:cs="Segoe UI"/>
          <w:b/>
          <w:bCs/>
          <w:sz w:val="20"/>
          <w:szCs w:val="20"/>
          <w:lang w:eastAsia="en-IN"/>
        </w:rPr>
      </w:pPr>
      <w:r w:rsidRPr="00666073">
        <w:rPr>
          <w:b/>
          <w:lang w:val="en-US"/>
        </w:rPr>
        <w:t xml:space="preserve">NAME </w:t>
      </w:r>
      <w:proofErr w:type="gramStart"/>
      <w:r w:rsidRPr="00666073">
        <w:rPr>
          <w:b/>
          <w:lang w:val="en-US"/>
        </w:rPr>
        <w:t>01 :</w:t>
      </w:r>
      <w:proofErr w:type="gramEnd"/>
      <w:r w:rsidRPr="00666073">
        <w:rPr>
          <w:b/>
          <w:lang w:val="en-US"/>
        </w:rPr>
        <w:t xml:space="preserve"> OASIS</w:t>
      </w:r>
      <w:r>
        <w:rPr>
          <w:lang w:val="en-US"/>
        </w:rPr>
        <w:br/>
      </w:r>
      <w:r w:rsidRPr="00666073">
        <w:rPr>
          <w:b/>
          <w:lang w:val="en-US"/>
        </w:rPr>
        <w:t>NAME 02 :</w:t>
      </w:r>
      <w:r>
        <w:rPr>
          <w:lang w:val="en-US"/>
        </w:rPr>
        <w:t xml:space="preserve"> </w:t>
      </w:r>
      <w:r w:rsidRPr="00F61E2A">
        <w:rPr>
          <w:rFonts w:ascii="Segoe UI" w:eastAsia="Times New Roman" w:hAnsi="Segoe UI" w:cs="Segoe UI"/>
          <w:b/>
          <w:bCs/>
          <w:sz w:val="20"/>
          <w:szCs w:val="20"/>
          <w:lang w:eastAsia="en-IN"/>
        </w:rPr>
        <w:t>Interpreting Hope into Design</w:t>
      </w:r>
    </w:p>
    <w:p w:rsidR="00971C2B" w:rsidRDefault="00971C2B" w:rsidP="00971C2B">
      <w:pPr>
        <w:rPr>
          <w:rFonts w:ascii="Segoe UI" w:eastAsia="Times New Roman" w:hAnsi="Segoe UI" w:cs="Segoe UI"/>
          <w:b/>
          <w:bCs/>
          <w:sz w:val="20"/>
          <w:szCs w:val="20"/>
          <w:lang w:eastAsia="en-IN"/>
        </w:rPr>
      </w:pPr>
      <w:r>
        <w:rPr>
          <w:lang w:val="en-US"/>
        </w:rPr>
        <w:t>Year: 2023</w:t>
      </w:r>
      <w:bookmarkStart w:id="0" w:name="_GoBack"/>
      <w:bookmarkEnd w:id="0"/>
      <w:r>
        <w:rPr>
          <w:lang w:val="en-US"/>
        </w:rPr>
        <w:br/>
        <w:t xml:space="preserve">Location: </w:t>
      </w:r>
      <w:r w:rsidR="00551379">
        <w:rPr>
          <w:lang w:val="en-US"/>
        </w:rPr>
        <w:t>Kozhikode</w:t>
      </w:r>
      <w:r>
        <w:rPr>
          <w:lang w:val="en-US"/>
        </w:rPr>
        <w:t>, Kerala</w:t>
      </w:r>
      <w:r>
        <w:rPr>
          <w:lang w:val="en-US"/>
        </w:rPr>
        <w:br/>
        <w:t xml:space="preserve">Type: Competition </w:t>
      </w:r>
      <w:r>
        <w:rPr>
          <w:lang w:val="en-US"/>
        </w:rPr>
        <w:br/>
        <w:t xml:space="preserve">Status: NA </w:t>
      </w:r>
      <w:r>
        <w:rPr>
          <w:lang w:val="en-US"/>
        </w:rPr>
        <w:br/>
        <w:t xml:space="preserve">Photographers: NA </w:t>
      </w:r>
    </w:p>
    <w:p w:rsidR="00F61E2A" w:rsidRPr="00F61E2A" w:rsidRDefault="00F61E2A" w:rsidP="00F61E2A">
      <w:pPr>
        <w:spacing w:before="100" w:beforeAutospacing="1" w:after="100" w:afterAutospacing="1" w:line="240" w:lineRule="auto"/>
        <w:rPr>
          <w:rFonts w:ascii="Segoe UI" w:eastAsia="Times New Roman" w:hAnsi="Segoe UI" w:cs="Segoe UI"/>
          <w:sz w:val="20"/>
          <w:szCs w:val="20"/>
          <w:lang w:eastAsia="en-IN"/>
        </w:rPr>
      </w:pPr>
      <w:r w:rsidRPr="00F61E2A">
        <w:rPr>
          <w:rFonts w:ascii="Segoe UI" w:eastAsia="Times New Roman" w:hAnsi="Segoe UI" w:cs="Segoe UI"/>
          <w:sz w:val="20"/>
          <w:szCs w:val="20"/>
          <w:lang w:eastAsia="en-IN"/>
        </w:rPr>
        <w:t xml:space="preserve">Hope forms the underlying framework of the project—quiet yet persistent, shaping space, movement, and experience. Rather than being expressed as a singular gesture, hope is interpreted through a constellation of elements: </w:t>
      </w:r>
      <w:r w:rsidRPr="00F61E2A">
        <w:rPr>
          <w:rFonts w:ascii="Segoe UI" w:eastAsia="Times New Roman" w:hAnsi="Segoe UI" w:cs="Segoe UI"/>
          <w:b/>
          <w:bCs/>
          <w:sz w:val="20"/>
          <w:szCs w:val="20"/>
          <w:lang w:eastAsia="en-IN"/>
        </w:rPr>
        <w:t>light, path, nature, and horizon</w:t>
      </w:r>
      <w:r w:rsidRPr="00F61E2A">
        <w:rPr>
          <w:rFonts w:ascii="Segoe UI" w:eastAsia="Times New Roman" w:hAnsi="Segoe UI" w:cs="Segoe UI"/>
          <w:sz w:val="20"/>
          <w:szCs w:val="20"/>
          <w:lang w:eastAsia="en-IN"/>
        </w:rPr>
        <w:t>. Together, they guide the user through a spatial journey that moves from introspection to openness.</w:t>
      </w:r>
    </w:p>
    <w:p w:rsidR="00F61E2A" w:rsidRPr="00F61E2A" w:rsidRDefault="00F61E2A" w:rsidP="00F61E2A">
      <w:pPr>
        <w:spacing w:before="100" w:beforeAutospacing="1" w:after="100" w:afterAutospacing="1" w:line="240" w:lineRule="auto"/>
        <w:rPr>
          <w:rFonts w:ascii="Segoe UI" w:eastAsia="Times New Roman" w:hAnsi="Segoe UI" w:cs="Segoe UI"/>
          <w:sz w:val="20"/>
          <w:szCs w:val="20"/>
          <w:lang w:eastAsia="en-IN"/>
        </w:rPr>
      </w:pPr>
      <w:r w:rsidRPr="00F61E2A">
        <w:rPr>
          <w:rFonts w:ascii="Segoe UI" w:eastAsia="Times New Roman" w:hAnsi="Segoe UI" w:cs="Segoe UI"/>
          <w:sz w:val="20"/>
          <w:szCs w:val="20"/>
          <w:lang w:eastAsia="en-IN"/>
        </w:rPr>
        <w:t>Light becomes an instrument of clarity and direction, gently illuminating movement and moments of pause. Paths are conceived as narratives of progress, guiding users forward—physically and metaphorically—towards collective and individual futures. Nature is woven into the experience as a reminder of resilience and renewal, offering moments of calm, grounding, and continuity. The horizon remains ever-present, framing distant views and symbolising boundless possibility.</w:t>
      </w:r>
    </w:p>
    <w:p w:rsidR="00F61E2A" w:rsidRPr="00F61E2A" w:rsidRDefault="00F61E2A" w:rsidP="00F61E2A">
      <w:pPr>
        <w:spacing w:before="100" w:beforeAutospacing="1" w:after="100" w:afterAutospacing="1" w:line="240" w:lineRule="auto"/>
        <w:rPr>
          <w:rFonts w:ascii="Segoe UI" w:eastAsia="Times New Roman" w:hAnsi="Segoe UI" w:cs="Segoe UI"/>
          <w:sz w:val="20"/>
          <w:szCs w:val="20"/>
          <w:lang w:eastAsia="en-IN"/>
        </w:rPr>
      </w:pPr>
      <w:r w:rsidRPr="00F61E2A">
        <w:rPr>
          <w:rFonts w:ascii="Segoe UI" w:eastAsia="Times New Roman" w:hAnsi="Segoe UI" w:cs="Segoe UI"/>
          <w:sz w:val="20"/>
          <w:szCs w:val="20"/>
          <w:lang w:eastAsia="en-IN"/>
        </w:rPr>
        <w:t xml:space="preserve">At the heart of the design lies a carefully developed </w:t>
      </w:r>
      <w:r w:rsidRPr="00F61E2A">
        <w:rPr>
          <w:rFonts w:ascii="Segoe UI" w:eastAsia="Times New Roman" w:hAnsi="Segoe UI" w:cs="Segoe UI"/>
          <w:b/>
          <w:bCs/>
          <w:sz w:val="20"/>
          <w:szCs w:val="20"/>
          <w:lang w:eastAsia="en-IN"/>
        </w:rPr>
        <w:t>axis</w:t>
      </w:r>
      <w:r w:rsidRPr="00F61E2A">
        <w:rPr>
          <w:rFonts w:ascii="Segoe UI" w:eastAsia="Times New Roman" w:hAnsi="Segoe UI" w:cs="Segoe UI"/>
          <w:sz w:val="20"/>
          <w:szCs w:val="20"/>
          <w:lang w:eastAsia="en-IN"/>
        </w:rPr>
        <w:t>, functioning as the project’s primary spatial and social spine. Defined by the placement of pavilions and recreational spaces, this axis draws people inward, guiding movement while encouraging interaction. Secondary axes emerge organically from existing buildings, intersecting the primary path to form natural points of convergence. These intersections evolve into vibrant social nodes—places of pause, exchange, and shared experience. Strategically placed blocks activate the axis, introducing varied functions that animate the space throughout the day and foster a sense of community.</w:t>
      </w:r>
    </w:p>
    <w:p w:rsidR="00F61E2A" w:rsidRPr="00F61E2A" w:rsidRDefault="00F61E2A" w:rsidP="00F61E2A">
      <w:pPr>
        <w:spacing w:before="100" w:beforeAutospacing="1" w:after="100" w:afterAutospacing="1" w:line="240" w:lineRule="auto"/>
        <w:rPr>
          <w:rFonts w:ascii="Segoe UI" w:eastAsia="Times New Roman" w:hAnsi="Segoe UI" w:cs="Segoe UI"/>
          <w:sz w:val="20"/>
          <w:szCs w:val="20"/>
          <w:lang w:eastAsia="en-IN"/>
        </w:rPr>
      </w:pPr>
      <w:r w:rsidRPr="00F61E2A">
        <w:rPr>
          <w:rFonts w:ascii="Segoe UI" w:eastAsia="Times New Roman" w:hAnsi="Segoe UI" w:cs="Segoe UI"/>
          <w:sz w:val="20"/>
          <w:szCs w:val="20"/>
          <w:lang w:eastAsia="en-IN"/>
        </w:rPr>
        <w:t>The project responds sensitively to its terrain. All built blocks are aligned along existing contours, significantly reducing cut and fill and allowing the architecture to settle gently into the landscape. This approach preserves the site’s natural character while enhancing visual continuity between built and unbuilt realms.</w:t>
      </w:r>
    </w:p>
    <w:p w:rsidR="00F61E2A" w:rsidRPr="00F61E2A" w:rsidRDefault="00F61E2A" w:rsidP="00F61E2A">
      <w:pPr>
        <w:spacing w:before="100" w:beforeAutospacing="1" w:after="100" w:afterAutospacing="1" w:line="240" w:lineRule="auto"/>
        <w:rPr>
          <w:rFonts w:ascii="Segoe UI" w:eastAsia="Times New Roman" w:hAnsi="Segoe UI" w:cs="Segoe UI"/>
          <w:sz w:val="20"/>
          <w:szCs w:val="20"/>
          <w:lang w:eastAsia="en-IN"/>
        </w:rPr>
      </w:pPr>
      <w:r w:rsidRPr="00F61E2A">
        <w:rPr>
          <w:rFonts w:ascii="Segoe UI" w:eastAsia="Times New Roman" w:hAnsi="Segoe UI" w:cs="Segoe UI"/>
          <w:sz w:val="20"/>
          <w:szCs w:val="20"/>
          <w:lang w:eastAsia="en-IN"/>
        </w:rPr>
        <w:t xml:space="preserve">Materiality is restrained yet expressive, drawn from elements that age with dignity and purpose. </w:t>
      </w:r>
      <w:r w:rsidRPr="00F61E2A">
        <w:rPr>
          <w:rFonts w:ascii="Segoe UI" w:eastAsia="Times New Roman" w:hAnsi="Segoe UI" w:cs="Segoe UI"/>
          <w:b/>
          <w:bCs/>
          <w:sz w:val="20"/>
          <w:szCs w:val="20"/>
          <w:lang w:eastAsia="en-IN"/>
        </w:rPr>
        <w:t>Exposed concrete and brick</w:t>
      </w:r>
      <w:r w:rsidRPr="00F61E2A">
        <w:rPr>
          <w:rFonts w:ascii="Segoe UI" w:eastAsia="Times New Roman" w:hAnsi="Segoe UI" w:cs="Segoe UI"/>
          <w:sz w:val="20"/>
          <w:szCs w:val="20"/>
          <w:lang w:eastAsia="en-IN"/>
        </w:rPr>
        <w:t xml:space="preserve"> reflect strength, permanence, and endurance, while </w:t>
      </w:r>
      <w:proofErr w:type="spellStart"/>
      <w:r w:rsidRPr="00F61E2A">
        <w:rPr>
          <w:rFonts w:ascii="Segoe UI" w:eastAsia="Times New Roman" w:hAnsi="Segoe UI" w:cs="Segoe UI"/>
          <w:b/>
          <w:bCs/>
          <w:sz w:val="20"/>
          <w:szCs w:val="20"/>
          <w:lang w:eastAsia="en-IN"/>
        </w:rPr>
        <w:t>ferrocement</w:t>
      </w:r>
      <w:proofErr w:type="spellEnd"/>
      <w:r w:rsidRPr="00F61E2A">
        <w:rPr>
          <w:rFonts w:ascii="Segoe UI" w:eastAsia="Times New Roman" w:hAnsi="Segoe UI" w:cs="Segoe UI"/>
          <w:sz w:val="20"/>
          <w:szCs w:val="20"/>
          <w:lang w:eastAsia="en-IN"/>
        </w:rPr>
        <w:t>—used extensively for pavilion roofs—offers a cost-effective and versatile solution that balances structural efficiency with sculptural expression. Together, the materials speak of resilience, honesty, and time.</w:t>
      </w:r>
    </w:p>
    <w:p w:rsidR="00F61E2A" w:rsidRPr="00F61E2A" w:rsidRDefault="00F61E2A" w:rsidP="00F61E2A">
      <w:pPr>
        <w:spacing w:before="100" w:beforeAutospacing="1" w:after="100" w:afterAutospacing="1" w:line="240" w:lineRule="auto"/>
        <w:rPr>
          <w:rFonts w:ascii="Segoe UI" w:eastAsia="Times New Roman" w:hAnsi="Segoe UI" w:cs="Segoe UI"/>
          <w:sz w:val="20"/>
          <w:szCs w:val="20"/>
          <w:lang w:eastAsia="en-IN"/>
        </w:rPr>
      </w:pPr>
      <w:r w:rsidRPr="00F61E2A">
        <w:rPr>
          <w:rFonts w:ascii="Segoe UI" w:eastAsia="Times New Roman" w:hAnsi="Segoe UI" w:cs="Segoe UI"/>
          <w:sz w:val="20"/>
          <w:szCs w:val="20"/>
          <w:lang w:eastAsia="en-IN"/>
        </w:rPr>
        <w:t xml:space="preserve">Anchoring the axis are three pavilions—the </w:t>
      </w:r>
      <w:r w:rsidRPr="00F61E2A">
        <w:rPr>
          <w:rFonts w:ascii="Segoe UI" w:eastAsia="Times New Roman" w:hAnsi="Segoe UI" w:cs="Segoe UI"/>
          <w:b/>
          <w:bCs/>
          <w:sz w:val="20"/>
          <w:szCs w:val="20"/>
          <w:lang w:eastAsia="en-IN"/>
        </w:rPr>
        <w:t>Entry, Community, and Spiritual Pavilions</w:t>
      </w:r>
      <w:r w:rsidRPr="00F61E2A">
        <w:rPr>
          <w:rFonts w:ascii="Segoe UI" w:eastAsia="Times New Roman" w:hAnsi="Segoe UI" w:cs="Segoe UI"/>
          <w:sz w:val="20"/>
          <w:szCs w:val="20"/>
          <w:lang w:eastAsia="en-IN"/>
        </w:rPr>
        <w:t>—each conceived as a quiet beacon of hope. The Entry Pavilion unfolds like an amphitheatre, welcoming and gathering. The Community Pavilion fosters interaction and collective engagement, while the Spiritual Pavilion offers an intimate space for reflection and inward pause. Unified by a single source of light opening toward the sky, these structures establish a symbolic connection to the larger universe—inviting contemplation, renewal, and a sense of belonging.</w:t>
      </w:r>
    </w:p>
    <w:p w:rsidR="00F61E2A" w:rsidRPr="00F61E2A" w:rsidRDefault="00F61E2A" w:rsidP="00F61E2A">
      <w:pPr>
        <w:spacing w:before="100" w:beforeAutospacing="1" w:after="100" w:afterAutospacing="1" w:line="240" w:lineRule="auto"/>
        <w:rPr>
          <w:rFonts w:ascii="Segoe UI" w:eastAsia="Times New Roman" w:hAnsi="Segoe UI" w:cs="Segoe UI"/>
          <w:sz w:val="20"/>
          <w:szCs w:val="20"/>
          <w:lang w:eastAsia="en-IN"/>
        </w:rPr>
      </w:pPr>
      <w:r w:rsidRPr="00F61E2A">
        <w:rPr>
          <w:rFonts w:ascii="Segoe UI" w:eastAsia="Times New Roman" w:hAnsi="Segoe UI" w:cs="Segoe UI"/>
          <w:sz w:val="20"/>
          <w:szCs w:val="20"/>
          <w:lang w:eastAsia="en-IN"/>
        </w:rPr>
        <w:t>Through minimal intervention and thoughtful orchestration of space, the project translates hope into architecture—</w:t>
      </w:r>
      <w:r w:rsidRPr="00F61E2A">
        <w:rPr>
          <w:rFonts w:ascii="Segoe UI" w:eastAsia="Times New Roman" w:hAnsi="Segoe UI" w:cs="Segoe UI"/>
          <w:b/>
          <w:bCs/>
          <w:sz w:val="20"/>
          <w:szCs w:val="20"/>
          <w:lang w:eastAsia="en-IN"/>
        </w:rPr>
        <w:t>not as an object, but as an experience</w:t>
      </w:r>
      <w:r w:rsidRPr="00F61E2A">
        <w:rPr>
          <w:rFonts w:ascii="Segoe UI" w:eastAsia="Times New Roman" w:hAnsi="Segoe UI" w:cs="Segoe UI"/>
          <w:sz w:val="20"/>
          <w:szCs w:val="20"/>
          <w:lang w:eastAsia="en-IN"/>
        </w:rPr>
        <w:t>, unfolding through movement, light, landscape, and time.</w:t>
      </w:r>
    </w:p>
    <w:p w:rsidR="000F707D" w:rsidRPr="00F61E2A" w:rsidRDefault="00666073">
      <w:pPr>
        <w:rPr>
          <w:rFonts w:ascii="Segoe UI" w:hAnsi="Segoe UI" w:cs="Segoe UI"/>
          <w:sz w:val="20"/>
          <w:szCs w:val="20"/>
        </w:rPr>
      </w:pPr>
    </w:p>
    <w:sectPr w:rsidR="000F707D" w:rsidRPr="00F61E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E2A"/>
    <w:rsid w:val="000A1DB9"/>
    <w:rsid w:val="00551379"/>
    <w:rsid w:val="00666073"/>
    <w:rsid w:val="00971C2B"/>
    <w:rsid w:val="00EE71DC"/>
    <w:rsid w:val="00F61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E4038D-9F9C-48B2-ACDD-82EE713C7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61E2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61E2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61E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61E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9119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Karthik</dc:creator>
  <cp:keywords/>
  <dc:description/>
  <cp:lastModifiedBy>Aswin Karthik</cp:lastModifiedBy>
  <cp:revision>5</cp:revision>
  <dcterms:created xsi:type="dcterms:W3CDTF">2026-01-29T10:11:00Z</dcterms:created>
  <dcterms:modified xsi:type="dcterms:W3CDTF">2026-03-15T01:52:00Z</dcterms:modified>
</cp:coreProperties>
</file>