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F4761"/>
          <w:sz w:val="28"/>
        </w:rPr>
        <w:t>HART RAILROAD</w:t>
      </w:r>
    </w:p>
    <w:p>
      <w:pPr>
        <w:spacing w:before="0" w:after="40"/>
        <w:jc w:val="center"/>
      </w:pPr>
      <w:r>
        <w:rPr>
          <w:rFonts w:ascii="Georgia" w:hAnsi="Georgia"/>
          <w:b w:val="0"/>
          <w:color w:val="4A4A4A"/>
          <w:sz w:val="20"/>
        </w:rPr>
        <w:t>Pittsburgh &amp; Chartiers Valley Division  ·  Neville Island Operations</w:t>
      </w:r>
    </w:p>
    <w:p>
      <w:pPr>
        <w:spacing w:before="120" w:after="200"/>
        <w:jc w:val="center"/>
      </w:pPr>
      <w:r>
        <w:rPr>
          <w:rFonts w:ascii="Georgia" w:hAnsi="Georgia"/>
          <w:b/>
          <w:color w:val="0F4761"/>
          <w:sz w:val="36"/>
        </w:rPr>
        <w:t>Station Map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93623" cy="786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map_subdiv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623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936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color w:val="4A4A4A"/>
        <w:sz w:val="15"/>
      </w:rPr>
      <w:t>Office of the Superintendent · Neville Island Operations  ·  Publication SM-01  ·  Effective 21 July 2026  ·  Revision A  ·  Official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