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77EF5">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Discussion</w:t>
      </w:r>
    </w:p>
    <w:p w14:paraId="3D9E3661">
      <w:pPr>
        <w:pStyle w:val="2"/>
        <w:keepNext w:val="0"/>
        <w:keepLines w:val="0"/>
        <w:widowControl/>
        <w:suppressLineNumbers w:val="0"/>
        <w:spacing w:before="0" w:beforeAutospacing="0" w:after="0" w:afterAutospacing="0"/>
        <w:ind w:left="0" w:right="0" w:firstLine="0"/>
        <w:rPr>
          <w:rFonts w:hint="default" w:ascii="微软雅黑" w:hAnsi="微软雅黑" w:eastAsia="微软雅黑" w:cs="微软雅黑"/>
          <w:b w:val="0"/>
          <w:bCs w:val="0"/>
          <w:sz w:val="13"/>
          <w:szCs w:val="13"/>
          <w:lang w:val="en-US" w:eastAsia="zh-CN"/>
        </w:rPr>
      </w:pPr>
      <w:r>
        <w:rPr>
          <w:rFonts w:hint="eastAsia" w:ascii="微软雅黑" w:hAnsi="微软雅黑" w:eastAsia="微软雅黑" w:cs="微软雅黑"/>
          <w:sz w:val="13"/>
          <w:szCs w:val="13"/>
          <w:lang w:val="en-US" w:eastAsia="zh-CN"/>
        </w:rPr>
        <w:t>在这项回顾性研究中，手术治疗组的中性粒细胞(NEUT)和D-二聚体(D-D)水平显著高于保守治疗组，而血小板和小肠动、静脉期CT值的水平则显著低于保守治疗组(所有p值均&lt;0.001)，这与肠梗阻的病理机制相符合。</w:t>
      </w:r>
      <w:r>
        <w:rPr>
          <w:rFonts w:hint="eastAsia" w:ascii="微软雅黑" w:hAnsi="微软雅黑" w:eastAsia="微软雅黑" w:cs="微软雅黑"/>
          <w:b w:val="0"/>
          <w:bCs w:val="0"/>
          <w:sz w:val="13"/>
          <w:szCs w:val="13"/>
        </w:rPr>
        <w:t>复杂性肠梗阻</w:t>
      </w:r>
      <w:r>
        <w:rPr>
          <w:rFonts w:hint="eastAsia" w:ascii="微软雅黑" w:hAnsi="微软雅黑" w:eastAsia="微软雅黑" w:cs="微软雅黑"/>
          <w:b w:val="0"/>
          <w:bCs w:val="0"/>
          <w:sz w:val="13"/>
          <w:szCs w:val="13"/>
          <w:lang w:val="en-US" w:eastAsia="zh-CN"/>
        </w:rPr>
        <w:t>常</w:t>
      </w:r>
      <w:r>
        <w:rPr>
          <w:rFonts w:hint="eastAsia" w:ascii="微软雅黑" w:hAnsi="微软雅黑" w:eastAsia="微软雅黑" w:cs="微软雅黑"/>
          <w:b w:val="0"/>
          <w:bCs w:val="0"/>
          <w:sz w:val="13"/>
          <w:szCs w:val="13"/>
        </w:rPr>
        <w:t>伴有并发症</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如肠绞窄</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这种情况下，肠道阻塞导致静脉回流受限</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引发初期的静脉性缺血和肠壁水肿</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随着病情进展，动脉血流也受到影响，导致更严重的缺血性损伤</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rPr>
        <w:t>最终引起肠道缺血、</w:t>
      </w:r>
      <w:r>
        <w:rPr>
          <w:rFonts w:hint="eastAsia" w:ascii="微软雅黑" w:hAnsi="微软雅黑" w:eastAsia="微软雅黑" w:cs="微软雅黑"/>
          <w:b w:val="0"/>
          <w:bCs w:val="0"/>
          <w:sz w:val="13"/>
          <w:szCs w:val="13"/>
          <w:lang w:val="en-US" w:eastAsia="zh-CN"/>
        </w:rPr>
        <w:t>肠</w:t>
      </w:r>
      <w:r>
        <w:rPr>
          <w:rFonts w:hint="eastAsia" w:ascii="微软雅黑" w:hAnsi="微软雅黑" w:eastAsia="微软雅黑" w:cs="微软雅黑"/>
          <w:b w:val="0"/>
          <w:bCs w:val="0"/>
          <w:sz w:val="13"/>
          <w:szCs w:val="13"/>
        </w:rPr>
        <w:t>坏死和腹膜炎</w:t>
      </w:r>
      <w:r>
        <w:rPr>
          <w:rFonts w:hint="eastAsia" w:ascii="微软雅黑" w:hAnsi="微软雅黑" w:eastAsia="微软雅黑" w:cs="微软雅黑"/>
          <w:b w:val="0"/>
          <w:bCs w:val="0"/>
          <w:sz w:val="13"/>
          <w:szCs w:val="13"/>
        </w:rPr>
        <w:fldChar w:fldCharType="begin"/>
      </w:r>
      <w:r>
        <w:rPr>
          <w:rFonts w:hint="eastAsia" w:ascii="微软雅黑" w:hAnsi="微软雅黑" w:eastAsia="微软雅黑" w:cs="微软雅黑"/>
          <w:b w:val="0"/>
          <w:bCs w:val="0"/>
          <w:sz w:val="13"/>
          <w:szCs w:val="13"/>
          <w:lang w:eastAsia="zh-CN"/>
        </w:rPr>
        <w:instrText xml:space="preserve"> ADDIN EN.CITE </w:instrText>
      </w:r>
      <w:r>
        <w:rPr>
          <w:rFonts w:hint="eastAsia" w:ascii="微软雅黑" w:hAnsi="微软雅黑" w:eastAsia="微软雅黑" w:cs="微软雅黑"/>
          <w:b w:val="0"/>
          <w:bCs w:val="0"/>
          <w:sz w:val="13"/>
          <w:szCs w:val="13"/>
          <w:lang w:eastAsia="zh-CN"/>
        </w:rPr>
        <w:fldChar w:fldCharType="begin">
          <w:fldData xml:space="preserve">PEVuZE5vdGU+PENpdGU+PEF1dGhvcj5TY2FnbGlvbmU8L0F1dGhvcj48WWVhcj4yMDIyPC9ZZWFy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</w:fldData>
        </w:fldChar>
      </w:r>
      <w:r>
        <w:rPr>
          <w:rFonts w:hint="eastAsia" w:ascii="微软雅黑" w:hAnsi="微软雅黑" w:eastAsia="微软雅黑" w:cs="微软雅黑"/>
          <w:b w:val="0"/>
          <w:bCs w:val="0"/>
          <w:sz w:val="13"/>
          <w:szCs w:val="13"/>
          <w:lang w:eastAsia="zh-CN"/>
        </w:rPr>
        <w:instrText xml:space="preserve"> ADDIN EN.CITE.DATA </w:instrText>
      </w:r>
      <w:r>
        <w:rPr>
          <w:rFonts w:hint="eastAsia" w:ascii="微软雅黑" w:hAnsi="微软雅黑" w:eastAsia="微软雅黑" w:cs="微软雅黑"/>
          <w:b w:val="0"/>
          <w:bCs w:val="0"/>
          <w:sz w:val="13"/>
          <w:szCs w:val="13"/>
          <w:lang w:eastAsia="zh-CN"/>
        </w:rPr>
        <w:fldChar w:fldCharType="separate"/>
      </w:r>
      <w:r>
        <w:rPr>
          <w:rFonts w:hint="eastAsia" w:ascii="微软雅黑" w:hAnsi="微软雅黑" w:eastAsia="微软雅黑" w:cs="微软雅黑"/>
          <w:b w:val="0"/>
          <w:bCs w:val="0"/>
          <w:sz w:val="13"/>
          <w:szCs w:val="13"/>
          <w:lang w:eastAsia="zh-CN"/>
        </w:rPr>
        <w:fldChar w:fldCharType="end"/>
      </w:r>
      <w:r>
        <w:rPr>
          <w:rFonts w:hint="eastAsia" w:ascii="微软雅黑" w:hAnsi="微软雅黑" w:eastAsia="微软雅黑" w:cs="微软雅黑"/>
          <w:b w:val="0"/>
          <w:bCs w:val="0"/>
          <w:sz w:val="13"/>
          <w:szCs w:val="13"/>
        </w:rPr>
        <w:fldChar w:fldCharType="separate"/>
      </w:r>
      <w:r>
        <w:rPr>
          <w:rFonts w:hint="eastAsia" w:ascii="微软雅黑" w:hAnsi="微软雅黑" w:eastAsia="微软雅黑" w:cs="微软雅黑"/>
          <w:b w:val="0"/>
          <w:bCs w:val="0"/>
          <w:kern w:val="0"/>
          <w:sz w:val="13"/>
          <w:szCs w:val="13"/>
          <w:lang w:val="en-US" w:eastAsia="zh-CN" w:bidi="ar"/>
        </w:rPr>
        <w:t>[1]</w:t>
      </w:r>
      <w:r>
        <w:rPr>
          <w:rFonts w:hint="eastAsia" w:ascii="微软雅黑" w:hAnsi="微软雅黑" w:eastAsia="微软雅黑" w:cs="微软雅黑"/>
          <w:b w:val="0"/>
          <w:bCs w:val="0"/>
          <w:sz w:val="13"/>
          <w:szCs w:val="13"/>
        </w:rPr>
        <w:fldChar w:fldCharType="end"/>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肠梗阻可以继发肠缺血，</w:t>
      </w:r>
      <w:r>
        <w:rPr>
          <w:rFonts w:hint="eastAsia" w:ascii="微软雅黑" w:hAnsi="微软雅黑" w:eastAsia="微软雅黑" w:cs="微软雅黑"/>
          <w:b w:val="0"/>
          <w:bCs w:val="0"/>
          <w:sz w:val="13"/>
          <w:szCs w:val="13"/>
          <w:lang w:eastAsia="zh-CN"/>
        </w:rPr>
        <w:t>肠缺血也可以</w:t>
      </w:r>
      <w:r>
        <w:rPr>
          <w:rFonts w:hint="eastAsia" w:ascii="微软雅黑" w:hAnsi="微软雅黑" w:eastAsia="微软雅黑" w:cs="微软雅黑"/>
          <w:b w:val="0"/>
          <w:bCs w:val="0"/>
          <w:sz w:val="13"/>
          <w:szCs w:val="13"/>
          <w:lang w:val="en-US" w:eastAsia="zh-CN"/>
        </w:rPr>
        <w:t>加重肠梗阻</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静脉</w:t>
      </w:r>
      <w:r>
        <w:rPr>
          <w:rFonts w:hint="eastAsia" w:ascii="微软雅黑" w:hAnsi="微软雅黑" w:eastAsia="微软雅黑" w:cs="微软雅黑"/>
          <w:b w:val="0"/>
          <w:bCs w:val="0"/>
          <w:sz w:val="13"/>
          <w:szCs w:val="13"/>
          <w:lang w:eastAsia="zh-CN"/>
        </w:rPr>
        <w:t>缺血的肠段可</w:t>
      </w:r>
      <w:r>
        <w:rPr>
          <w:rFonts w:hint="eastAsia" w:ascii="微软雅黑" w:hAnsi="微软雅黑" w:eastAsia="微软雅黑" w:cs="微软雅黑"/>
          <w:b w:val="0"/>
          <w:bCs w:val="0"/>
          <w:sz w:val="13"/>
          <w:szCs w:val="13"/>
          <w:lang w:val="en-US" w:eastAsia="zh-CN"/>
        </w:rPr>
        <w:t>以出现肠壁水肿</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加重肠梗阻甚至肠黏膜屏障功能受损</w:t>
      </w:r>
      <w:r>
        <w:rPr>
          <w:rFonts w:hint="eastAsia" w:ascii="微软雅黑" w:hAnsi="微软雅黑" w:eastAsia="微软雅黑" w:cs="微软雅黑"/>
          <w:b w:val="0"/>
          <w:bCs w:val="0"/>
          <w:sz w:val="13"/>
          <w:szCs w:val="13"/>
          <w:lang w:eastAsia="zh-CN"/>
        </w:rPr>
        <w:t>，</w:t>
      </w:r>
      <w:r>
        <w:rPr>
          <w:rFonts w:hint="eastAsia" w:ascii="微软雅黑" w:hAnsi="微软雅黑" w:eastAsia="微软雅黑" w:cs="微软雅黑"/>
          <w:b w:val="0"/>
          <w:bCs w:val="0"/>
          <w:sz w:val="13"/>
          <w:szCs w:val="13"/>
          <w:lang w:val="en-US" w:eastAsia="zh-CN"/>
        </w:rPr>
        <w:t>肠道菌群移位，肥大细胞和巨噬细胞在肠梗阻中的激活和介质释放显著增加了肠道上皮和血管的通透性，导致细菌和毒素入侵及促炎因子的产生，从而引发局部和系统性炎症反应</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&lt;EndNote&gt;&lt;Cite&gt;&lt;Author&gt;Buscail&lt;/Author&gt;&lt;Year&gt;2022&lt;/Year&gt;&lt;RecNum&gt;16&lt;/RecNum&gt;&lt;DisplayText&gt;[2]&lt;/DisplayText&gt;&lt;record&gt;&lt;rec-number&gt;16&lt;/rec-number&gt;&lt;foreign-keys&gt;&lt;key app="EN" db-id="p9svxrsw7rxpabe55zhpttarwz0p9v92zf22" timestamp="1720601071"&gt;16&lt;/key&gt;&lt;/foreign-keys&gt;&lt;ref-type name="Journal Article"&gt;17&lt;/ref-type&gt;&lt;contributors&gt;&lt;authors&gt;&lt;author&gt;Buscail, E.&lt;/author&gt;&lt;author&gt;Deraison, C.&lt;/author&gt;&lt;/authors&gt;&lt;/contributors&gt;&lt;auth-address&gt;IRSD, INSERM, INRAE, ENVT, University of Toulouse, CHU Purpan (University Hospital Centre), Toulouse, France.&amp;#xD;Department of Digestive Surgery, Colorectal Surgery Unit, Toulouse University Hospital, Toulouse, France.&lt;/auth-address&gt;&lt;titles&gt;&lt;title&gt;Postoperative ileus: A pharmacological perspective&lt;/title&gt;&lt;secondary-title&gt;Br J Pharmacol&lt;/secondary-title&gt;&lt;/titles&gt;&lt;periodical&gt;&lt;full-title&gt;Br J Pharmacol&lt;/full-title&gt;&lt;/periodical&gt;&lt;pages&gt;3283-3305&lt;/pages&gt;&lt;volume&gt;179&lt;/volume&gt;&lt;number&gt;13&lt;/number&gt;&lt;edition&gt;20220215&lt;/edition&gt;&lt;keywords&gt;&lt;keyword&gt;Analgesics, Opioid/therapeutic use&lt;/keyword&gt;&lt;keyword&gt;Humans&lt;/keyword&gt;&lt;keyword&gt;*Ileus/drug therapy/etiology&lt;/keyword&gt;&lt;keyword&gt;Postoperative Complications/drug therapy/etiology&lt;/keyword&gt;&lt;keyword&gt;Risk Factors&lt;/keyword&gt;&lt;keyword&gt;gastrointestinal&lt;/keyword&gt;&lt;keyword&gt;inflammation&lt;/keyword&gt;&lt;keyword&gt;postoperative ileus&lt;/keyword&gt;&lt;keyword&gt;surgery&lt;/keyword&gt;&lt;/keywords&gt;&lt;dates&gt;&lt;year&gt;2022&lt;/year&gt;&lt;pub-dates&gt;&lt;date&gt;Jul&lt;/date&gt;&lt;/pub-dates&gt;&lt;/dates&gt;&lt;isbn&gt;1476-5381 (Electronic)&amp;#xD;0007-1188 (Linking)&lt;/isbn&gt;&lt;accession-num&gt;35048360&lt;/accession-num&gt;&lt;urls&gt;&lt;related-urls&gt;&lt;url&gt;https://www.ncbi.nlm.nih.gov/pubmed/35048360&lt;/url&gt;&lt;/related-urls&gt;&lt;/urls&gt;&lt;electronic-resource-num&gt;10.1111/bph.15800&lt;/electronic-resource-num&gt;&lt;remote-database-name&gt;Medline&lt;/remote-database-name&gt;&lt;remote-database-provider&gt;NLM&lt;/remote-database-provider&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0"/>
          <w:sz w:val="13"/>
          <w:szCs w:val="13"/>
          <w:lang w:val="en-US" w:eastAsia="zh-CN" w:bidi="ar"/>
        </w:rPr>
        <w:t>[2]</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。中性粒细胞与淋巴细胞比率（</w:t>
      </w:r>
      <w:r>
        <w:rPr>
          <w:rFonts w:hint="default" w:ascii="微软雅黑" w:hAnsi="微软雅黑" w:eastAsia="微软雅黑" w:cs="微软雅黑"/>
          <w:b w:val="0"/>
          <w:bCs w:val="0"/>
          <w:sz w:val="13"/>
          <w:szCs w:val="13"/>
          <w:lang w:val="en-US" w:eastAsia="zh-CN"/>
        </w:rPr>
        <w:t>NLR</w:t>
      </w:r>
      <w:r>
        <w:rPr>
          <w:rFonts w:hint="eastAsia" w:ascii="微软雅黑" w:hAnsi="微软雅黑" w:eastAsia="微软雅黑" w:cs="微软雅黑"/>
          <w:b w:val="0"/>
          <w:bCs w:val="0"/>
          <w:sz w:val="13"/>
          <w:szCs w:val="13"/>
          <w:lang w:val="en-US" w:eastAsia="zh-CN"/>
        </w:rPr>
        <w:t>）</w:t>
      </w:r>
      <w:r>
        <w:rPr>
          <w:rFonts w:hint="default" w:ascii="微软雅黑" w:hAnsi="微软雅黑" w:eastAsia="微软雅黑" w:cs="微软雅黑"/>
          <w:b w:val="0"/>
          <w:bCs w:val="0"/>
          <w:sz w:val="13"/>
          <w:szCs w:val="13"/>
          <w:lang w:val="en-US" w:eastAsia="zh-CN"/>
        </w:rPr>
        <w:t>较高的患者与更长的住院时间、并发症发展、需要二次手术以及死亡率增加有显著相关性</w:t>
      </w:r>
      <w:r>
        <w:rPr>
          <w:rFonts w:hint="eastAsia" w:ascii="微软雅黑" w:hAnsi="微软雅黑" w:eastAsia="微软雅黑" w:cs="微软雅黑"/>
          <w:b w:val="0"/>
          <w:bCs w:val="0"/>
          <w:sz w:val="13"/>
          <w:szCs w:val="13"/>
          <w:lang w:val="en-US" w:eastAsia="zh-CN"/>
        </w:rPr>
        <w:t>，并且</w:t>
      </w:r>
      <w:r>
        <w:rPr>
          <w:rFonts w:hint="default" w:ascii="微软雅黑" w:hAnsi="微软雅黑" w:eastAsia="微软雅黑" w:cs="微软雅黑"/>
          <w:b w:val="0"/>
          <w:bCs w:val="0"/>
          <w:sz w:val="13"/>
          <w:szCs w:val="13"/>
          <w:lang w:val="en-US" w:eastAsia="zh-CN"/>
        </w:rPr>
        <w:t>NLR值高于7.48的患者死亡风险显著增加（p=0.003）</w:t>
      </w:r>
      <w:r>
        <w:rPr>
          <w:rFonts w:hint="default"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&lt;EndNote&gt;&lt;Cite&gt;&lt;Author&gt;Tasci&lt;/Author&gt;&lt;Year&gt;2022&lt;/Year&gt;&lt;RecNum&gt;62&lt;/RecNum&gt;&lt;DisplayText&gt;[3]&lt;/DisplayText&gt;&lt;record&gt;&lt;rec-number&gt;62&lt;/rec-number&gt;&lt;foreign-keys&gt;&lt;key app="EN" db-id="p9svxrsw7rxpabe55zhpttarwz0p9v92zf22" timestamp="1721994658"&gt;62&lt;/key&gt;&lt;/foreign-keys&gt;&lt;ref-type name="Journal Article"&gt;17&lt;/ref-type&gt;&lt;contributors&gt;&lt;authors&gt;&lt;author&gt;Tasci, H. I.&lt;/author&gt;&lt;/authors&gt;&lt;/contributors&gt;&lt;auth-address&gt;Department of General Surgery, Baskent University Faculty of Medicine, Ankara-Turkiye.&lt;/auth-address&gt;&lt;titles&gt;&lt;title&gt;The role of neutrophil-to-lymphocyte ratio in predicting disease progression and emergency surgery indication in benign intestinal obstructions&lt;/title&gt;&lt;secondary-title&gt;Ulus Travma Acil Cerrahi Derg&lt;/secondary-title&gt;&lt;/titles&gt;&lt;periodical&gt;&lt;full-title&gt;Ulus Travma Acil Cerrahi Derg&lt;/full-title&gt;&lt;/periodical&gt;&lt;pages&gt;1238-1247&lt;/pages&gt;&lt;volume&gt;28&lt;/volume&gt;&lt;number&gt;9&lt;/number&gt;&lt;keywords&gt;&lt;keyword&gt;Biomarkers&lt;/keyword&gt;&lt;keyword&gt;C-Reactive Protein/analysis&lt;/keyword&gt;&lt;keyword&gt;Disease Progression&lt;/keyword&gt;&lt;keyword&gt;Humans&lt;/keyword&gt;&lt;keyword&gt;*Intestinal Obstruction/etiology/surgery&lt;/keyword&gt;&lt;keyword&gt;Leukocyte Count&lt;/keyword&gt;&lt;keyword&gt;Lymphocytes&lt;/keyword&gt;&lt;keyword&gt;*Neutrophils/metabolism&lt;/keyword&gt;&lt;keyword&gt;Retrospective Studies&lt;/keyword&gt;&lt;/keywords&gt;&lt;dates&gt;&lt;year&gt;2022&lt;/year&gt;&lt;pub-dates&gt;&lt;date&gt;Sep&lt;/date&gt;&lt;/pub-dates&gt;&lt;/dates&gt;&lt;orig-pub&gt;Benign intestinal obstruksiyonlarda notrofil-lenfosit oraninin hastaligin progresyonunu ve acil cerrahi endikasyonu belirlemedeki rolu.&lt;/orig-pub&gt;&lt;isbn&gt;1307-7945 (Electronic)&amp;#xD;1306-696X (Print)&amp;#xD;1306-696X (Linking)&lt;/isbn&gt;&lt;accession-num&gt;36043932&lt;/accession-num&gt;&lt;urls&gt;&lt;related-urls&gt;&lt;url&gt;https://www.ncbi.nlm.nih.gov/pubmed/36043932&lt;/url&gt;&lt;/related-urls&gt;&lt;/urls&gt;&lt;custom1&gt;Conflict of Interest: None declared.&lt;/custom1&gt;&lt;custom2&gt;PMC10315961&lt;/custom2&gt;&lt;electronic-resource-num&gt;10.14744/tjtes.2022.46944&lt;/electronic-resource-num&gt;&lt;remote-database-name&gt;Medline&lt;/remote-database-name&gt;&lt;remote-database-provider&gt;NLM&lt;/remote-database-provider&gt;&lt;/record&gt;&lt;/Cite&gt;&lt;/EndNote&gt;</w:instrText>
      </w:r>
      <w:r>
        <w:rPr>
          <w:rFonts w:hint="default"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0"/>
          <w:sz w:val="13"/>
          <w:szCs w:val="13"/>
          <w:lang w:val="en-US" w:eastAsia="zh-CN" w:bidi="ar"/>
        </w:rPr>
        <w:t>[3]</w:t>
      </w:r>
      <w:r>
        <w:rPr>
          <w:rFonts w:hint="default" w:ascii="微软雅黑" w:hAnsi="微软雅黑" w:eastAsia="微软雅黑" w:cs="微软雅黑"/>
          <w:b w:val="0"/>
          <w:bCs w:val="0"/>
          <w:sz w:val="13"/>
          <w:szCs w:val="13"/>
          <w:lang w:val="en-US" w:eastAsia="zh-CN"/>
        </w:rPr>
        <w:fldChar w:fldCharType="end"/>
      </w:r>
      <w:r>
        <w:rPr>
          <w:rFonts w:hint="default" w:ascii="微软雅黑" w:hAnsi="微软雅黑" w:eastAsia="微软雅黑" w:cs="微软雅黑"/>
          <w:b w:val="0"/>
          <w:bCs w:val="0"/>
          <w:sz w:val="13"/>
          <w:szCs w:val="13"/>
          <w:lang w:val="en-US" w:eastAsia="zh-CN"/>
        </w:rPr>
        <w:t>。</w:t>
      </w:r>
    </w:p>
    <w:p w14:paraId="7052C4F0">
      <w:pPr>
        <w:numPr>
          <w:ilvl w:val="0"/>
          <w:numId w:val="1"/>
        </w:numPr>
        <w:jc w:val="left"/>
        <w:rPr>
          <w:rFonts w:hint="default" w:ascii="微软雅黑" w:hAnsi="微软雅黑" w:eastAsia="微软雅黑" w:cs="微软雅黑"/>
          <w:b w:val="0"/>
          <w:bCs w:val="0"/>
          <w:sz w:val="13"/>
          <w:szCs w:val="13"/>
          <w:lang w:val="en-US" w:eastAsia="zh-CN"/>
        </w:rPr>
      </w:pPr>
      <w:r>
        <w:rPr>
          <w:rFonts w:hint="eastAsia" w:ascii="微软雅黑" w:hAnsi="微软雅黑" w:eastAsia="微软雅黑" w:cs="微软雅黑"/>
          <w:sz w:val="13"/>
          <w:szCs w:val="13"/>
          <w:lang w:val="en-US" w:eastAsia="zh-CN"/>
        </w:rPr>
        <w:t>二聚体为肠道缺血的有效标志物，尤其是在透壁性AMI中（敏感度=87.56、特异度=83.64）</w:t>
      </w:r>
      <w:r>
        <w:rPr>
          <w:rFonts w:hint="eastAsia" w:ascii="微软雅黑" w:hAnsi="微软雅黑" w:eastAsia="微软雅黑" w:cs="微软雅黑"/>
          <w:sz w:val="13"/>
          <w:szCs w:val="13"/>
          <w:lang w:val="en-US" w:eastAsia="zh-CN"/>
        </w:rPr>
        <w:fldChar w:fldCharType="begin"/>
      </w:r>
      <w:r>
        <w:rPr>
          <w:rFonts w:hint="eastAsia" w:ascii="微软雅黑" w:hAnsi="微软雅黑" w:eastAsia="微软雅黑" w:cs="微软雅黑"/>
          <w:sz w:val="13"/>
          <w:szCs w:val="13"/>
          <w:lang w:val="en-US" w:eastAsia="zh-CN"/>
        </w:rPr>
        <w:instrText xml:space="preserve"> ADDIN EN.CITE </w:instrText>
      </w:r>
      <w:r>
        <w:rPr>
          <w:rFonts w:hint="eastAsia" w:ascii="微软雅黑" w:hAnsi="微软雅黑" w:eastAsia="微软雅黑" w:cs="微软雅黑"/>
          <w:sz w:val="13"/>
          <w:szCs w:val="13"/>
          <w:lang w:val="en-US" w:eastAsia="zh-CN"/>
        </w:rPr>
        <w:fldChar w:fldCharType="begin">
          <w:fldData xml:space="preserve">PEVuZE5vdGU+PENpdGU+PEF1dGhvcj5SZWludGFtIEJsYXNlcjwvQXV0aG9yPjxZZWFyPjIwMjM8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</w:fldData>
        </w:fldChar>
      </w:r>
      <w:r>
        <w:rPr>
          <w:rFonts w:hint="eastAsia" w:ascii="微软雅黑" w:hAnsi="微软雅黑" w:eastAsia="微软雅黑" w:cs="微软雅黑"/>
          <w:sz w:val="13"/>
          <w:szCs w:val="13"/>
          <w:lang w:val="en-US" w:eastAsia="zh-CN"/>
        </w:rPr>
        <w:instrText xml:space="preserve"> ADDIN EN.CITE.DATA </w:instrText>
      </w:r>
      <w:r>
        <w:rPr>
          <w:rFonts w:hint="eastAsia" w:ascii="微软雅黑" w:hAnsi="微软雅黑" w:eastAsia="微软雅黑" w:cs="微软雅黑"/>
          <w:sz w:val="13"/>
          <w:szCs w:val="13"/>
          <w:lang w:val="en-US" w:eastAsia="zh-CN"/>
        </w:rPr>
        <w:fldChar w:fldCharType="separate"/>
      </w:r>
      <w:r>
        <w:rPr>
          <w:rFonts w:hint="eastAsia" w:ascii="微软雅黑" w:hAnsi="微软雅黑" w:eastAsia="微软雅黑" w:cs="微软雅黑"/>
          <w:sz w:val="13"/>
          <w:szCs w:val="13"/>
          <w:lang w:val="en-US" w:eastAsia="zh-CN"/>
        </w:rPr>
        <w:fldChar w:fldCharType="end"/>
      </w:r>
      <w:r>
        <w:rPr>
          <w:rFonts w:hint="eastAsia" w:ascii="微软雅黑" w:hAnsi="微软雅黑" w:eastAsia="微软雅黑" w:cs="微软雅黑"/>
          <w:sz w:val="13"/>
          <w:szCs w:val="13"/>
          <w:lang w:val="en-US" w:eastAsia="zh-CN"/>
        </w:rPr>
        <w:fldChar w:fldCharType="separate"/>
      </w:r>
      <w:r>
        <w:rPr>
          <w:rFonts w:hint="eastAsia" w:ascii="微软雅黑" w:hAnsi="微软雅黑" w:eastAsia="微软雅黑" w:cs="微软雅黑"/>
          <w:kern w:val="0"/>
          <w:sz w:val="13"/>
          <w:szCs w:val="13"/>
          <w:lang w:val="en-US" w:eastAsia="zh-CN" w:bidi="ar"/>
        </w:rPr>
        <w:t>[4]</w:t>
      </w:r>
      <w:r>
        <w:rPr>
          <w:rFonts w:hint="eastAsia" w:ascii="微软雅黑" w:hAnsi="微软雅黑" w:eastAsia="微软雅黑" w:cs="微软雅黑"/>
          <w:sz w:val="13"/>
          <w:szCs w:val="13"/>
          <w:lang w:val="en-US" w:eastAsia="zh-CN"/>
        </w:rPr>
        <w:fldChar w:fldCharType="end"/>
      </w:r>
      <w:r>
        <w:rPr>
          <w:rFonts w:hint="eastAsia" w:ascii="微软雅黑" w:hAnsi="微软雅黑" w:eastAsia="微软雅黑" w:cs="微软雅黑"/>
          <w:sz w:val="13"/>
          <w:szCs w:val="13"/>
          <w:lang w:val="en-US" w:eastAsia="zh-CN"/>
        </w:rPr>
        <w:t>。但在诊断绞窄性肠梗阻方面既不敏感也不特异（</w:t>
      </w:r>
      <w:r>
        <w:rPr>
          <w:rFonts w:hint="default" w:ascii="微软雅黑" w:hAnsi="微软雅黑" w:eastAsia="微软雅黑" w:cs="微软雅黑"/>
          <w:b w:val="0"/>
          <w:bCs w:val="0"/>
          <w:sz w:val="13"/>
          <w:szCs w:val="13"/>
          <w:lang w:val="en-US" w:eastAsia="zh-CN"/>
        </w:rPr>
        <w:t>敏感性为60%，特异性为68%</w:t>
      </w:r>
      <w:r>
        <w:rPr>
          <w:rFonts w:hint="eastAsia" w:ascii="微软雅黑" w:hAnsi="微软雅黑" w:eastAsia="微软雅黑" w:cs="微软雅黑"/>
          <w:b w:val="0"/>
          <w:bCs w:val="0"/>
          <w:sz w:val="13"/>
          <w:szCs w:val="13"/>
          <w:lang w:val="en-US" w:eastAsia="zh-CN"/>
        </w:rPr>
        <w:t>）</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&lt;EndNote&gt;&lt;Cite&gt;&lt;Author&gt;Boguševičius&lt;/Author&gt;&lt;Year&gt;2007&lt;/Year&gt;&lt;RecNum&gt;67&lt;/RecNum&gt;&lt;DisplayText&gt;[5]&lt;/DisplayText&gt;&lt;record&gt;&lt;rec-number&gt;67&lt;/rec-number&gt;&lt;foreign-keys&gt;&lt;key app="EN" db-id="p9svxrsw7rxpabe55zhpttarwz0p9v92zf22" timestamp="1721999979"&gt;67&lt;/key&gt;&lt;/foreign-keys&gt;&lt;ref-type name="Journal Article"&gt;17&lt;/ref-type&gt;&lt;contributors&gt;&lt;authors&gt;&lt;author&gt;Boguševičius, Algirdas&lt;/author&gt;&lt;author&gt;Grinkevičius, Arūnas&lt;/author&gt;&lt;author&gt;Maleckas, Almantas&lt;/author&gt;&lt;author&gt;Pundzius, Juozas&lt;/author&gt;&lt;/authors&gt;&lt;/contributors&gt;&lt;titles&gt;&lt;title&gt;The role of D-dimer in the diagnosis of strangulated small-bowel obstruction&lt;/title&gt;&lt;secondary-title&gt;Medicina&lt;/secondary-title&gt;&lt;/titles&gt;&lt;periodical&gt;&lt;full-title&gt;Medicina&lt;/full-title&gt;&lt;/periodical&gt;&lt;pages&gt;850&lt;/pages&gt;&lt;volume&gt;43&lt;/volume&gt;&lt;number&gt;11&lt;/number&gt;&lt;dates&gt;&lt;year&gt;2007&lt;/year&gt;&lt;/dates&gt;&lt;isbn&gt;1648-9144&lt;/isbn&gt;&lt;urls&gt;&lt;/urls&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0"/>
          <w:sz w:val="13"/>
          <w:szCs w:val="13"/>
          <w:lang w:val="en-US" w:eastAsia="zh-CN" w:bidi="ar"/>
        </w:rPr>
        <w:t>[5]</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sz w:val="13"/>
          <w:szCs w:val="13"/>
          <w:lang w:val="en-US" w:eastAsia="zh-CN"/>
        </w:rPr>
        <w:t>。然而，在肠梗阻进展过程中，肠壁局部缺血坏死激活凝血系统，凝血因子和血小板在全身范围内被激活和消耗，形成大量微血栓；机体发生的溶栓机制又产生纤维蛋白降解产物（如D-二聚体）。在联合指标platelet/D-Dimer也许能更好地提示肠梗阻的发展进程。</w:t>
      </w:r>
      <w:r>
        <w:rPr>
          <w:rFonts w:hint="default" w:ascii="微软雅黑" w:hAnsi="微软雅黑" w:eastAsia="微软雅黑" w:cs="微软雅黑"/>
          <w:b w:val="0"/>
          <w:bCs w:val="0"/>
          <w:sz w:val="13"/>
          <w:szCs w:val="13"/>
          <w:lang w:val="en-US" w:eastAsia="zh-CN"/>
        </w:rPr>
        <w:t>CT是术前诊断绞窄性SBO时综合敏感性为72%（95% CI 67.4%至76.3%），特异性为86.6%（95% CI 83.7%至89.2%），肠壁</w:t>
      </w:r>
      <w:r>
        <w:rPr>
          <w:rFonts w:hint="eastAsia" w:ascii="微软雅黑" w:hAnsi="微软雅黑" w:eastAsia="微软雅黑" w:cs="微软雅黑"/>
          <w:b w:val="0"/>
          <w:bCs w:val="0"/>
          <w:sz w:val="13"/>
          <w:szCs w:val="13"/>
          <w:lang w:val="en-US" w:eastAsia="zh-CN"/>
        </w:rPr>
        <w:t>强化减弱</w:t>
      </w:r>
      <w:r>
        <w:rPr>
          <w:rFonts w:hint="default" w:ascii="微软雅黑" w:hAnsi="微软雅黑" w:eastAsia="微软雅黑" w:cs="微软雅黑"/>
          <w:b w:val="0"/>
          <w:bCs w:val="0"/>
          <w:sz w:val="13"/>
          <w:szCs w:val="13"/>
          <w:lang w:val="en-US" w:eastAsia="zh-CN"/>
        </w:rPr>
        <w:t>是最特异性的CT征象</w:t>
      </w:r>
      <w:r>
        <w:rPr>
          <w:rFonts w:hint="eastAsia" w:ascii="微软雅黑" w:hAnsi="微软雅黑" w:eastAsia="微软雅黑" w:cs="微软雅黑"/>
          <w:b w:val="0"/>
          <w:bCs w:val="0"/>
          <w:sz w:val="13"/>
          <w:szCs w:val="13"/>
          <w:lang w:val="en-US" w:eastAsia="zh-CN"/>
        </w:rPr>
        <w:t>（特异性为99.1%）</w:t>
      </w:r>
      <w:r>
        <w:rPr>
          <w:rFonts w:hint="default"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&lt;EndNote&gt;&lt;Cite&gt;&lt;Author&gt;Jha&lt;/Author&gt;&lt;Year&gt;2014&lt;/Year&gt;&lt;RecNum&gt;65&lt;/RecNum&gt;&lt;DisplayText&gt;[6]&lt;/DisplayText&gt;&lt;record&gt;&lt;rec-number&gt;65&lt;/rec-number&gt;&lt;foreign-keys&gt;&lt;key app="EN" db-id="p9svxrsw7rxpabe55zhpttarwz0p9v92zf22" timestamp="1721996913"&gt;65&lt;/key&gt;&lt;/foreign-keys&gt;&lt;ref-type name="Journal Article"&gt;17&lt;/ref-type&gt;&lt;contributors&gt;&lt;authors&gt;&lt;author&gt;Jha, Ashwini Kumar&lt;/author&gt;&lt;author&gt;Tang, Wen Hao&lt;/author&gt;&lt;author&gt;Bai, Zhi Bin&lt;/author&gt;&lt;author&gt;Xiao, Jia Quan&lt;/author&gt;&lt;/authors&gt;&lt;/contributors&gt;&lt;titles&gt;&lt;title&gt;Sensitivity and Specificity of CT and Its signs for Diagnosis of Strangulation in Patients with Acute Small Bowel Obstruction&lt;/title&gt;&lt;secondary-title&gt;Journal of the Nepal Medical Association&lt;/secondary-title&gt;&lt;/titles&gt;&lt;periodical&gt;&lt;full-title&gt;Journal of the Nepal Medical Association&lt;/full-title&gt;&lt;/periodical&gt;&lt;volume&gt;52&lt;/volume&gt;&lt;number&gt;193&lt;/number&gt;&lt;dates&gt;&lt;year&gt;2014&lt;/year&gt;&lt;/dates&gt;&lt;isbn&gt;0028-2715&lt;/isbn&gt;&lt;urls&gt;&lt;/urls&gt;&lt;/record&gt;&lt;/Cite&gt;&lt;/EndNote&gt;</w:instrText>
      </w:r>
      <w:r>
        <w:rPr>
          <w:rFonts w:hint="default"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[6]</w:t>
      </w:r>
      <w:r>
        <w:rPr>
          <w:rFonts w:hint="default"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然而，相较于动脉期，静脉期的CT值强化更有意义。因为动脉期CT扫描反映的是动脉血流的初始灌注情况，动脉血流的压力较高，能在一定程度上克服肠系膜血管阻力。在后续logistics回归中也证明静脉期CT值的价值更大。并且引入CT值指标为了更好指导医生在早期就能辨别出需要手术治疗的肠梗阻病人，避免肠道的进一步缺血、梗阻、坏死。</w:t>
      </w:r>
    </w:p>
    <w:p w14:paraId="24BEA941">
      <w:pPr>
        <w:numPr>
          <w:ilvl w:val="0"/>
          <w:numId w:val="0"/>
        </w:numPr>
        <w:jc w:val="left"/>
        <w:rPr>
          <w:rFonts w:hint="eastAsia" w:ascii="微软雅黑" w:hAnsi="微软雅黑" w:eastAsia="微软雅黑" w:cs="微软雅黑"/>
          <w:b w:val="0"/>
          <w:bCs w:val="0"/>
          <w:sz w:val="13"/>
          <w:szCs w:val="13"/>
          <w:lang w:val="en-US" w:eastAsia="zh-CN"/>
        </w:rPr>
      </w:pPr>
      <w:r>
        <w:rPr>
          <w:rFonts w:hint="eastAsia" w:ascii="微软雅黑" w:hAnsi="微软雅黑" w:eastAsia="微软雅黑" w:cs="微软雅黑"/>
          <w:b w:val="0"/>
          <w:bCs w:val="0"/>
          <w:sz w:val="13"/>
          <w:szCs w:val="13"/>
          <w:lang w:val="en-US" w:eastAsia="zh-CN"/>
        </w:rPr>
        <w:t>在多变量分析中，</w:t>
      </w:r>
      <w:r>
        <w:rPr>
          <w:rFonts w:hint="default" w:ascii="微软雅黑" w:hAnsi="微软雅黑" w:eastAsia="微软雅黑" w:cs="微软雅黑"/>
          <w:b w:val="0"/>
          <w:bCs w:val="0"/>
          <w:sz w:val="13"/>
          <w:szCs w:val="13"/>
          <w:lang w:val="en-US" w:eastAsia="zh-CN"/>
        </w:rPr>
        <w:t>NLR</w:t>
      </w:r>
      <w:r>
        <w:rPr>
          <w:rFonts w:hint="eastAsia" w:ascii="微软雅黑" w:hAnsi="微软雅黑" w:eastAsia="微软雅黑" w:cs="微软雅黑"/>
          <w:b w:val="0"/>
          <w:bCs w:val="0"/>
          <w:sz w:val="13"/>
          <w:szCs w:val="13"/>
          <w:lang w:val="en-US" w:eastAsia="zh-CN"/>
        </w:rPr>
        <w:t>、platelet/D-Dimer、Venous phase的CT值是评估肠梗阻患者采取怎样的治疗方式（保守治疗或是手术治疗）独立危险因素，它们的AUC值分别为0.768、0.743、0.624。其中，Venous phase的CT值有较高的敏感性，为0.757，但特异性不高；</w:t>
      </w:r>
      <w:r>
        <w:rPr>
          <w:rFonts w:hint="default" w:ascii="微软雅黑" w:hAnsi="微软雅黑" w:eastAsia="微软雅黑" w:cs="微软雅黑"/>
          <w:b w:val="0"/>
          <w:bCs w:val="0"/>
          <w:sz w:val="13"/>
          <w:szCs w:val="13"/>
          <w:lang w:val="en-US" w:eastAsia="zh-CN"/>
        </w:rPr>
        <w:t>NLR</w:t>
      </w:r>
      <w:r>
        <w:rPr>
          <w:rFonts w:hint="eastAsia" w:ascii="微软雅黑" w:hAnsi="微软雅黑" w:eastAsia="微软雅黑" w:cs="微软雅黑"/>
          <w:b w:val="0"/>
          <w:bCs w:val="0"/>
          <w:sz w:val="13"/>
          <w:szCs w:val="13"/>
          <w:lang w:val="en-US" w:eastAsia="zh-CN"/>
        </w:rPr>
        <w:t>、platelet/D-Dimer有较高的特异性，为0.765、0.741，但敏感性不高。因此，我们根据这三个指标，建立了四个联合模型。结果显示，模型3（’Platelet/D-Dimer + Venous phase’）的AUC为0.779，均高于单一指标。并且弥补了单一指标敏感性或特异性单方面较差的不足（Sensitivity=0.738、Specificity=0.745），为指导肠梗阻患者治疗更精确的决策。</w:t>
      </w:r>
    </w:p>
    <w:p w14:paraId="74586179">
      <w:pPr>
        <w:numPr>
          <w:ilvl w:val="0"/>
          <w:numId w:val="0"/>
        </w:numPr>
        <w:jc w:val="left"/>
        <w:rPr>
          <w:rFonts w:hint="eastAsia" w:ascii="微软雅黑" w:hAnsi="微软雅黑" w:eastAsia="微软雅黑" w:cs="微软雅黑"/>
          <w:b w:val="0"/>
          <w:bCs w:val="0"/>
          <w:sz w:val="13"/>
          <w:szCs w:val="13"/>
          <w:lang w:val="en-US" w:eastAsia="zh-CN"/>
        </w:rPr>
      </w:pPr>
      <w:r>
        <w:rPr>
          <w:rFonts w:hint="eastAsia" w:ascii="微软雅黑" w:hAnsi="微软雅黑" w:eastAsia="微软雅黑" w:cs="微软雅黑"/>
          <w:b w:val="0"/>
          <w:bCs w:val="0"/>
          <w:sz w:val="13"/>
          <w:szCs w:val="13"/>
          <w:lang w:val="en-US" w:eastAsia="zh-CN"/>
        </w:rPr>
        <w:t>在肠梗阻患者中，炎症的发生总是最为普遍的。因为炎症是对肠梗阻和相关组织损伤的直接反应。虽然严重的炎症反应可能与肠壁缺血坏死的恶化有关，进一步发展为肠穿孔，最终会导致腹腔内感染，需要紧急手术干预。但是在需要肠梗阻手术治疗病人中，具有十分严重炎症反应的病人并不占多数，不适用于鉴别大部分肠梗阻需要手术治疗的病人。因此，手术治疗的肠梗阻病人的确比保守治疗的患者具有更明显的炎症指标上升，但在模型3中却将此指标排除在外。而凝血指标的异常通常在更严重的临床状态下出现，如严重感染、全身性炎症反应、DIC 或多器官功能障碍。因为这些情况通常在肠梗阻病情恶化的后期阶段出现，所以凝血功能异常的普遍性相对较低，通常与更严重的临床状态相关。当肠梗阻引起肠壁缺血或坏死时，局部组织损伤会释放大量组织因子，进一步激活凝血系统。绞窄性肠梗阻可能出现血流动力学改变，这些改变可能影响血液的黏稠度和流动性，进而影响凝血过程。无论是缺血还是梗阻，都有较大概率伴随着凝血指标的异常。而这在保守治疗的患者中并不明显，可以认为这是区分治疗方式的辅助指标，因此在模型中被纳入。</w:t>
      </w:r>
    </w:p>
    <w:p w14:paraId="0CA48CE9">
      <w:pPr>
        <w:numPr>
          <w:ilvl w:val="0"/>
          <w:numId w:val="0"/>
        </w:numPr>
        <w:jc w:val="left"/>
        <w:rPr>
          <w:rFonts w:hint="eastAsia" w:ascii="微软雅黑" w:hAnsi="微软雅黑" w:eastAsia="微软雅黑" w:cs="微软雅黑"/>
          <w:b w:val="0"/>
          <w:bCs w:val="0"/>
          <w:sz w:val="13"/>
          <w:szCs w:val="13"/>
          <w:lang w:val="en-US" w:eastAsia="zh-CN"/>
        </w:rPr>
      </w:pPr>
      <w:r>
        <w:rPr>
          <w:rFonts w:hint="eastAsia" w:ascii="微软雅黑" w:hAnsi="微软雅黑" w:eastAsia="微软雅黑" w:cs="微软雅黑"/>
          <w:b w:val="0"/>
          <w:bCs w:val="0"/>
          <w:sz w:val="13"/>
          <w:szCs w:val="13"/>
          <w:lang w:val="en-US" w:eastAsia="zh-CN"/>
        </w:rPr>
        <w:t>然而血液指标的变化虽然有助于诊断和评估病情严重程度，但它们并不是特异性的。许多其他因素也可能引起类似的血液指标变化，需要结合其他临床症状、体征和影像学检查结果来进行全面的评估。在肠梗阻的发展过程中，由于肠内容物和气体积聚增加肠道内压，导致肠系膜血管受压和血流减少，进而引起肠壁缺血或坏死，最终导致在静脉期CT中肠壁的造影剂吸收减少，因此CT值更低。该静脉期CT值指标与platelet/D-Dimer联合起来构成模型3，提高判断肠梗阻治疗方法的特异性。</w:t>
      </w:r>
    </w:p>
    <w:p w14:paraId="684C5F01">
      <w:pPr>
        <w:numPr>
          <w:ilvl w:val="0"/>
          <w:numId w:val="0"/>
        </w:numPr>
        <w:jc w:val="left"/>
        <w:rPr>
          <w:rFonts w:hint="default" w:ascii="微软雅黑" w:hAnsi="微软雅黑" w:eastAsia="微软雅黑" w:cs="微软雅黑"/>
          <w:b w:val="0"/>
          <w:bCs w:val="0"/>
          <w:sz w:val="13"/>
          <w:szCs w:val="13"/>
          <w:lang w:val="en-US" w:eastAsia="zh-CN"/>
        </w:rPr>
      </w:pPr>
      <w:r>
        <w:rPr>
          <w:rFonts w:hint="eastAsia" w:ascii="微软雅黑" w:hAnsi="微软雅黑" w:eastAsia="微软雅黑" w:cs="微软雅黑"/>
          <w:b w:val="0"/>
          <w:bCs w:val="0"/>
          <w:sz w:val="13"/>
          <w:szCs w:val="13"/>
          <w:lang w:val="en-US" w:eastAsia="zh-CN"/>
        </w:rPr>
        <w:t>本研究存在一定局限性。首先，在术干预后，患者再次发生粘连性肠梗阻的概率显著增加。在接受首次粘连性肠梗阻手术的患者中，13.0%在1年内复发，而21.3%在5年内复发</w:t>
      </w:r>
      <w:r>
        <w:rPr>
          <w:rFonts w:hint="eastAsia" w:ascii="微软雅黑" w:hAnsi="微软雅黑" w:eastAsia="微软雅黑" w:cs="微软雅黑"/>
          <w:b w:val="0"/>
          <w:bCs w:val="0"/>
          <w:sz w:val="13"/>
          <w:szCs w:val="13"/>
          <w:lang w:val="en-US" w:eastAsia="zh-CN"/>
        </w:rPr>
        <w:fldChar w:fldCharType="begin"/>
      </w:r>
      <w:r>
        <w:rPr>
          <w:rFonts w:hint="eastAsia" w:ascii="微软雅黑" w:hAnsi="微软雅黑" w:eastAsia="微软雅黑" w:cs="微软雅黑"/>
          <w:b w:val="0"/>
          <w:bCs w:val="0"/>
          <w:sz w:val="13"/>
          <w:szCs w:val="13"/>
          <w:lang w:val="en-US" w:eastAsia="zh-CN"/>
        </w:rPr>
        <w:instrText xml:space="preserve"> ADDIN EN.CITE &lt;EndNote&gt;&lt;Cite&gt;&lt;Author&gt;Behman&lt;/Author&gt;&lt;Year&gt;2019&lt;/Year&gt;&lt;RecNum&gt;70&lt;/RecNum&gt;&lt;DisplayText&gt;[7]&lt;/DisplayText&gt;&lt;record&gt;&lt;rec-number&gt;70&lt;/rec-number&gt;&lt;foreign-keys&gt;&lt;key app="EN" db-id="p9svxrsw7rxpabe55zhpttarwz0p9v92zf22" timestamp="1723119602"&gt;70&lt;/key&gt;&lt;/foreign-keys&gt;&lt;ref-type name="Journal Article"&gt;17&lt;/ref-type&gt;&lt;contributors&gt;&lt;authors&gt;&lt;author&gt;Behman, Ramy&lt;/author&gt;&lt;author&gt;Nathens, Avery B.&lt;/author&gt;&lt;author&gt;Mason, Stephanie&lt;/author&gt;&lt;author&gt;Byrne, James P.&lt;/author&gt;&lt;author&gt;Hong, Nicole Look&lt;/author&gt;&lt;author&gt;Pechlivanoglou, Petros&lt;/author&gt;&lt;author&gt;Karanicolas, Paul&lt;/author&gt;&lt;/authors&gt;&lt;/contributors&gt;&lt;titles&gt;&lt;title&gt;Association of Surgical Intervention for Adhesive Small-Bowel Obstruction With the Risk of Recurrence&lt;/title&gt;&lt;secondary-title&gt;JAMA Surgery&lt;/secondary-title&gt;&lt;/titles&gt;&lt;periodical&gt;&lt;full-title&gt;JAMA Surgery&lt;/full-title&gt;&lt;/periodical&gt;&lt;pages&gt;413-420&lt;/pages&gt;&lt;volume&gt;154&lt;/volume&gt;&lt;number&gt;5&lt;/number&gt;&lt;dates&gt;&lt;year&gt;2019&lt;/year&gt;&lt;/dates&gt;&lt;isbn&gt;2168-6254&lt;/isbn&gt;&lt;urls&gt;&lt;related-urls&gt;&lt;url&gt;https://doi.org/10.1001/jamasurg.2018.5248&lt;/url&gt;&lt;/related-urls&gt;&lt;/urls&gt;&lt;electronic-resource-num&gt;10.1001/jamasurg.2018.5248&lt;/electronic-resource-num&gt;&lt;access-date&gt;8/8/2024&lt;/access-date&gt;&lt;/record&gt;&lt;/Cite&gt;&lt;/EndNote&gt;</w:instrText>
      </w:r>
      <w:r>
        <w:rPr>
          <w:rFonts w:hint="eastAsia" w:ascii="微软雅黑" w:hAnsi="微软雅黑" w:eastAsia="微软雅黑" w:cs="微软雅黑"/>
          <w:b w:val="0"/>
          <w:bCs w:val="0"/>
          <w:sz w:val="13"/>
          <w:szCs w:val="13"/>
          <w:lang w:val="en-US" w:eastAsia="zh-CN"/>
        </w:rPr>
        <w:fldChar w:fldCharType="separate"/>
      </w:r>
      <w:r>
        <w:rPr>
          <w:rFonts w:hint="eastAsia" w:ascii="微软雅黑" w:hAnsi="微软雅黑" w:eastAsia="微软雅黑" w:cs="微软雅黑"/>
          <w:b w:val="0"/>
          <w:bCs w:val="0"/>
          <w:kern w:val="2"/>
          <w:sz w:val="13"/>
          <w:szCs w:val="13"/>
          <w:lang w:val="en-US" w:eastAsia="zh-CN" w:bidi="ar-SA"/>
        </w:rPr>
        <w:t>[7]</w:t>
      </w:r>
      <w:r>
        <w:rPr>
          <w:rFonts w:hint="eastAsia" w:ascii="微软雅黑" w:hAnsi="微软雅黑" w:eastAsia="微软雅黑" w:cs="微软雅黑"/>
          <w:b w:val="0"/>
          <w:bCs w:val="0"/>
          <w:sz w:val="13"/>
          <w:szCs w:val="13"/>
          <w:lang w:val="en-US" w:eastAsia="zh-CN"/>
        </w:rPr>
        <w:fldChar w:fldCharType="end"/>
      </w:r>
      <w:r>
        <w:rPr>
          <w:rFonts w:hint="eastAsia" w:ascii="微软雅黑" w:hAnsi="微软雅黑" w:eastAsia="微软雅黑" w:cs="微软雅黑"/>
          <w:b w:val="0"/>
          <w:bCs w:val="0"/>
          <w:sz w:val="13"/>
          <w:szCs w:val="13"/>
          <w:lang w:val="en-US" w:eastAsia="zh-CN"/>
        </w:rPr>
        <w:t>。但是，本研究对手术组和保守治疗组根据是否有手术史分别进行亚组分析，发现是否有手术史对</w:t>
      </w:r>
      <w:r>
        <w:rPr>
          <w:rFonts w:hint="default" w:ascii="微软雅黑" w:hAnsi="微软雅黑" w:eastAsia="微软雅黑" w:cs="微软雅黑"/>
          <w:b w:val="0"/>
          <w:bCs w:val="0"/>
          <w:sz w:val="13"/>
          <w:szCs w:val="13"/>
          <w:lang w:val="en-US" w:eastAsia="zh-CN"/>
        </w:rPr>
        <w:t>NLR</w:t>
      </w:r>
      <w:r>
        <w:rPr>
          <w:rFonts w:hint="eastAsia" w:ascii="微软雅黑" w:hAnsi="微软雅黑" w:eastAsia="微软雅黑" w:cs="微软雅黑"/>
          <w:b w:val="0"/>
          <w:bCs w:val="0"/>
          <w:sz w:val="13"/>
          <w:szCs w:val="13"/>
          <w:lang w:val="en-US" w:eastAsia="zh-CN"/>
        </w:rPr>
        <w:t>、platelet/D-Dimer、Venous phase的CT值均无显著影响(p&gt;0.05)。上述几个指标并不能良好的预测粘连性肠梗阻的发病风险，还不足以去验证当术后患者发生粘连性肠梗阻时，采取哪一种治疗方式较为妥当。其次，本研究为回顾性单中心研究，未来需通过前瞻性、大规模随机对照研究来进一步证实我们的结论，然而回顾性选择可能导致纳入偏倚，因为大多数具有临床意义的肠梗阻患者已被包括在内。最后，所此实验未收集特征性CT图像（如Closed-Loop Obstruction、Air-Fluid Levels、），缺少了CT可能提供的更多信息。</w:t>
      </w:r>
    </w:p>
    <w:p w14:paraId="66FA1B61">
      <w:pPr>
        <w:numPr>
          <w:ilvl w:val="0"/>
          <w:numId w:val="0"/>
        </w:numPr>
        <w:jc w:val="left"/>
        <w:rPr>
          <w:rFonts w:hint="default" w:ascii="微软雅黑" w:hAnsi="微软雅黑" w:eastAsia="微软雅黑" w:cs="微软雅黑"/>
          <w:b w:val="0"/>
          <w:bCs w:val="0"/>
          <w:sz w:val="13"/>
          <w:szCs w:val="13"/>
          <w:lang w:val="en-US" w:eastAsia="zh-CN"/>
        </w:rPr>
      </w:pPr>
    </w:p>
    <w:p w14:paraId="0A465B5D">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Inclusion</w:t>
      </w:r>
    </w:p>
    <w:p w14:paraId="35EAD26F">
      <w:pPr>
        <w:numPr>
          <w:ilvl w:val="0"/>
          <w:numId w:val="0"/>
        </w:numPr>
        <w:jc w:val="left"/>
        <w:rPr>
          <w:rFonts w:hint="default" w:ascii="微软雅黑" w:hAnsi="微软雅黑" w:eastAsia="微软雅黑" w:cs="微软雅黑"/>
          <w:b w:val="0"/>
          <w:bCs w:val="0"/>
          <w:sz w:val="13"/>
          <w:szCs w:val="13"/>
          <w:lang w:val="en-US" w:eastAsia="zh-CN"/>
        </w:rPr>
      </w:pPr>
      <w:r>
        <w:rPr>
          <w:rFonts w:hint="default" w:ascii="微软雅黑" w:hAnsi="微软雅黑" w:eastAsia="微软雅黑" w:cs="微软雅黑"/>
          <w:b w:val="0"/>
          <w:bCs w:val="0"/>
          <w:sz w:val="13"/>
          <w:szCs w:val="13"/>
          <w:lang w:val="en-US" w:eastAsia="zh-CN"/>
        </w:rPr>
        <w:t>总而言之，NLR</w:t>
      </w:r>
      <w:r>
        <w:rPr>
          <w:rFonts w:hint="eastAsia" w:ascii="微软雅黑" w:hAnsi="微软雅黑" w:eastAsia="微软雅黑" w:cs="微软雅黑"/>
          <w:b w:val="0"/>
          <w:bCs w:val="0"/>
          <w:sz w:val="13"/>
          <w:szCs w:val="13"/>
          <w:lang w:val="en-US" w:eastAsia="zh-CN"/>
        </w:rPr>
        <w:t>、platelet/D-Dimer、Venous phase的CT值</w:t>
      </w:r>
      <w:r>
        <w:rPr>
          <w:rFonts w:hint="default" w:ascii="微软雅黑" w:hAnsi="微软雅黑" w:eastAsia="微软雅黑" w:cs="微软雅黑"/>
          <w:b w:val="0"/>
          <w:bCs w:val="0"/>
          <w:sz w:val="13"/>
          <w:szCs w:val="13"/>
          <w:lang w:val="en-US" w:eastAsia="zh-CN"/>
        </w:rPr>
        <w:t>能够提供更为精确且全面的评估，</w:t>
      </w:r>
      <w:r>
        <w:rPr>
          <w:rFonts w:hint="eastAsia" w:ascii="微软雅黑" w:hAnsi="微软雅黑" w:eastAsia="微软雅黑" w:cs="微软雅黑"/>
          <w:b w:val="0"/>
          <w:bCs w:val="0"/>
          <w:sz w:val="13"/>
          <w:szCs w:val="13"/>
          <w:lang w:val="en-US" w:eastAsia="zh-CN"/>
        </w:rPr>
        <w:t>为临床上治疗肠梗阻患者提供恰当的方案</w:t>
      </w:r>
      <w:r>
        <w:rPr>
          <w:rFonts w:hint="default" w:ascii="微软雅黑" w:hAnsi="微软雅黑" w:eastAsia="微软雅黑" w:cs="微软雅黑"/>
          <w:b w:val="0"/>
          <w:bCs w:val="0"/>
          <w:sz w:val="13"/>
          <w:szCs w:val="13"/>
          <w:lang w:val="en-US" w:eastAsia="zh-CN"/>
        </w:rPr>
        <w:t>。这些指标联合应用还能在预测肠道缺血方面展现出更佳性能。模型3（platelet/D-Dimer + Venous phase）显示出最高的AUC（0.779），综合表现最佳。</w:t>
      </w:r>
      <w:bookmarkStart w:id="0" w:name="_GoBack"/>
      <w:bookmarkEnd w:id="0"/>
      <w:r>
        <w:rPr>
          <w:rFonts w:hint="default" w:ascii="微软雅黑" w:hAnsi="微软雅黑" w:eastAsia="微软雅黑" w:cs="微软雅黑"/>
          <w:b w:val="0"/>
          <w:bCs w:val="0"/>
          <w:sz w:val="13"/>
          <w:szCs w:val="13"/>
          <w:lang w:val="en-US" w:eastAsia="zh-CN"/>
        </w:rPr>
        <w:t>此外，联合模型相较于单一指标具有更好的诊断效果，并能提供更加准确、全面及可靠的信息以指导临床治疗。</w:t>
      </w:r>
    </w:p>
    <w:p w14:paraId="607D2A7E">
      <w:pPr>
        <w:pStyle w:val="2"/>
        <w:keepNext w:val="0"/>
        <w:keepLines w:val="0"/>
        <w:widowControl/>
        <w:suppressLineNumbers w:val="0"/>
        <w:spacing w:before="0" w:beforeAutospacing="0" w:after="0" w:afterAutospacing="0"/>
        <w:ind w:left="0" w:right="0" w:firstLine="0"/>
        <w:rPr>
          <w:rFonts w:hint="default" w:ascii="微软雅黑" w:hAnsi="微软雅黑" w:eastAsia="微软雅黑" w:cs="微软雅黑"/>
          <w:sz w:val="13"/>
          <w:szCs w:val="13"/>
          <w:lang w:val="en-US" w:eastAsia="zh-CN"/>
        </w:rPr>
      </w:pPr>
    </w:p>
    <w:p w14:paraId="72C31F00">
      <w:pPr>
        <w:jc w:val="left"/>
        <w:rPr>
          <w:rFonts w:hint="default" w:ascii="微软雅黑" w:hAnsi="微软雅黑" w:eastAsia="微软雅黑" w:cs="微软雅黑"/>
          <w:sz w:val="13"/>
          <w:szCs w:val="13"/>
          <w:lang w:val="en-US" w:eastAsia="zh-CN"/>
        </w:rPr>
      </w:pPr>
    </w:p>
    <w:p w14:paraId="3BDAE299">
      <w:pPr>
        <w:jc w:val="left"/>
        <w:rPr>
          <w:rFonts w:hint="default" w:ascii="微软雅黑" w:hAnsi="微软雅黑" w:eastAsia="微软雅黑" w:cs="微软雅黑"/>
          <w:sz w:val="13"/>
          <w:szCs w:val="13"/>
          <w:lang w:val="en-US" w:eastAsia="zh-CN"/>
        </w:rPr>
      </w:pPr>
    </w:p>
    <w:p w14:paraId="5097E019">
      <w:pPr>
        <w:pStyle w:val="6"/>
        <w:bidi w:val="0"/>
        <w:ind w:left="720" w:hanging="720"/>
        <w:rPr>
          <w:rFonts w:ascii="Calibri" w:hAnsi="Calibri" w:cs="Calibri" w:eastAsiaTheme="minorEastAsia"/>
          <w:kern w:val="2"/>
          <w:sz w:val="20"/>
          <w:szCs w:val="24"/>
          <w:lang w:val="en-US" w:eastAsia="zh-CN" w:bidi="ar-SA"/>
        </w:rPr>
      </w:pPr>
      <w:r>
        <w:rPr>
          <w:rFonts w:hint="default" w:ascii="微软雅黑" w:hAnsi="微软雅黑" w:eastAsia="微软雅黑" w:cs="微软雅黑"/>
          <w:sz w:val="13"/>
          <w:szCs w:val="13"/>
          <w:lang w:val="en-US" w:eastAsia="zh-CN"/>
        </w:rPr>
        <w:fldChar w:fldCharType="begin"/>
      </w:r>
      <w:r>
        <w:rPr>
          <w:rFonts w:hint="eastAsia" w:ascii="微软雅黑" w:hAnsi="微软雅黑" w:eastAsia="微软雅黑" w:cs="微软雅黑"/>
          <w:sz w:val="13"/>
          <w:szCs w:val="13"/>
          <w:lang w:val="en-US" w:eastAsia="zh-CN"/>
        </w:rPr>
        <w:instrText xml:space="preserve"> ADDIN EN.REFLIST </w:instrText>
      </w:r>
      <w:r>
        <w:rPr>
          <w:rFonts w:hint="default" w:ascii="微软雅黑" w:hAnsi="微软雅黑" w:eastAsia="微软雅黑" w:cs="微软雅黑"/>
          <w:sz w:val="13"/>
          <w:szCs w:val="13"/>
          <w:lang w:val="en-US" w:eastAsia="zh-CN"/>
        </w:rPr>
        <w:fldChar w:fldCharType="separate"/>
      </w:r>
      <w:r>
        <w:rPr>
          <w:rFonts w:ascii="Calibri" w:hAnsi="Calibri" w:cs="Calibri" w:eastAsiaTheme="minorEastAsia"/>
          <w:kern w:val="2"/>
          <w:sz w:val="20"/>
          <w:szCs w:val="24"/>
          <w:lang w:val="en-US" w:eastAsia="zh-CN" w:bidi="ar-SA"/>
        </w:rPr>
        <w:t>1.</w:t>
      </w:r>
      <w:r>
        <w:rPr>
          <w:rFonts w:ascii="Calibri" w:hAnsi="Calibri" w:cs="Calibri" w:eastAsiaTheme="minorEastAsia"/>
          <w:kern w:val="2"/>
          <w:sz w:val="20"/>
          <w:szCs w:val="24"/>
          <w:lang w:val="en-US" w:eastAsia="zh-CN" w:bidi="ar-SA"/>
        </w:rPr>
        <w:tab/>
        <w:t xml:space="preserve">Scaglione, M., et al., </w:t>
      </w:r>
      <w:r>
        <w:rPr>
          <w:rFonts w:ascii="Calibri" w:hAnsi="Calibri" w:cs="Calibri" w:eastAsiaTheme="minorEastAsia"/>
          <w:i/>
          <w:kern w:val="2"/>
          <w:sz w:val="20"/>
          <w:szCs w:val="24"/>
          <w:lang w:val="en-US" w:eastAsia="zh-CN" w:bidi="ar-SA"/>
        </w:rPr>
        <w:t>Small bowel obstruction and intestinal ischemia: emphasizing the role of MDCT in the management decision process.</w:t>
      </w:r>
      <w:r>
        <w:rPr>
          <w:rFonts w:ascii="Calibri" w:hAnsi="Calibri" w:cs="Calibri" w:eastAsiaTheme="minorEastAsia"/>
          <w:kern w:val="2"/>
          <w:sz w:val="20"/>
          <w:szCs w:val="24"/>
          <w:lang w:val="en-US" w:eastAsia="zh-CN" w:bidi="ar-SA"/>
        </w:rPr>
        <w:t xml:space="preserve"> Abdom Radiol (NY), 2022. </w:t>
      </w:r>
      <w:r>
        <w:rPr>
          <w:rFonts w:ascii="Calibri" w:hAnsi="Calibri" w:cs="Calibri" w:eastAsiaTheme="minorEastAsia"/>
          <w:b/>
          <w:kern w:val="2"/>
          <w:sz w:val="20"/>
          <w:szCs w:val="24"/>
          <w:lang w:val="en-US" w:eastAsia="zh-CN" w:bidi="ar-SA"/>
        </w:rPr>
        <w:t>47</w:t>
      </w:r>
      <w:r>
        <w:rPr>
          <w:rFonts w:ascii="Calibri" w:hAnsi="Calibri" w:cs="Calibri" w:eastAsiaTheme="minorEastAsia"/>
          <w:kern w:val="2"/>
          <w:sz w:val="20"/>
          <w:szCs w:val="24"/>
          <w:lang w:val="en-US" w:eastAsia="zh-CN" w:bidi="ar-SA"/>
        </w:rPr>
        <w:t>(5): p. 1541-1555.</w:t>
      </w:r>
    </w:p>
    <w:p w14:paraId="4EFCA71E">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w:t>
      </w:r>
      <w:r>
        <w:rPr>
          <w:rFonts w:ascii="Calibri" w:hAnsi="Calibri" w:cs="Calibri" w:eastAsiaTheme="minorEastAsia"/>
          <w:kern w:val="2"/>
          <w:sz w:val="20"/>
          <w:szCs w:val="24"/>
          <w:lang w:val="en-US" w:eastAsia="zh-CN" w:bidi="ar-SA"/>
        </w:rPr>
        <w:tab/>
        <w:t xml:space="preserve">Buscail, E. and C. Deraison, </w:t>
      </w:r>
      <w:r>
        <w:rPr>
          <w:rFonts w:ascii="Calibri" w:hAnsi="Calibri" w:cs="Calibri" w:eastAsiaTheme="minorEastAsia"/>
          <w:i/>
          <w:kern w:val="2"/>
          <w:sz w:val="20"/>
          <w:szCs w:val="24"/>
          <w:lang w:val="en-US" w:eastAsia="zh-CN" w:bidi="ar-SA"/>
        </w:rPr>
        <w:t>Postoperative ileus: A pharmacological perspective.</w:t>
      </w:r>
      <w:r>
        <w:rPr>
          <w:rFonts w:ascii="Calibri" w:hAnsi="Calibri" w:cs="Calibri" w:eastAsiaTheme="minorEastAsia"/>
          <w:kern w:val="2"/>
          <w:sz w:val="20"/>
          <w:szCs w:val="24"/>
          <w:lang w:val="en-US" w:eastAsia="zh-CN" w:bidi="ar-SA"/>
        </w:rPr>
        <w:t xml:space="preserve"> Br J Pharmacol, 2022. </w:t>
      </w:r>
      <w:r>
        <w:rPr>
          <w:rFonts w:ascii="Calibri" w:hAnsi="Calibri" w:cs="Calibri" w:eastAsiaTheme="minorEastAsia"/>
          <w:b/>
          <w:kern w:val="2"/>
          <w:sz w:val="20"/>
          <w:szCs w:val="24"/>
          <w:lang w:val="en-US" w:eastAsia="zh-CN" w:bidi="ar-SA"/>
        </w:rPr>
        <w:t>179</w:t>
      </w:r>
      <w:r>
        <w:rPr>
          <w:rFonts w:ascii="Calibri" w:hAnsi="Calibri" w:cs="Calibri" w:eastAsiaTheme="minorEastAsia"/>
          <w:kern w:val="2"/>
          <w:sz w:val="20"/>
          <w:szCs w:val="24"/>
          <w:lang w:val="en-US" w:eastAsia="zh-CN" w:bidi="ar-SA"/>
        </w:rPr>
        <w:t>(13): p. 3283-3305.</w:t>
      </w:r>
    </w:p>
    <w:p w14:paraId="4F5AE532">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3.</w:t>
      </w:r>
      <w:r>
        <w:rPr>
          <w:rFonts w:ascii="Calibri" w:hAnsi="Calibri" w:cs="Calibri" w:eastAsiaTheme="minorEastAsia"/>
          <w:kern w:val="2"/>
          <w:sz w:val="20"/>
          <w:szCs w:val="24"/>
          <w:lang w:val="en-US" w:eastAsia="zh-CN" w:bidi="ar-SA"/>
        </w:rPr>
        <w:tab/>
        <w:t xml:space="preserve">Tasci, H.I., </w:t>
      </w:r>
      <w:r>
        <w:rPr>
          <w:rFonts w:ascii="Calibri" w:hAnsi="Calibri" w:cs="Calibri" w:eastAsiaTheme="minorEastAsia"/>
          <w:i/>
          <w:kern w:val="2"/>
          <w:sz w:val="20"/>
          <w:szCs w:val="24"/>
          <w:lang w:val="en-US" w:eastAsia="zh-CN" w:bidi="ar-SA"/>
        </w:rPr>
        <w:t>The role of neutrophil-to-lymphocyte ratio in predicting disease progression and emergency surgery indication in benign intestinal obstructions.</w:t>
      </w:r>
      <w:r>
        <w:rPr>
          <w:rFonts w:ascii="Calibri" w:hAnsi="Calibri" w:cs="Calibri" w:eastAsiaTheme="minorEastAsia"/>
          <w:kern w:val="2"/>
          <w:sz w:val="20"/>
          <w:szCs w:val="24"/>
          <w:lang w:val="en-US" w:eastAsia="zh-CN" w:bidi="ar-SA"/>
        </w:rPr>
        <w:t xml:space="preserve"> Ulus Travma Acil Cerrahi Derg, 2022. </w:t>
      </w:r>
      <w:r>
        <w:rPr>
          <w:rFonts w:ascii="Calibri" w:hAnsi="Calibri" w:cs="Calibri" w:eastAsiaTheme="minorEastAsia"/>
          <w:b/>
          <w:kern w:val="2"/>
          <w:sz w:val="20"/>
          <w:szCs w:val="24"/>
          <w:lang w:val="en-US" w:eastAsia="zh-CN" w:bidi="ar-SA"/>
        </w:rPr>
        <w:t>28</w:t>
      </w:r>
      <w:r>
        <w:rPr>
          <w:rFonts w:ascii="Calibri" w:hAnsi="Calibri" w:cs="Calibri" w:eastAsiaTheme="minorEastAsia"/>
          <w:kern w:val="2"/>
          <w:sz w:val="20"/>
          <w:szCs w:val="24"/>
          <w:lang w:val="en-US" w:eastAsia="zh-CN" w:bidi="ar-SA"/>
        </w:rPr>
        <w:t>(9): p. 1238-1247.</w:t>
      </w:r>
    </w:p>
    <w:p w14:paraId="3680750D">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4.</w:t>
      </w:r>
      <w:r>
        <w:rPr>
          <w:rFonts w:ascii="Calibri" w:hAnsi="Calibri" w:cs="Calibri" w:eastAsiaTheme="minorEastAsia"/>
          <w:kern w:val="2"/>
          <w:sz w:val="20"/>
          <w:szCs w:val="24"/>
          <w:lang w:val="en-US" w:eastAsia="zh-CN" w:bidi="ar-SA"/>
        </w:rPr>
        <w:tab/>
        <w:t xml:space="preserve">Reintam Blaser, A., et al., </w:t>
      </w:r>
      <w:r>
        <w:rPr>
          <w:rFonts w:ascii="Calibri" w:hAnsi="Calibri" w:cs="Calibri" w:eastAsiaTheme="minorEastAsia"/>
          <w:i/>
          <w:kern w:val="2"/>
          <w:sz w:val="20"/>
          <w:szCs w:val="24"/>
          <w:lang w:val="en-US" w:eastAsia="zh-CN" w:bidi="ar-SA"/>
        </w:rPr>
        <w:t>Diagnostic accuracy of biomarkers to detect acute mesenteric ischaemia in adult patients: a systematic review and meta-analysis.</w:t>
      </w:r>
      <w:r>
        <w:rPr>
          <w:rFonts w:ascii="Calibri" w:hAnsi="Calibri" w:cs="Calibri" w:eastAsiaTheme="minorEastAsia"/>
          <w:kern w:val="2"/>
          <w:sz w:val="20"/>
          <w:szCs w:val="24"/>
          <w:lang w:val="en-US" w:eastAsia="zh-CN" w:bidi="ar-SA"/>
        </w:rPr>
        <w:t xml:space="preserve"> World J Emerg Surg, 2023. </w:t>
      </w:r>
      <w:r>
        <w:rPr>
          <w:rFonts w:ascii="Calibri" w:hAnsi="Calibri" w:cs="Calibri" w:eastAsiaTheme="minorEastAsia"/>
          <w:b/>
          <w:kern w:val="2"/>
          <w:sz w:val="20"/>
          <w:szCs w:val="24"/>
          <w:lang w:val="en-US" w:eastAsia="zh-CN" w:bidi="ar-SA"/>
        </w:rPr>
        <w:t>18</w:t>
      </w:r>
      <w:r>
        <w:rPr>
          <w:rFonts w:ascii="Calibri" w:hAnsi="Calibri" w:cs="Calibri" w:eastAsiaTheme="minorEastAsia"/>
          <w:kern w:val="2"/>
          <w:sz w:val="20"/>
          <w:szCs w:val="24"/>
          <w:lang w:val="en-US" w:eastAsia="zh-CN" w:bidi="ar-SA"/>
        </w:rPr>
        <w:t>(1): p. 44.</w:t>
      </w:r>
    </w:p>
    <w:p w14:paraId="04C07137">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5.</w:t>
      </w:r>
      <w:r>
        <w:rPr>
          <w:rFonts w:ascii="Calibri" w:hAnsi="Calibri" w:cs="Calibri" w:eastAsiaTheme="minorEastAsia"/>
          <w:kern w:val="2"/>
          <w:sz w:val="20"/>
          <w:szCs w:val="24"/>
          <w:lang w:val="en-US" w:eastAsia="zh-CN" w:bidi="ar-SA"/>
        </w:rPr>
        <w:tab/>
        <w:t xml:space="preserve">Boguševičius, A., et al., </w:t>
      </w:r>
      <w:r>
        <w:rPr>
          <w:rFonts w:ascii="Calibri" w:hAnsi="Calibri" w:cs="Calibri" w:eastAsiaTheme="minorEastAsia"/>
          <w:i/>
          <w:kern w:val="2"/>
          <w:sz w:val="20"/>
          <w:szCs w:val="24"/>
          <w:lang w:val="en-US" w:eastAsia="zh-CN" w:bidi="ar-SA"/>
        </w:rPr>
        <w:t>The role of D-dimer in the diagnosis of strangulated small-bowel obstruction.</w:t>
      </w:r>
      <w:r>
        <w:rPr>
          <w:rFonts w:ascii="Calibri" w:hAnsi="Calibri" w:cs="Calibri" w:eastAsiaTheme="minorEastAsia"/>
          <w:kern w:val="2"/>
          <w:sz w:val="20"/>
          <w:szCs w:val="24"/>
          <w:lang w:val="en-US" w:eastAsia="zh-CN" w:bidi="ar-SA"/>
        </w:rPr>
        <w:t xml:space="preserve"> Medicina, 2007. </w:t>
      </w:r>
      <w:r>
        <w:rPr>
          <w:rFonts w:ascii="Calibri" w:hAnsi="Calibri" w:cs="Calibri" w:eastAsiaTheme="minorEastAsia"/>
          <w:b/>
          <w:kern w:val="2"/>
          <w:sz w:val="20"/>
          <w:szCs w:val="24"/>
          <w:lang w:val="en-US" w:eastAsia="zh-CN" w:bidi="ar-SA"/>
        </w:rPr>
        <w:t>43</w:t>
      </w:r>
      <w:r>
        <w:rPr>
          <w:rFonts w:ascii="Calibri" w:hAnsi="Calibri" w:cs="Calibri" w:eastAsiaTheme="minorEastAsia"/>
          <w:kern w:val="2"/>
          <w:sz w:val="20"/>
          <w:szCs w:val="24"/>
          <w:lang w:val="en-US" w:eastAsia="zh-CN" w:bidi="ar-SA"/>
        </w:rPr>
        <w:t>(11): p. 850.</w:t>
      </w:r>
    </w:p>
    <w:p w14:paraId="0FAF20C8">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6.</w:t>
      </w:r>
      <w:r>
        <w:rPr>
          <w:rFonts w:ascii="Calibri" w:hAnsi="Calibri" w:cs="Calibri" w:eastAsiaTheme="minorEastAsia"/>
          <w:kern w:val="2"/>
          <w:sz w:val="20"/>
          <w:szCs w:val="24"/>
          <w:lang w:val="en-US" w:eastAsia="zh-CN" w:bidi="ar-SA"/>
        </w:rPr>
        <w:tab/>
        <w:t xml:space="preserve">Jha, A.K., et al., </w:t>
      </w:r>
      <w:r>
        <w:rPr>
          <w:rFonts w:ascii="Calibri" w:hAnsi="Calibri" w:cs="Calibri" w:eastAsiaTheme="minorEastAsia"/>
          <w:i/>
          <w:kern w:val="2"/>
          <w:sz w:val="20"/>
          <w:szCs w:val="24"/>
          <w:lang w:val="en-US" w:eastAsia="zh-CN" w:bidi="ar-SA"/>
        </w:rPr>
        <w:t>Sensitivity and Specificity of CT and Its signs for Diagnosis of Strangulation in Patients with Acute Small Bowel Obstruction.</w:t>
      </w:r>
      <w:r>
        <w:rPr>
          <w:rFonts w:ascii="Calibri" w:hAnsi="Calibri" w:cs="Calibri" w:eastAsiaTheme="minorEastAsia"/>
          <w:kern w:val="2"/>
          <w:sz w:val="20"/>
          <w:szCs w:val="24"/>
          <w:lang w:val="en-US" w:eastAsia="zh-CN" w:bidi="ar-SA"/>
        </w:rPr>
        <w:t xml:space="preserve"> Journal of the Nepal Medical Association, 2014. </w:t>
      </w:r>
      <w:r>
        <w:rPr>
          <w:rFonts w:ascii="Calibri" w:hAnsi="Calibri" w:cs="Calibri" w:eastAsiaTheme="minorEastAsia"/>
          <w:b/>
          <w:kern w:val="2"/>
          <w:sz w:val="20"/>
          <w:szCs w:val="24"/>
          <w:lang w:val="en-US" w:eastAsia="zh-CN" w:bidi="ar-SA"/>
        </w:rPr>
        <w:t>52</w:t>
      </w:r>
      <w:r>
        <w:rPr>
          <w:rFonts w:ascii="Calibri" w:hAnsi="Calibri" w:cs="Calibri" w:eastAsiaTheme="minorEastAsia"/>
          <w:kern w:val="2"/>
          <w:sz w:val="20"/>
          <w:szCs w:val="24"/>
          <w:lang w:val="en-US" w:eastAsia="zh-CN" w:bidi="ar-SA"/>
        </w:rPr>
        <w:t>(193).</w:t>
      </w:r>
    </w:p>
    <w:p w14:paraId="4719E44C">
      <w:pPr>
        <w:pStyle w:val="6"/>
        <w:bidi w:val="0"/>
        <w:ind w:left="720" w:hanging="72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7.</w:t>
      </w:r>
      <w:r>
        <w:rPr>
          <w:rFonts w:ascii="Calibri" w:hAnsi="Calibri" w:cs="Calibri" w:eastAsiaTheme="minorEastAsia"/>
          <w:kern w:val="2"/>
          <w:sz w:val="20"/>
          <w:szCs w:val="24"/>
          <w:lang w:val="en-US" w:eastAsia="zh-CN" w:bidi="ar-SA"/>
        </w:rPr>
        <w:tab/>
        <w:t xml:space="preserve">Behman, R., et al., </w:t>
      </w:r>
      <w:r>
        <w:rPr>
          <w:rFonts w:ascii="Calibri" w:hAnsi="Calibri" w:cs="Calibri" w:eastAsiaTheme="minorEastAsia"/>
          <w:i/>
          <w:kern w:val="2"/>
          <w:sz w:val="20"/>
          <w:szCs w:val="24"/>
          <w:lang w:val="en-US" w:eastAsia="zh-CN" w:bidi="ar-SA"/>
        </w:rPr>
        <w:t>Association of Surgical Intervention for Adhesive Small-Bowel Obstruction With the Risk of Recurrence.</w:t>
      </w:r>
      <w:r>
        <w:rPr>
          <w:rFonts w:ascii="Calibri" w:hAnsi="Calibri" w:cs="Calibri" w:eastAsiaTheme="minorEastAsia"/>
          <w:kern w:val="2"/>
          <w:sz w:val="20"/>
          <w:szCs w:val="24"/>
          <w:lang w:val="en-US" w:eastAsia="zh-CN" w:bidi="ar-SA"/>
        </w:rPr>
        <w:t xml:space="preserve"> JAMA Surgery, 2019. </w:t>
      </w:r>
      <w:r>
        <w:rPr>
          <w:rFonts w:ascii="Calibri" w:hAnsi="Calibri" w:cs="Calibri" w:eastAsiaTheme="minorEastAsia"/>
          <w:b/>
          <w:kern w:val="2"/>
          <w:sz w:val="20"/>
          <w:szCs w:val="24"/>
          <w:lang w:val="en-US" w:eastAsia="zh-CN" w:bidi="ar-SA"/>
        </w:rPr>
        <w:t>154</w:t>
      </w:r>
      <w:r>
        <w:rPr>
          <w:rFonts w:ascii="Calibri" w:hAnsi="Calibri" w:cs="Calibri" w:eastAsiaTheme="minorEastAsia"/>
          <w:kern w:val="2"/>
          <w:sz w:val="20"/>
          <w:szCs w:val="24"/>
          <w:lang w:val="en-US" w:eastAsia="zh-CN" w:bidi="ar-SA"/>
        </w:rPr>
        <w:t>(5): p. 413-420.</w:t>
      </w:r>
    </w:p>
    <w:p w14:paraId="5A0E506C">
      <w:pPr>
        <w:jc w:val="left"/>
        <w:rPr>
          <w:rFonts w:hint="default" w:ascii="微软雅黑" w:hAnsi="微软雅黑" w:eastAsia="微软雅黑" w:cs="微软雅黑"/>
          <w:sz w:val="13"/>
          <w:szCs w:val="13"/>
          <w:lang w:val="en-US" w:eastAsia="zh-CN"/>
        </w:rPr>
      </w:pPr>
      <w:r>
        <w:rPr>
          <w:rFonts w:hint="default" w:ascii="微软雅黑" w:hAnsi="微软雅黑" w:eastAsia="微软雅黑" w:cs="微软雅黑"/>
          <w:sz w:val="13"/>
          <w:szCs w:val="13"/>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3D3E3"/>
    <w:multiLevelType w:val="singleLevel"/>
    <w:tmpl w:val="97B3D3E3"/>
    <w:lvl w:ilvl="0" w:tentative="0">
      <w:start w:val="4"/>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5MThiOTkxNzkzZDM2YmQ1YTlmNDliZjJmNjZmNDgifQ=="/>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svxrsw7rxpabe55zhpttarwz0p9v92zf22&quot;&gt;My EndNote Library&lt;record-ids&gt;&lt;item&gt;16&lt;/item&gt;&lt;item&gt;28&lt;/item&gt;&lt;item&gt;62&lt;/item&gt;&lt;item&gt;65&lt;/item&gt;&lt;item&gt;66&lt;/item&gt;&lt;item&gt;67&lt;/item&gt;&lt;item&gt;70&lt;/item&gt;&lt;/record-ids&gt;&lt;/item&gt;&lt;/Libraries&gt;"/>
  </w:docVars>
  <w:rsids>
    <w:rsidRoot w:val="7EB94D82"/>
    <w:rsid w:val="005C7E8C"/>
    <w:rsid w:val="10023C31"/>
    <w:rsid w:val="3BEF2B36"/>
    <w:rsid w:val="407E2DCD"/>
    <w:rsid w:val="69CD49B3"/>
    <w:rsid w:val="797F6903"/>
    <w:rsid w:val="7EB94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5">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Calibri" w:hAnsi="Calibri" w:cs="Calibri" w:eastAsiaTheme="minorEastAsia"/>
      <w:kern w:val="2"/>
      <w:sz w:val="20"/>
      <w:szCs w:val="24"/>
      <w:lang w:val="en-US" w:eastAsia="zh-CN" w:bidi="ar-SA"/>
    </w:rPr>
  </w:style>
  <w:style w:type="paragraph" w:customStyle="1" w:styleId="6">
    <w:name w:val="EndNote Bibliography"/>
    <w:uiPriority w:val="0"/>
    <w:pPr>
      <w:pBdr>
        <w:top w:val="none" w:color="auto" w:sz="0" w:space="0"/>
        <w:left w:val="none" w:color="auto" w:sz="0" w:space="0"/>
        <w:bottom w:val="none" w:color="auto" w:sz="0" w:space="0"/>
        <w:right w:val="none" w:color="auto" w:sz="0" w:space="0"/>
        <w:between w:val="none" w:color="auto" w:sz="0" w:space="0"/>
      </w:pBdr>
    </w:pPr>
    <w:rPr>
      <w:rFonts w:ascii="Calibri" w:hAnsi="Calibri" w:cs="Calibri" w:eastAsiaTheme="minorEastAsia"/>
      <w:kern w:val="2"/>
      <w:sz w:val="20"/>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1844</Words>
  <Characters>2898</Characters>
  <Lines>0</Lines>
  <Paragraphs>0</Paragraphs>
  <TotalTime>22</TotalTime>
  <ScaleCrop>false</ScaleCrop>
  <LinksUpToDate>false</LinksUpToDate>
  <CharactersWithSpaces>3061</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2024-07-26T09:06:00Z</dcterms:created>
  <dc:creator>lnglat</dc:creator>
  <cp:lastModifiedBy>lnglat</cp:lastModifiedBy>
  <dcterms:modified xsi:type="dcterms:W3CDTF">2024-08-08T13:01:35Z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D01BDF6576C14EE5B554E4706FBC5DF5_11</vt:lpwstr>
  </property>
</Properties>
</file>