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251C3"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Materials and methods</w:t>
      </w:r>
    </w:p>
    <w:p w14:paraId="15A3B642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Study Subjects</w:t>
      </w:r>
    </w:p>
    <w:p w14:paraId="6F411613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18"/>
          <w:szCs w:val="18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研究人群：我们回顾了分析2020年12月~2023年10月，因急性小肠梗阻入住我院的606例患者，排除标准：1.临床资料不全在外院进行CT增强扫描2.癌性肠梗阻3.保守治疗期间死亡，397</w:t>
      </w:r>
      <w:bookmarkStart w:id="0" w:name="_GoBack"/>
      <w:bookmarkEnd w:id="0"/>
      <w:r>
        <w:rPr>
          <w:rFonts w:hint="eastAsia"/>
          <w:b w:val="0"/>
          <w:bCs w:val="0"/>
          <w:sz w:val="24"/>
          <w:szCs w:val="24"/>
          <w:lang w:val="en-US" w:eastAsia="zh-CN"/>
        </w:rPr>
        <w:t>例纳入研究。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对于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腹膜炎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体征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、血流动力学不稳定、尽管胃部减压仍出现严重急性腹痛或CT扫描显示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有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小肠缺血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、闭襻性肠梗阻征象、腹水等表现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的患者（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手术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治疗组），进行了紧急手术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通常进行剖腹手术，有时采取腹腔镜方法，这取决于肠道扩张程度、患者病史和个人手术经验。非手术治疗适用于不需要紧急手术的患者（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保守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治疗组）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通过鼻胃管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或鼻肠管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进行胃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肠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减压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，生长抑素或类似物抑制消化液分泌、减轻肠壁水肿，保守治疗时间1~27天不等。</w:t>
      </w:r>
    </w:p>
    <w:p w14:paraId="74FAE2B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t>该研究已由</w:t>
      </w:r>
      <w:r>
        <w:rPr>
          <w:rFonts w:hint="eastAsia"/>
          <w:lang w:val="en-US" w:eastAsia="zh-CN"/>
        </w:rPr>
        <w:t>东阳人民</w:t>
      </w:r>
      <w:r>
        <w:t>医院</w:t>
      </w:r>
      <w:r>
        <w:rPr>
          <w:rFonts w:hint="eastAsia"/>
          <w:lang w:val="en-US" w:eastAsia="zh-CN"/>
        </w:rPr>
        <w:t>伦</w:t>
      </w:r>
      <w:r>
        <w:t>理委员会审查并批准</w:t>
      </w:r>
      <w:r>
        <w:rPr>
          <w:rFonts w:hint="eastAsia"/>
          <w:lang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我们收集了患者的人口统计信息、影像学发现、血液检测结果以及诊断结果（从2020年12月1日至2023年10月31日）。所有数据都是从电子病历系统中回顾性获取的。</w:t>
      </w:r>
    </w:p>
    <w:p w14:paraId="18190644">
      <w:pPr>
        <w:numPr>
          <w:ilvl w:val="0"/>
          <w:numId w:val="1"/>
        </w:numPr>
        <w:ind w:left="425" w:leftChars="0" w:hanging="425" w:firstLineChars="0"/>
        <w:jc w:val="left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Statistical Analysis</w:t>
      </w:r>
    </w:p>
    <w:p w14:paraId="0A61189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统计分析 我们使用IBM SPSS Statistics 27和R 4.3.3进行统计分析。通过SPSS,我们将接近5%-10%的数据缺失采用</w:t>
      </w:r>
      <w:r>
        <w:rPr>
          <w:rFonts w:ascii="宋体" w:hAnsi="宋体" w:eastAsia="宋体" w:cs="宋体"/>
          <w:sz w:val="24"/>
          <w:szCs w:val="24"/>
        </w:rPr>
        <w:t>Expectation-Maximization Algorithm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进行插补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插补值的重要性均在0.9以上。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通过R,我们进行了描述性分析，数据以平均值±标准差的形式展示。</w:t>
      </w:r>
      <w:r>
        <w:t>描述性统计对基线特征进行分析，如果分布正常，则连续变量以均值和标准差（SD）表示，否则以中位数和四分位距（IQR）表示；分类变量则以数量和百分比表示。对于正态分布的变量，使用t检验进行定量变量的比较，否则使用Mann-Whitney U检验。分类变量之间的组间比较采用Pearson卡方检验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对于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P值小于0.05被认为具有统计学显著性，并且引入多变量回归模型中进行二元logistics回归。在回归模型中，变量的诊断价值借助受试者工作特征曲线（ROC）分析来确定，并且得到灵敏度和特异度。</w:t>
      </w:r>
    </w:p>
    <w:p w14:paraId="324B9194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sz w:val="28"/>
          <w:szCs w:val="28"/>
        </w:rPr>
      </w:pPr>
    </w:p>
    <w:p w14:paraId="58586E4B">
      <w:pPr>
        <w:jc w:val="center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Result</w:t>
      </w:r>
    </w:p>
    <w:p w14:paraId="7B2D6D7F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我们研究包括397例肠梗阻患者（表1）：男性246名（62%），女性151名，中位年龄为63.5岁（范围从16-97岁），根据最终是否进行手术治疗，研究对象被分为手术治疗组（n=103）和保守治疗组（n=294），两组在性别和年龄上并无显著差异。比较两组血液检测结果，发现手术组白细胞数量和D-二聚体数量显著高于保守治疗组（p&lt;0.001），手术组的血小板数量低于保守治疗组有统计学意义（p&lt;0.05）。考虑到D-二聚体和血小板均与凝血相关，将二者合并为联合指标（platelet/D-Dimer）,且该联合指标有显著差异（p&lt;0.001）。在对患者粘膜下动静脉期CT增强扫描中，手术组的CT值显著低于保守治疗组（p&lt;0.001）。</w:t>
      </w:r>
    </w:p>
    <w:p w14:paraId="2885772E">
      <w:pPr>
        <w:numPr>
          <w:ilvl w:val="0"/>
          <w:numId w:val="0"/>
        </w:numPr>
        <w:ind w:leftChars="0"/>
        <w:jc w:val="left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通过二元logistics回归，将N/L、platelet/D-Dimer、Arterial phase、Venous phase以向后的方式拟合模型。结果显示（表2），N/L的B值为0.079（P &lt; 0.001）；platelet/D-Dimer的B值为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>-0.007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（P &lt; 0.001）；Venous phase的B值为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>-0.031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（P &lt; 0.001）。为了评估N/L、platelet/D-Dimer和Venous phase在预测判定是否需要手术方面的性能，我们进行了ROC曲线分析。如表3所示，N/L的ROC曲线下面积（AUC）为0.768[Sensitivity=0.699 (0.602-0.845)、Specificity=0.765 (0.585-0.837)、PPV=0.511 (0.413-0.587)、NPV=0.88 (0.849-0.922)、AUC=0.768 (0.715-0.821)]，platelet/D-Dimer的AUC为0.743[Sensitivity=0.68 (0.544-0.864)、Specificity=0.741 (0.537-0.833)、PPV=0.474 (0.385-0.564)、NPV=0.869 (0.833-0.923)、AUC=0.743 (0.689-0.797)]，Venous phase的AUC为0.624[Sensitivity=0.757 (0.573-0.913)、Specificity=0.5 (0.313-0.667)、PPV=0.347 (0.306-0.407)、NPV=0.853 (0.805-0.92)、AUC=0.624 (0.564-0.684)]。</w:t>
      </w:r>
    </w:p>
    <w:p w14:paraId="72E6A166">
      <w:pPr>
        <w:numPr>
          <w:ilvl w:val="0"/>
          <w:numId w:val="0"/>
        </w:numPr>
        <w:ind w:leftChars="0"/>
        <w:jc w:val="left"/>
        <w:rPr>
          <w:rFonts w:hint="default" w:eastAsia="宋体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此外，将</w:t>
      </w:r>
      <w:r>
        <w:rPr>
          <w:rFonts w:hint="default"/>
          <w:b w:val="0"/>
          <w:bCs w:val="0"/>
          <w:sz w:val="24"/>
          <w:szCs w:val="24"/>
          <w:lang w:val="en-US" w:eastAsia="zh-CN"/>
        </w:rPr>
        <w:t>’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N/L 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+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 Platelet/D-Dimer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、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N/L 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+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 Venous phase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、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Platelet/D-Dimer 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+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 Venous phase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、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N/L 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+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 Platelet/D-Dimer 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+</w:t>
      </w:r>
      <w:r>
        <w:rPr>
          <w:rFonts w:ascii="Arial" w:hAnsi="Arial" w:eastAsia="Arial" w:cs="Arial"/>
          <w:b w:val="0"/>
          <w:i w:val="0"/>
          <w:color w:val="000000"/>
          <w:sz w:val="22"/>
          <w:szCs w:val="22"/>
          <w:u w:val="none"/>
        </w:rPr>
        <w:t xml:space="preserve"> Venous phase</w:t>
      </w:r>
      <w:r>
        <w:rPr>
          <w:rFonts w:hint="default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’</w:t>
      </w:r>
      <w:r>
        <w:rPr>
          <w:rFonts w:hint="eastAsia" w:ascii="Arial" w:hAnsi="Arial" w:eastAsia="宋体" w:cs="Arial"/>
          <w:b w:val="0"/>
          <w:i w:val="0"/>
          <w:color w:val="000000"/>
          <w:sz w:val="22"/>
          <w:szCs w:val="22"/>
          <w:u w:val="none"/>
          <w:lang w:val="en-US" w:eastAsia="zh-CN"/>
        </w:rPr>
        <w:t>分别定义为model1、2、3、4（表4）。结果显示，模型3在诊断性能上优于其他模型，具有最高的敏感性（0.738）和较高的特异性（0.745），以及最高的AUC（0.779），表明其综合表现最佳。相比之下，模型1的诊断效能较低，AUC仅为0.504。模型2虽然AUC也较高（0.704），但综合性能稍逊于模型3。模型4在敏感性和特异性方面均表现一般，AUC为0.54。</w:t>
      </w:r>
    </w:p>
    <w:p w14:paraId="27F3594B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p w14:paraId="0FEDA740"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CEC822"/>
    <w:multiLevelType w:val="multilevel"/>
    <w:tmpl w:val="31CEC8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Q5MThiOTkxNzkzZDM2YmQ1YTlmNDliZjJmNjZmNDgifQ=="/>
  </w:docVars>
  <w:rsids>
    <w:rsidRoot w:val="48831241"/>
    <w:rsid w:val="112876BD"/>
    <w:rsid w:val="165247B2"/>
    <w:rsid w:val="1B9752D1"/>
    <w:rsid w:val="35835466"/>
    <w:rsid w:val="358E3365"/>
    <w:rsid w:val="3B414A60"/>
    <w:rsid w:val="48831241"/>
    <w:rsid w:val="4D8E1FD6"/>
    <w:rsid w:val="5C4807D6"/>
    <w:rsid w:val="64073ADE"/>
    <w:rsid w:val="6CFE74A9"/>
    <w:rsid w:val="6F7452C8"/>
    <w:rsid w:val="77F02658"/>
    <w:rsid w:val="795A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1287</Words>
  <Characters>2171</Characters>
  <Lines>0</Lines>
  <Paragraphs>0</Paragraphs>
  <TotalTime>0</TotalTime>
  <ScaleCrop>false</ScaleCrop>
  <LinksUpToDate>false</LinksUpToDate>
  <CharactersWithSpaces>2221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2024-07-21T08:07:00Z</dcterms:created>
  <dc:creator>lnglat</dc:creator>
  <cp:lastModifiedBy>lnglat</cp:lastModifiedBy>
  <dcterms:modified xsi:type="dcterms:W3CDTF">2026-07-17T11:23:16Z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210E492F550F4AB094CA73D47109EF87_11</vt:lpwstr>
  </property>
  <property fmtid="{D5CDD505-2E9C-101B-9397-08002B2CF9AE}" pid="4" name="KSOTemplateDocerSaveRecord">
    <vt:lpwstr>eyJoZGlkIjoiMzQ5MThiOTkxNzkzZDM2YmQ1YTlmNDliZjJmNjZmNDgiLCJ1c2VySWQiOiIxMDM1MDM5MTkwIn0=</vt:lpwstr>
  </property>
</Properties>
</file>