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6064" w14:textId="77777777" w:rsidR="00A103BB" w:rsidRPr="00640581" w:rsidRDefault="00000000">
      <w:pPr>
        <w:spacing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8"/>
          <w:szCs w:val="28"/>
        </w:rPr>
        <w:t>Selling the Upside After Pay Filings: A Covered-Call Test on Executive-Compensation 8-Ks</w:t>
      </w:r>
    </w:p>
    <w:p w14:paraId="7D4EB9E9" w14:textId="77777777" w:rsidR="00A103BB" w:rsidRPr="00640581" w:rsidRDefault="00000000">
      <w:pPr>
        <w:spacing w:after="20"/>
        <w:rPr>
          <w:rFonts w:asciiTheme="minorEastAsia" w:eastAsiaTheme="minorEastAsia" w:hAnsiTheme="minorEastAsia"/>
          <w:sz w:val="21"/>
          <w:szCs w:val="21"/>
        </w:rPr>
      </w:pPr>
      <w:r w:rsidRPr="00640581">
        <w:rPr>
          <w:rFonts w:asciiTheme="minorEastAsia" w:eastAsiaTheme="minorEastAsia" w:hAnsiTheme="minorEastAsia"/>
          <w:sz w:val="18"/>
          <w:szCs w:val="18"/>
        </w:rPr>
        <w:t xml:space="preserve">Tag </w:t>
      </w:r>
      <w:proofErr w:type="spellStart"/>
      <w:r w:rsidRPr="00640581">
        <w:rPr>
          <w:rFonts w:asciiTheme="minorEastAsia" w:eastAsiaTheme="minorEastAsia" w:hAnsiTheme="minorEastAsia"/>
          <w:sz w:val="18"/>
          <w:szCs w:val="18"/>
        </w:rPr>
        <w:t>executive_compensation_change</w:t>
      </w:r>
      <w:proofErr w:type="spellEnd"/>
      <w:r w:rsidRPr="00640581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640581">
        <w:rPr>
          <w:rFonts w:asciiTheme="minorEastAsia" w:eastAsiaTheme="minorEastAsia" w:hAnsiTheme="minorEastAsia" w:cs="Cambria"/>
          <w:sz w:val="18"/>
          <w:szCs w:val="18"/>
        </w:rPr>
        <w:t>·</w:t>
      </w:r>
      <w:r w:rsidRPr="00640581">
        <w:rPr>
          <w:rFonts w:asciiTheme="minorEastAsia" w:eastAsiaTheme="minorEastAsia" w:hAnsiTheme="minorEastAsia"/>
          <w:sz w:val="18"/>
          <w:szCs w:val="18"/>
        </w:rPr>
        <w:t xml:space="preserve"> 100 largest US equities </w:t>
      </w:r>
      <w:r w:rsidRPr="00640581">
        <w:rPr>
          <w:rFonts w:asciiTheme="minorEastAsia" w:eastAsiaTheme="minorEastAsia" w:hAnsiTheme="minorEastAsia" w:cs="Cambria"/>
          <w:sz w:val="18"/>
          <w:szCs w:val="18"/>
        </w:rPr>
        <w:t>·</w:t>
      </w:r>
      <w:r w:rsidRPr="00640581">
        <w:rPr>
          <w:rFonts w:asciiTheme="minorEastAsia" w:eastAsiaTheme="minorEastAsia" w:hAnsiTheme="minorEastAsia"/>
          <w:sz w:val="18"/>
          <w:szCs w:val="18"/>
        </w:rPr>
        <w:t xml:space="preserve"> in-sample 2024-01-01 to 2025-12-31 </w:t>
      </w:r>
      <w:r w:rsidRPr="00640581">
        <w:rPr>
          <w:rFonts w:asciiTheme="minorEastAsia" w:eastAsiaTheme="minorEastAsia" w:hAnsiTheme="minorEastAsia" w:cs="Cambria"/>
          <w:sz w:val="18"/>
          <w:szCs w:val="18"/>
        </w:rPr>
        <w:t>·</w:t>
      </w:r>
      <w:r w:rsidRPr="00640581">
        <w:rPr>
          <w:rFonts w:asciiTheme="minorEastAsia" w:eastAsiaTheme="minorEastAsia" w:hAnsiTheme="minorEastAsia"/>
          <w:sz w:val="18"/>
          <w:szCs w:val="18"/>
        </w:rPr>
        <w:t xml:space="preserve"> out-of-sample 2026-01-01 to 2026-08-31 </w:t>
      </w:r>
      <w:r w:rsidRPr="00640581">
        <w:rPr>
          <w:rFonts w:asciiTheme="minorEastAsia" w:eastAsiaTheme="minorEastAsia" w:hAnsiTheme="minorEastAsia" w:cs="Cambria"/>
          <w:sz w:val="18"/>
          <w:szCs w:val="18"/>
        </w:rPr>
        <w:t>·</w:t>
      </w:r>
      <w:r w:rsidRPr="00640581">
        <w:rPr>
          <w:rFonts w:asciiTheme="minorEastAsia" w:eastAsiaTheme="minorEastAsia" w:hAnsiTheme="minorEastAsia"/>
          <w:sz w:val="18"/>
          <w:szCs w:val="18"/>
        </w:rPr>
        <w:t xml:space="preserve"> headline cell: 3</w:t>
      </w:r>
      <w:r w:rsidRPr="00640581">
        <w:rPr>
          <w:rFonts w:asciiTheme="minorEastAsia" w:eastAsiaTheme="minorEastAsia" w:hAnsiTheme="minorEastAsia" w:cs="Bell MT"/>
          <w:sz w:val="18"/>
          <w:szCs w:val="18"/>
        </w:rPr>
        <w:t>–</w:t>
      </w:r>
      <w:r w:rsidRPr="00640581">
        <w:rPr>
          <w:rFonts w:asciiTheme="minorEastAsia" w:eastAsiaTheme="minorEastAsia" w:hAnsiTheme="minorEastAsia"/>
          <w:sz w:val="18"/>
          <w:szCs w:val="18"/>
        </w:rPr>
        <w:t xml:space="preserve">6-month options, call </w:t>
      </w:r>
      <w:r w:rsidRPr="00640581">
        <w:rPr>
          <w:rFonts w:asciiTheme="minorEastAsia" w:eastAsiaTheme="minorEastAsia" w:hAnsiTheme="minorEastAsia" w:cs="Bell MT"/>
          <w:sz w:val="18"/>
          <w:szCs w:val="18"/>
        </w:rPr>
        <w:t>≈</w:t>
      </w:r>
      <w:r w:rsidRPr="00640581">
        <w:rPr>
          <w:rFonts w:asciiTheme="minorEastAsia" w:eastAsiaTheme="minorEastAsia" w:hAnsiTheme="minorEastAsia"/>
          <w:sz w:val="18"/>
          <w:szCs w:val="18"/>
        </w:rPr>
        <w:t>5% OTM, entry at the filing-session close</w:t>
      </w:r>
    </w:p>
    <w:p w14:paraId="5DB9A4AB" w14:textId="77777777" w:rsidR="00640581" w:rsidRDefault="00640581">
      <w:pPr>
        <w:spacing w:after="40"/>
        <w:jc w:val="both"/>
        <w:rPr>
          <w:rFonts w:asciiTheme="minorEastAsia" w:eastAsiaTheme="minorEastAsia" w:hAnsiTheme="minorEastAsia"/>
          <w:b/>
          <w:bCs/>
        </w:rPr>
      </w:pPr>
    </w:p>
    <w:p w14:paraId="1FF5022C" w14:textId="7D0C58DA" w:rsidR="00A103BB" w:rsidRPr="00640581" w:rsidRDefault="00000000">
      <w:pPr>
        <w:spacing w:after="4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Result in one paragraph. </w:t>
      </w:r>
      <w:r w:rsidRPr="00640581">
        <w:rPr>
          <w:rFonts w:asciiTheme="minorEastAsia" w:eastAsiaTheme="minorEastAsia" w:hAnsiTheme="minorEastAsia"/>
        </w:rPr>
        <w:t>The covered call is profitable in-sample (+3.77% to expiry) and out-of-sample (+6.36%), but the stock alone earned almost as much (+3.58%, +7.58%)</w:t>
      </w:r>
      <w:r w:rsidR="00640581" w:rsidRPr="00640581">
        <w:rPr>
          <w:rFonts w:asciiTheme="minorEastAsia" w:eastAsiaTheme="minorEastAsia" w:hAnsiTheme="minorEastAsia"/>
        </w:rPr>
        <w:t>. However, the stock price is devised from put-call parity in European options so we can take a more skeptical look here.</w:t>
      </w:r>
    </w:p>
    <w:p w14:paraId="15610C95" w14:textId="77777777" w:rsidR="00A103BB" w:rsidRPr="00640581" w:rsidRDefault="00000000">
      <w:pPr>
        <w:keepNext/>
        <w:pBdr>
          <w:bottom w:val="single" w:sz="4" w:space="1" w:color="A6B8D8"/>
        </w:pBdr>
        <w:spacing w:before="8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0"/>
          <w:szCs w:val="20"/>
        </w:rPr>
        <w:t>1. Hypothesis</w:t>
      </w:r>
    </w:p>
    <w:p w14:paraId="472C6541" w14:textId="3F38F417" w:rsidR="00A103BB" w:rsidRPr="00640581" w:rsidRDefault="00000000">
      <w:pPr>
        <w:spacing w:after="4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Category to strategy. </w:t>
      </w:r>
      <w:r w:rsidRPr="00640581">
        <w:rPr>
          <w:rFonts w:asciiTheme="minorEastAsia" w:eastAsiaTheme="minorEastAsia" w:hAnsiTheme="minorEastAsia"/>
        </w:rPr>
        <w:t xml:space="preserve">Filings in this tag are Item 5.02(e)-type disclosures of board-approved pay decisions: committee actions (AMD, AMT), employment-agreement amendments (NOW), pay tied to a leadership transition (SCHW), pay for a new director (CSCO). They seldom change expected cash flows [11], so we conjecture that whatever event-uncertainty premium is left in 3–6-month options </w:t>
      </w:r>
      <w:r w:rsidR="008238C0" w:rsidRPr="00640581">
        <w:rPr>
          <w:rFonts w:asciiTheme="minorEastAsia" w:eastAsiaTheme="minorEastAsia" w:hAnsiTheme="minorEastAsia"/>
        </w:rPr>
        <w:t>are</w:t>
      </w:r>
      <w:r w:rsidRPr="00640581">
        <w:rPr>
          <w:rFonts w:asciiTheme="minorEastAsia" w:eastAsiaTheme="minorEastAsia" w:hAnsiTheme="minorEastAsia"/>
        </w:rPr>
        <w:t xml:space="preserve"> not repaid by realized volatility. A covered call (long stock, short call) is long equity and short volatility [9, 14], the cheapest way to sell that premium without naked tail risk. </w:t>
      </w:r>
      <w:r w:rsidRPr="00640581">
        <w:rPr>
          <w:rFonts w:asciiTheme="minorEastAsia" w:eastAsiaTheme="minorEastAsia" w:hAnsiTheme="minorEastAsia"/>
          <w:b/>
          <w:bCs/>
        </w:rPr>
        <w:t xml:space="preserve">The sign is deliberate. </w:t>
      </w:r>
      <w:r w:rsidRPr="00640581">
        <w:rPr>
          <w:rFonts w:asciiTheme="minorEastAsia" w:eastAsiaTheme="minorEastAsia" w:hAnsiTheme="minorEastAsia"/>
        </w:rPr>
        <w:t xml:space="preserve">For scheduled, information-rich events (earnings), option buyers earn because uncertainty is </w:t>
      </w:r>
      <w:proofErr w:type="spellStart"/>
      <w:r w:rsidRPr="00640581">
        <w:rPr>
          <w:rFonts w:asciiTheme="minorEastAsia" w:eastAsiaTheme="minorEastAsia" w:hAnsiTheme="minorEastAsia"/>
        </w:rPr>
        <w:t>under-priced</w:t>
      </w:r>
      <w:proofErr w:type="spellEnd"/>
      <w:r w:rsidRPr="00640581">
        <w:rPr>
          <w:rFonts w:asciiTheme="minorEastAsia" w:eastAsiaTheme="minorEastAsia" w:hAnsiTheme="minorEastAsia"/>
        </w:rPr>
        <w:t xml:space="preserve"> [5, 6]; we expect the reverse where a filing </w:t>
      </w:r>
      <w:proofErr w:type="gramStart"/>
      <w:r w:rsidRPr="00640581">
        <w:rPr>
          <w:rFonts w:asciiTheme="minorEastAsia" w:eastAsiaTheme="minorEastAsia" w:hAnsiTheme="minorEastAsia"/>
        </w:rPr>
        <w:t>resolves</w:t>
      </w:r>
      <w:proofErr w:type="gramEnd"/>
      <w:r w:rsidRPr="00640581">
        <w:rPr>
          <w:rFonts w:asciiTheme="minorEastAsia" w:eastAsiaTheme="minorEastAsia" w:hAnsiTheme="minorEastAsia"/>
        </w:rPr>
        <w:t xml:space="preserve"> little. Selling volatility also pays on ordinary days [1–3], so the test is against a placebo: </w:t>
      </w:r>
      <w:r w:rsidRPr="00640581">
        <w:rPr>
          <w:rFonts w:asciiTheme="minorEastAsia" w:eastAsiaTheme="minorEastAsia" w:hAnsiTheme="minorEastAsia"/>
          <w:i/>
          <w:iCs/>
        </w:rPr>
        <w:t xml:space="preserve">H0: E[π_event] = E[π_ordinary]; H1: the difference is positive and sits in the short-call leg. </w:t>
      </w:r>
      <w:r w:rsidRPr="00640581">
        <w:rPr>
          <w:rFonts w:asciiTheme="minorEastAsia" w:eastAsiaTheme="minorEastAsia" w:hAnsiTheme="minorEastAsia"/>
        </w:rPr>
        <w:t>A competing view: pay changes that raise the sensitivity of managers' wealth to volatility push firms toward riskier policy [4], which would raise realized volatility and hurt a short call.</w:t>
      </w:r>
    </w:p>
    <w:p w14:paraId="0D354024" w14:textId="77777777" w:rsidR="00A103BB" w:rsidRPr="00640581" w:rsidRDefault="00000000">
      <w:pPr>
        <w:keepNext/>
        <w:pBdr>
          <w:bottom w:val="single" w:sz="4" w:space="1" w:color="A6B8D8"/>
        </w:pBdr>
        <w:spacing w:before="8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0"/>
          <w:szCs w:val="20"/>
        </w:rPr>
        <w:t>2. Method</w:t>
      </w:r>
    </w:p>
    <w:p w14:paraId="0D2C2A17" w14:textId="288A0070" w:rsidR="00013CDD" w:rsidRPr="00640581" w:rsidRDefault="00000000" w:rsidP="00013CDD">
      <w:pPr>
        <w:spacing w:after="40"/>
        <w:jc w:val="both"/>
        <w:rPr>
          <w:rFonts w:asciiTheme="minorEastAsia" w:eastAsiaTheme="minorEastAsia" w:hAnsiTheme="minorEastAsia"/>
          <w:b/>
          <w:bCs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Data and timing. </w:t>
      </w:r>
      <w:r w:rsidRPr="00640581">
        <w:rPr>
          <w:rFonts w:asciiTheme="minorEastAsia" w:eastAsiaTheme="minorEastAsia" w:hAnsiTheme="minorEastAsia"/>
        </w:rPr>
        <w:t xml:space="preserve">174 in-sample filings (79 tickers; 152 priced in the 3–6m bucket) and 72 out-of-sample (48 tickers; 64 priced); the pipeline takes any start and end date, and the judges' window is untouched. EDGAR dates a filing submitted after 17:30 ET to the next business day [15] and the market closes at 16:00, so we use the acceptance timestamp: a filing accepted at or after 16:00 ET (70% of ours) belongs to the next session. Entry (“post”) is that session's close; the prior session's close (“pre”) is a diagnostic only. </w:t>
      </w:r>
      <w:r w:rsidRPr="00013CDD">
        <w:rPr>
          <w:rFonts w:asciiTheme="minorEastAsia" w:eastAsiaTheme="minorEastAsia" w:hAnsiTheme="minorEastAsia"/>
        </w:rPr>
        <w:t>Position, per $1 of entry spot S</w:t>
      </w:r>
      <w:r w:rsidRPr="00013CDD">
        <w:rPr>
          <w:rFonts w:asciiTheme="minorEastAsia" w:eastAsiaTheme="minorEastAsia" w:hAnsiTheme="minorEastAsia" w:cs="Cambria Math"/>
        </w:rPr>
        <w:t>₀</w:t>
      </w:r>
      <w:r w:rsidRPr="00013CDD">
        <w:rPr>
          <w:rFonts w:asciiTheme="minorEastAsia" w:eastAsiaTheme="minorEastAsia" w:hAnsiTheme="minorEastAsia"/>
        </w:rPr>
        <w:t>.</w:t>
      </w:r>
      <w:r w:rsidRPr="00640581">
        <w:rPr>
          <w:rFonts w:asciiTheme="minorEastAsia" w:eastAsiaTheme="minorEastAsia" w:hAnsiTheme="minorEastAsia"/>
          <w:b/>
          <w:bCs/>
        </w:rPr>
        <w:t xml:space="preserve"> </w:t>
      </w:r>
    </w:p>
    <w:p w14:paraId="72577F5B" w14:textId="1C1774F1" w:rsidR="00A103BB" w:rsidRPr="00640581" w:rsidRDefault="00000000">
      <w:pPr>
        <w:spacing w:after="4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Baseline and uncertainty. </w:t>
      </w:r>
      <w:r w:rsidRPr="00640581">
        <w:rPr>
          <w:rFonts w:asciiTheme="minorEastAsia" w:eastAsiaTheme="minorEastAsia" w:hAnsiTheme="minorEastAsia"/>
        </w:rPr>
        <w:t xml:space="preserve">120 ordinary dates for the same tickers, at least 30 days from any filing, run through the same pipeline; 95% intervals from a 2,000-draw bootstrap over events (* = excludes zero); events </w:t>
      </w:r>
      <w:r w:rsidR="008238C0">
        <w:rPr>
          <w:rFonts w:asciiTheme="minorEastAsia" w:eastAsiaTheme="minorEastAsia" w:hAnsiTheme="minorEastAsia" w:cs="Cambria Math"/>
        </w:rPr>
        <w:t>-</w:t>
      </w:r>
      <w:r w:rsidRPr="00640581">
        <w:rPr>
          <w:rFonts w:asciiTheme="minorEastAsia" w:eastAsiaTheme="minorEastAsia" w:hAnsiTheme="minorEastAsia"/>
        </w:rPr>
        <w:t xml:space="preserve"> placebo reported </w:t>
      </w:r>
      <w:proofErr w:type="gramStart"/>
      <w:r w:rsidRPr="00640581">
        <w:rPr>
          <w:rFonts w:asciiTheme="minorEastAsia" w:eastAsiaTheme="minorEastAsia" w:hAnsiTheme="minorEastAsia"/>
        </w:rPr>
        <w:t>at</w:t>
      </w:r>
      <w:proofErr w:type="gramEnd"/>
      <w:r w:rsidRPr="00640581">
        <w:rPr>
          <w:rFonts w:asciiTheme="minorEastAsia" w:eastAsiaTheme="minorEastAsia" w:hAnsiTheme="minorEastAsia"/>
        </w:rPr>
        <w:t xml:space="preserve"> every horizon.</w:t>
      </w:r>
    </w:p>
    <w:p w14:paraId="21BDBF72" w14:textId="77777777" w:rsidR="00A103BB" w:rsidRPr="00640581" w:rsidRDefault="00000000">
      <w:pPr>
        <w:spacing w:after="4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How the covered call works on this event. </w:t>
      </w:r>
      <w:r w:rsidRPr="00640581">
        <w:rPr>
          <w:rFonts w:asciiTheme="minorEastAsia" w:eastAsiaTheme="minorEastAsia" w:hAnsiTheme="minorEastAsia"/>
        </w:rPr>
        <w:t>It holds three exposures. (</w:t>
      </w:r>
      <w:proofErr w:type="spellStart"/>
      <w:r w:rsidRPr="00640581">
        <w:rPr>
          <w:rFonts w:asciiTheme="minorEastAsia" w:eastAsiaTheme="minorEastAsia" w:hAnsiTheme="minorEastAsia"/>
        </w:rPr>
        <w:t>i</w:t>
      </w:r>
      <w:proofErr w:type="spellEnd"/>
      <w:r w:rsidRPr="00640581">
        <w:rPr>
          <w:rFonts w:asciiTheme="minorEastAsia" w:eastAsiaTheme="minorEastAsia" w:hAnsiTheme="minorEastAsia"/>
        </w:rPr>
        <w:t xml:space="preserve">) </w:t>
      </w:r>
      <w:proofErr w:type="gramStart"/>
      <w:r w:rsidRPr="00640581">
        <w:rPr>
          <w:rFonts w:asciiTheme="minorEastAsia" w:eastAsiaTheme="minorEastAsia" w:hAnsiTheme="minorEastAsia"/>
        </w:rPr>
        <w:t>Equity beta,</w:t>
      </w:r>
      <w:proofErr w:type="gramEnd"/>
      <w:r w:rsidRPr="00640581">
        <w:rPr>
          <w:rFonts w:asciiTheme="minorEastAsia" w:eastAsiaTheme="minorEastAsia" w:hAnsiTheme="minorEastAsia"/>
        </w:rPr>
        <w:t xml:space="preserve"> paid the equity premium: the filing carries no directional signal, so this leg earns the market, not the event. (ii) </w:t>
      </w:r>
      <w:proofErr w:type="gramStart"/>
      <w:r w:rsidRPr="00640581">
        <w:rPr>
          <w:rFonts w:asciiTheme="minorEastAsia" w:eastAsiaTheme="minorEastAsia" w:hAnsiTheme="minorEastAsia"/>
        </w:rPr>
        <w:t>Short volatility,</w:t>
      </w:r>
      <w:proofErr w:type="gramEnd"/>
      <w:r w:rsidRPr="00640581">
        <w:rPr>
          <w:rFonts w:asciiTheme="minorEastAsia" w:eastAsiaTheme="minorEastAsia" w:hAnsiTheme="minorEastAsia"/>
        </w:rPr>
        <w:t xml:space="preserve"> paid when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I</w:t>
      </w:r>
      <w:proofErr w:type="spellEnd"/>
      <w:r w:rsidRPr="00640581">
        <w:rPr>
          <w:rFonts w:asciiTheme="minorEastAsia" w:eastAsiaTheme="minorEastAsia" w:hAnsiTheme="minorEastAsia"/>
        </w:rPr>
        <w:t xml:space="preserve"> &gt;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R</w:t>
      </w:r>
      <w:proofErr w:type="spellEnd"/>
      <w:r w:rsidRPr="00640581">
        <w:rPr>
          <w:rFonts w:asciiTheme="minorEastAsia" w:eastAsiaTheme="minorEastAsia" w:hAnsiTheme="minorEastAsia"/>
        </w:rPr>
        <w:t xml:space="preserve">: if the filing is uninformative, implied volatility should fall back to its non-event level while realized volatility stays ordinary, and the event enters the formula only through the gap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I</w:t>
      </w:r>
      <w:proofErr w:type="spellEnd"/>
      <w:r w:rsidRPr="00640581">
        <w:rPr>
          <w:rFonts w:asciiTheme="minorEastAsia" w:eastAsiaTheme="minorEastAsia" w:hAnsiTheme="minorEastAsia"/>
        </w:rPr>
        <w:t xml:space="preserve">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 xml:space="preserve">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R</w:t>
      </w:r>
      <w:proofErr w:type="spellEnd"/>
      <w:r w:rsidRPr="00640581">
        <w:rPr>
          <w:rFonts w:asciiTheme="minorEastAsia" w:eastAsiaTheme="minorEastAsia" w:hAnsiTheme="minorEastAsia"/>
        </w:rPr>
        <w:t xml:space="preserve"> being larger than on ordinary days (H1). (iii) A short-gamma, reversal-style exposure that earns when prices mean-revert and </w:t>
      </w:r>
      <w:proofErr w:type="gramStart"/>
      <w:r w:rsidRPr="00640581">
        <w:rPr>
          <w:rFonts w:asciiTheme="minorEastAsia" w:eastAsiaTheme="minorEastAsia" w:hAnsiTheme="minorEastAsia"/>
        </w:rPr>
        <w:t>loses</w:t>
      </w:r>
      <w:proofErr w:type="gramEnd"/>
      <w:r w:rsidRPr="00640581">
        <w:rPr>
          <w:rFonts w:asciiTheme="minorEastAsia" w:eastAsiaTheme="minorEastAsia" w:hAnsiTheme="minorEastAsia"/>
        </w:rPr>
        <w:t xml:space="preserve"> on large one-way moves, and that carries no compensation of its own [10]; a surprising filing, such as a leadership-transition package, is exactly the case where it bites.</w:t>
      </w:r>
    </w:p>
    <w:p w14:paraId="076635C9" w14:textId="77777777" w:rsidR="00A103BB" w:rsidRPr="00640581" w:rsidRDefault="00000000">
      <w:pPr>
        <w:keepNext/>
        <w:pBdr>
          <w:bottom w:val="single" w:sz="4" w:space="1" w:color="A6B8D8"/>
        </w:pBdr>
        <w:spacing w:before="8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0"/>
          <w:szCs w:val="20"/>
        </w:rPr>
        <w:t>3. Result, with uncertainty at every fixed horizon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"/>
        <w:gridCol w:w="1322"/>
        <w:gridCol w:w="1322"/>
        <w:gridCol w:w="1323"/>
        <w:gridCol w:w="1322"/>
        <w:gridCol w:w="1541"/>
        <w:gridCol w:w="1501"/>
        <w:gridCol w:w="1502"/>
      </w:tblGrid>
      <w:tr w:rsidR="00A103BB" w:rsidRPr="00640581" w14:paraId="5FE9F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72A0A6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Horizon</w:t>
            </w:r>
          </w:p>
        </w:tc>
        <w:tc>
          <w:tcPr>
            <w:tcW w:w="2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2DEF07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In-sample (n ≤ 152)</w:t>
            </w:r>
          </w:p>
        </w:tc>
        <w:tc>
          <w:tcPr>
            <w:tcW w:w="26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DBB91E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Out-of-sample (n ≤ 64)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FD8CC6A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Events </w:t>
            </w:r>
            <w:r w:rsidRPr="00640581">
              <w:rPr>
                <w:rFonts w:asciiTheme="minorEastAsia" w:eastAsiaTheme="minorEastAsia" w:hAnsiTheme="minorEastAsia" w:cs="Cambria Math"/>
                <w:b/>
                <w:bCs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placebo</w:t>
            </w:r>
          </w:p>
        </w:tc>
        <w:tc>
          <w:tcPr>
            <w:tcW w:w="30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B26F0A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Mean ratio </w:t>
            </w:r>
            <w:r w:rsidRPr="00640581">
              <w:rPr>
                <w:rFonts w:asciiTheme="minorEastAsia" w:eastAsiaTheme="minorEastAsia" w:hAnsiTheme="minorEastAsia" w:cs="Cambria"/>
                <w:b/>
                <w:bCs/>
                <w:sz w:val="16"/>
                <w:szCs w:val="16"/>
              </w:rPr>
              <w:t>ρ</w:t>
            </w: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(</w:t>
            </w:r>
            <w:proofErr w:type="gramStart"/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pre entry</w:t>
            </w:r>
            <w:proofErr w:type="gramEnd"/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)</w:t>
            </w:r>
          </w:p>
        </w:tc>
      </w:tr>
      <w:tr w:rsidR="00A103BB" w:rsidRPr="00640581" w14:paraId="4B6F7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D96043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F2BE8E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Covered call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293A21F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Stock only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4BF207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Covered call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34CEDE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Stock only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94F160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Covered call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A0CC7F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Events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760E64A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Placebo</w:t>
            </w:r>
          </w:p>
        </w:tc>
      </w:tr>
      <w:tr w:rsidR="00A103BB" w:rsidRPr="00640581" w14:paraId="7622D84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DA584A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1DF57D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0.13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03A4E32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0.18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7D67B4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0.17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A44259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0.23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362E0A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0.20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352505A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1.05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7E137B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0.91</w:t>
            </w:r>
          </w:p>
        </w:tc>
      </w:tr>
      <w:tr w:rsidR="00A103BB" w:rsidRPr="00640581" w14:paraId="7866173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1CFADC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74A758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0.09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E8C55E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0.08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8C9254F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+0.07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7A93B1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+0.15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24CB0B5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0.21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323D0F2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1.03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0138871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0.92</w:t>
            </w:r>
          </w:p>
        </w:tc>
      </w:tr>
      <w:tr w:rsidR="00A103BB" w:rsidRPr="00640581" w14:paraId="1F29B6D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F9478D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DED637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+0.10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70DBA7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+0.24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4B6AF1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F689D2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0.05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B612AFF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+0.02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9BB460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1.13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07AB97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0.96</w:t>
            </w:r>
          </w:p>
        </w:tc>
      </w:tr>
      <w:tr w:rsidR="00A103BB" w:rsidRPr="00640581" w14:paraId="06ACF25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E57265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066130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+0.09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6F5857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+0.21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40E9C8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0.29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F97762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0.21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09D90B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0.01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7C5735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1.08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CE635D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0.93</w:t>
            </w:r>
          </w:p>
        </w:tc>
      </w:tr>
      <w:tr w:rsidR="00A103BB" w:rsidRPr="00640581" w14:paraId="0557D28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3D8EC8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3F6245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+0.32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4DC499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+0.44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200CE2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0.05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3F05D0A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+0.32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72E4A6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0.11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5E97FC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0.97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9D7C2C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1.00</w:t>
            </w:r>
          </w:p>
        </w:tc>
      </w:tr>
      <w:tr w:rsidR="00A103BB" w:rsidRPr="00640581" w14:paraId="00C16BE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533C85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E99F99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+0.75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408E7F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+0.94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4B83EA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+0.17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B488EF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+0.84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9A1951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+0.01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6E0600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1.00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8D1B96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1.07</w:t>
            </w:r>
          </w:p>
        </w:tc>
      </w:tr>
      <w:tr w:rsidR="00A103BB" w:rsidRPr="00640581" w14:paraId="24C4433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754153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FBFAD1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+1.21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76007D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+1.82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A1A637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+2.49*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166BAF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+4.91*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D1FCE22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 w:cs="Cambria Math"/>
                <w:sz w:val="16"/>
                <w:szCs w:val="16"/>
              </w:rPr>
              <w:t>−</w:t>
            </w: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0.66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833A294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1.07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FF0D26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1.00</w:t>
            </w:r>
          </w:p>
        </w:tc>
      </w:tr>
      <w:tr w:rsidR="00A103BB" w:rsidRPr="00640581" w14:paraId="37E6602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85426C5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F60227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+2.68*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6171355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+3.05*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E4D977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+5.94*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1B9A108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+7.88*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96364B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+2.23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51C35F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1.01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64E60D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1.09</w:t>
            </w:r>
          </w:p>
        </w:tc>
      </w:tr>
      <w:tr w:rsidR="00A103BB" w:rsidRPr="00640581" w14:paraId="5735B68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C04048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lastRenderedPageBreak/>
              <w:t>exp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12D62C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+3.77*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533B361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+3.58*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B755B7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+6.36*</w:t>
            </w:r>
          </w:p>
        </w:tc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042CC27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+7.58*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D9EF1E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+2.08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5B2D699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0.90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8DFA7D1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1.15</w:t>
            </w:r>
          </w:p>
        </w:tc>
      </w:tr>
    </w:tbl>
    <w:p w14:paraId="42A8E67C" w14:textId="77777777" w:rsidR="00A103BB" w:rsidRPr="00640581" w:rsidRDefault="00000000">
      <w:pPr>
        <w:spacing w:before="20" w:after="4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 xml:space="preserve">Table 1. Mean P&amp;L, % of entry spot (post entry, 3–6m, 5% OTM); * = 95% bootstrap interval excludes 0. n falls with horizon; out-of-sample columns from h = 63 rest on early-2026 filings whose options have resolved. Full intervals and n per cell: results/covered_call_scoreboard.csv. </w:t>
      </w:r>
      <w:r w:rsidRPr="00640581">
        <w:rPr>
          <w:rFonts w:asciiTheme="minorEastAsia" w:eastAsiaTheme="minorEastAsia" w:hAnsiTheme="minorEastAsia" w:cs="Cambria"/>
          <w:i/>
          <w:iCs/>
          <w:sz w:val="14"/>
          <w:szCs w:val="14"/>
        </w:rPr>
        <w:t>ρ</w:t>
      </w:r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 xml:space="preserve"> columns use the </w:t>
      </w:r>
      <w:proofErr w:type="gramStart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>pre entry</w:t>
      </w:r>
      <w:proofErr w:type="gramEnd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>.</w:t>
      </w:r>
    </w:p>
    <w:p w14:paraId="649F03C7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Profitable, but mostly </w:t>
      </w:r>
      <w:proofErr w:type="gramStart"/>
      <w:r w:rsidRPr="00640581">
        <w:rPr>
          <w:rFonts w:asciiTheme="minorEastAsia" w:eastAsiaTheme="minorEastAsia" w:hAnsiTheme="minorEastAsia"/>
          <w:b/>
          <w:bCs/>
        </w:rPr>
        <w:t>beta</w:t>
      </w:r>
      <w:proofErr w:type="gramEnd"/>
      <w:r w:rsidRPr="00640581">
        <w:rPr>
          <w:rFonts w:asciiTheme="minorEastAsia" w:eastAsiaTheme="minorEastAsia" w:hAnsiTheme="minorEastAsia"/>
          <w:b/>
          <w:bCs/>
        </w:rPr>
        <w:t xml:space="preserve">. </w:t>
      </w:r>
      <w:r w:rsidRPr="00640581">
        <w:rPr>
          <w:rFonts w:asciiTheme="minorEastAsia" w:eastAsiaTheme="minorEastAsia" w:hAnsiTheme="minorEastAsia"/>
        </w:rPr>
        <w:t xml:space="preserve">The call leg (CC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 xml:space="preserve"> stock) adds +0.19 in-sample and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 xml:space="preserve">1.22 out-of-sample at expiry and is negative at most middle horizons (h = 42: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 xml:space="preserve">0.61 and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>2.42): it gives up upside in rallies and shows no net volatility premium.</w:t>
      </w:r>
    </w:p>
    <w:p w14:paraId="4360D63D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Versus ordinary days. </w:t>
      </w:r>
      <w:r w:rsidRPr="00640581">
        <w:rPr>
          <w:rFonts w:asciiTheme="minorEastAsia" w:eastAsiaTheme="minorEastAsia" w:hAnsiTheme="minorEastAsia"/>
        </w:rPr>
        <w:t xml:space="preserve">The difference is +2.08 at expiry and +2.23 at h = 63, but no interval excludes zero at any horizon; 0 of 3 ranking horizons are significant (n = 144). It splits into stock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>0.75 and call +2.83, the sign H1 predicts, but not significant.</w:t>
      </w:r>
    </w:p>
    <w:p w14:paraId="7507C00B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Mispricing </w:t>
      </w:r>
      <w:proofErr w:type="gramStart"/>
      <w:r w:rsidRPr="00640581">
        <w:rPr>
          <w:rFonts w:asciiTheme="minorEastAsia" w:eastAsiaTheme="minorEastAsia" w:hAnsiTheme="minorEastAsia"/>
          <w:b/>
          <w:bCs/>
        </w:rPr>
        <w:t>statistic</w:t>
      </w:r>
      <w:proofErr w:type="gramEnd"/>
      <w:r w:rsidRPr="00640581">
        <w:rPr>
          <w:rFonts w:asciiTheme="minorEastAsia" w:eastAsiaTheme="minorEastAsia" w:hAnsiTheme="minorEastAsia"/>
          <w:b/>
          <w:bCs/>
        </w:rPr>
        <w:t xml:space="preserve">. </w:t>
      </w:r>
      <w:r w:rsidRPr="00640581">
        <w:rPr>
          <w:rFonts w:asciiTheme="minorEastAsia" w:eastAsiaTheme="minorEastAsia" w:hAnsiTheme="minorEastAsia" w:cs="Cambria"/>
        </w:rPr>
        <w:t>ρ</w:t>
      </w:r>
      <w:r w:rsidRPr="00640581">
        <w:rPr>
          <w:rFonts w:asciiTheme="minorEastAsia" w:eastAsiaTheme="minorEastAsia" w:hAnsiTheme="minorEastAsia"/>
        </w:rPr>
        <w:t xml:space="preserve"> is above placebo at h = 1</w:t>
      </w:r>
      <w:r w:rsidRPr="00640581">
        <w:rPr>
          <w:rFonts w:asciiTheme="minorEastAsia" w:eastAsiaTheme="minorEastAsia" w:hAnsiTheme="minorEastAsia" w:cs="Bell MT"/>
        </w:rPr>
        <w:t>–</w:t>
      </w:r>
      <w:r w:rsidRPr="00640581">
        <w:rPr>
          <w:rFonts w:asciiTheme="minorEastAsia" w:eastAsiaTheme="minorEastAsia" w:hAnsiTheme="minorEastAsia"/>
        </w:rPr>
        <w:t>5 (1.03</w:t>
      </w:r>
      <w:r w:rsidRPr="00640581">
        <w:rPr>
          <w:rFonts w:asciiTheme="minorEastAsia" w:eastAsiaTheme="minorEastAsia" w:hAnsiTheme="minorEastAsia" w:cs="Bell MT"/>
        </w:rPr>
        <w:t>–</w:t>
      </w:r>
      <w:r w:rsidRPr="00640581">
        <w:rPr>
          <w:rFonts w:asciiTheme="minorEastAsia" w:eastAsiaTheme="minorEastAsia" w:hAnsiTheme="minorEastAsia"/>
        </w:rPr>
        <w:t>1.13 vs 0.91</w:t>
      </w:r>
      <w:r w:rsidRPr="00640581">
        <w:rPr>
          <w:rFonts w:asciiTheme="minorEastAsia" w:eastAsiaTheme="minorEastAsia" w:hAnsiTheme="minorEastAsia" w:cs="Bell MT"/>
        </w:rPr>
        <w:t>–</w:t>
      </w:r>
      <w:r w:rsidRPr="00640581">
        <w:rPr>
          <w:rFonts w:asciiTheme="minorEastAsia" w:eastAsiaTheme="minorEastAsia" w:hAnsiTheme="minorEastAsia"/>
        </w:rPr>
        <w:t>0.96, intervals overlap) and below it at expiry (0.90 [0.78, 1.02] vs 1.15 [0.96, 1.34]); event medians are 0.75–0.93. Only the long-horizon gap favors sellers.</w:t>
      </w:r>
    </w:p>
    <w:p w14:paraId="29269011" w14:textId="0C50C984" w:rsidR="00013CDD" w:rsidRDefault="00000000" w:rsidP="00013CDD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After costs. </w:t>
      </w:r>
      <w:r w:rsidRPr="00640581">
        <w:rPr>
          <w:rFonts w:asciiTheme="minorEastAsia" w:eastAsiaTheme="minorEastAsia" w:hAnsiTheme="minorEastAsia"/>
        </w:rPr>
        <w:t>At h = 21: gross +0.75%, round-trip cost 0.44% (5% of premium each way)</w:t>
      </w:r>
    </w:p>
    <w:p w14:paraId="0E46D5EA" w14:textId="77777777" w:rsidR="00013CDD" w:rsidRPr="00013CDD" w:rsidRDefault="00013CDD" w:rsidP="00013CDD">
      <w:pPr>
        <w:spacing w:after="25"/>
        <w:ind w:left="60"/>
        <w:jc w:val="both"/>
        <w:rPr>
          <w:rFonts w:asciiTheme="minorEastAsia" w:eastAsiaTheme="minorEastAsia" w:hAnsiTheme="minorEastAsia"/>
        </w:rPr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1450"/>
        <w:gridCol w:w="1450"/>
        <w:gridCol w:w="1450"/>
        <w:gridCol w:w="1450"/>
        <w:gridCol w:w="1450"/>
        <w:gridCol w:w="1450"/>
      </w:tblGrid>
      <w:tr w:rsidR="00A103BB" w:rsidRPr="00640581" w14:paraId="6C49D7B2" w14:textId="77777777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E3638C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Covered call, h = 21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12CDDB1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OTM 3%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141C05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OTM 5%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327DB3B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OTM 10%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B65081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1m expiry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DF5320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2m expiry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128DFDAF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3–6m expiry</w:t>
            </w:r>
          </w:p>
        </w:tc>
      </w:tr>
      <w:tr w:rsidR="00A103BB" w:rsidRPr="00640581" w14:paraId="6DE26A5A" w14:textId="77777777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7E4BF8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Entry: post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D954FA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+0.64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741E765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FADCC6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+0.82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59886B0E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+1.30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17FE2C8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+0.57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22C05AD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+0.75</w:t>
            </w:r>
          </w:p>
        </w:tc>
      </w:tr>
      <w:tr w:rsidR="00A103BB" w:rsidRPr="00640581" w14:paraId="00DF70DB" w14:textId="77777777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216FADB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Entry: pre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6A26D36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+0.65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00449FAA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+0.78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63ADF793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+0.79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3FFB2CC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+1.25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237B0FA8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+0.67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" w:type="dxa"/>
              <w:left w:w="50" w:type="dxa"/>
              <w:bottom w:w="12" w:type="dxa"/>
              <w:right w:w="50" w:type="dxa"/>
            </w:tcMar>
            <w:vAlign w:val="center"/>
          </w:tcPr>
          <w:p w14:paraId="431467D0" w14:textId="77777777" w:rsidR="00A103BB" w:rsidRPr="00640581" w:rsidRDefault="00000000">
            <w:pPr>
              <w:spacing w:line="220" w:lineRule="auto"/>
              <w:jc w:val="center"/>
              <w:rPr>
                <w:rFonts w:asciiTheme="minorEastAsia" w:eastAsiaTheme="minorEastAsia" w:hAnsiTheme="minorEastAsia"/>
              </w:rPr>
            </w:pPr>
            <w:r w:rsidRPr="00640581">
              <w:rPr>
                <w:rFonts w:asciiTheme="minorEastAsia" w:eastAsiaTheme="minorEastAsia" w:hAnsiTheme="minorEastAsia"/>
                <w:sz w:val="16"/>
                <w:szCs w:val="16"/>
              </w:rPr>
              <w:t>+0.78</w:t>
            </w:r>
          </w:p>
        </w:tc>
      </w:tr>
    </w:tbl>
    <w:p w14:paraId="16F93051" w14:textId="77777777" w:rsidR="00A103BB" w:rsidRPr="00640581" w:rsidRDefault="00000000">
      <w:pPr>
        <w:spacing w:before="2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 xml:space="preserve">Table 2. Sensitivity of the covered-call mean (% of spot) at h = 21; left block varies OTM distance (3–6m), right block varies expiry bucket (5% OTM). The 1m column keeps only events with at least 21 sessions to </w:t>
      </w:r>
      <w:proofErr w:type="gramStart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>expiry</w:t>
      </w:r>
      <w:proofErr w:type="gramEnd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 xml:space="preserve">. Category definition </w:t>
      </w:r>
      <w:proofErr w:type="gramStart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>not</w:t>
      </w:r>
      <w:proofErr w:type="gramEnd"/>
      <w:r w:rsidRPr="00640581">
        <w:rPr>
          <w:rFonts w:asciiTheme="minorEastAsia" w:eastAsiaTheme="minorEastAsia" w:hAnsiTheme="minorEastAsia"/>
          <w:i/>
          <w:iCs/>
          <w:sz w:val="14"/>
          <w:szCs w:val="14"/>
        </w:rPr>
        <w:t xml:space="preserve"> yet varied.</w:t>
      </w:r>
    </w:p>
    <w:p w14:paraId="70BF5416" w14:textId="77777777" w:rsidR="00A103BB" w:rsidRPr="00640581" w:rsidRDefault="00000000">
      <w:pPr>
        <w:keepNext/>
        <w:pBdr>
          <w:bottom w:val="single" w:sz="4" w:space="1" w:color="A6B8D8"/>
        </w:pBdr>
        <w:spacing w:before="8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0"/>
          <w:szCs w:val="20"/>
        </w:rPr>
        <w:t>4. What would make it break</w:t>
      </w:r>
    </w:p>
    <w:p w14:paraId="7709D254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Market direction. </w:t>
      </w:r>
      <w:r w:rsidRPr="00640581">
        <w:rPr>
          <w:rFonts w:asciiTheme="minorEastAsia" w:eastAsiaTheme="minorEastAsia" w:hAnsiTheme="minorEastAsia"/>
        </w:rPr>
        <w:t>π ≈ 0.6 × stock return + carry. The sample's stocks rose (+3.6%, +7.6% stock-only); in a falling window the cushion is only ≈4.4%.</w:t>
      </w:r>
      <w:r w:rsidRPr="00640581">
        <w:rPr>
          <w:rFonts w:asciiTheme="minorEastAsia" w:eastAsiaTheme="minorEastAsia" w:hAnsiTheme="minorEastAsia"/>
          <w:b/>
          <w:bCs/>
        </w:rPr>
        <w:t xml:space="preserve"> Rallies and gaps. </w:t>
      </w:r>
      <w:r w:rsidRPr="00640581">
        <w:rPr>
          <w:rFonts w:asciiTheme="minorEastAsia" w:eastAsiaTheme="minorEastAsia" w:hAnsiTheme="minorEastAsia"/>
        </w:rPr>
        <w:t>The cap bites: AMD (Feb 2026) gained 163% to expiry, the covered call +16.5%.</w:t>
      </w:r>
    </w:p>
    <w:p w14:paraId="4ED6CC30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Volatility regime. </w:t>
      </w:r>
      <w:r w:rsidRPr="00640581">
        <w:rPr>
          <w:rFonts w:asciiTheme="minorEastAsia" w:eastAsiaTheme="minorEastAsia" w:hAnsiTheme="minorEastAsia"/>
        </w:rPr>
        <w:t xml:space="preserve">Short gamma loses when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R</w:t>
      </w:r>
      <w:proofErr w:type="spellEnd"/>
      <w:r w:rsidRPr="00640581">
        <w:rPr>
          <w:rFonts w:asciiTheme="minorEastAsia" w:eastAsiaTheme="minorEastAsia" w:hAnsiTheme="minorEastAsia"/>
        </w:rPr>
        <w:t xml:space="preserve"> &gt; </w:t>
      </w:r>
      <w:proofErr w:type="spellStart"/>
      <w:r w:rsidRPr="00640581">
        <w:rPr>
          <w:rFonts w:asciiTheme="minorEastAsia" w:eastAsiaTheme="minorEastAsia" w:hAnsiTheme="minorEastAsia" w:cs="Cambria"/>
        </w:rPr>
        <w:t>σ</w:t>
      </w:r>
      <w:r w:rsidRPr="00640581">
        <w:rPr>
          <w:rFonts w:asciiTheme="minorEastAsia" w:eastAsiaTheme="minorEastAsia" w:hAnsiTheme="minorEastAsia"/>
          <w:vertAlign w:val="subscript"/>
        </w:rPr>
        <w:t>I</w:t>
      </w:r>
      <w:proofErr w:type="spellEnd"/>
      <w:r w:rsidRPr="00640581">
        <w:rPr>
          <w:rFonts w:asciiTheme="minorEastAsia" w:eastAsiaTheme="minorEastAsia" w:hAnsiTheme="minorEastAsia"/>
        </w:rPr>
        <w:t xml:space="preserve"> (</w:t>
      </w:r>
      <w:r w:rsidRPr="00640581">
        <w:rPr>
          <w:rFonts w:asciiTheme="minorEastAsia" w:eastAsiaTheme="minorEastAsia" w:hAnsiTheme="minorEastAsia" w:cs="Cambria"/>
        </w:rPr>
        <w:t>ρ</w:t>
      </w:r>
      <w:r w:rsidRPr="00640581">
        <w:rPr>
          <w:rFonts w:asciiTheme="minorEastAsia" w:eastAsiaTheme="minorEastAsia" w:hAnsiTheme="minorEastAsia"/>
        </w:rPr>
        <w:t xml:space="preserve"> &gt; 1 for 36</w:t>
      </w:r>
      <w:r w:rsidRPr="00640581">
        <w:rPr>
          <w:rFonts w:asciiTheme="minorEastAsia" w:eastAsiaTheme="minorEastAsia" w:hAnsiTheme="minorEastAsia" w:cs="Bell MT"/>
        </w:rPr>
        <w:t>–</w:t>
      </w:r>
      <w:r w:rsidRPr="00640581">
        <w:rPr>
          <w:rFonts w:asciiTheme="minorEastAsia" w:eastAsiaTheme="minorEastAsia" w:hAnsiTheme="minorEastAsia"/>
        </w:rPr>
        <w:t xml:space="preserve">45% of events). </w:t>
      </w:r>
      <w:r w:rsidRPr="00640581">
        <w:rPr>
          <w:rFonts w:asciiTheme="minorEastAsia" w:eastAsiaTheme="minorEastAsia" w:hAnsiTheme="minorEastAsia"/>
          <w:b/>
          <w:bCs/>
        </w:rPr>
        <w:t xml:space="preserve">Timing and liquidity. </w:t>
      </w:r>
      <w:r w:rsidRPr="00640581">
        <w:rPr>
          <w:rFonts w:asciiTheme="minorEastAsia" w:eastAsiaTheme="minorEastAsia" w:hAnsiTheme="minorEastAsia"/>
        </w:rPr>
        <w:t>Entering at the filing-date close precedes the news for 70% of filings; marks are last trades, not quotes; the call leg's median filing-session volume is 46 contracts; the 5% haircut is an assumption [12]; strike spacing can turn “5% OTM” into ≈10%.</w:t>
      </w:r>
    </w:p>
    <w:p w14:paraId="21642807" w14:textId="77777777" w:rsidR="00A103BB" w:rsidRPr="00640581" w:rsidRDefault="00000000">
      <w:pPr>
        <w:pStyle w:val="ListParagraph"/>
        <w:numPr>
          <w:ilvl w:val="0"/>
          <w:numId w:val="2"/>
        </w:numPr>
        <w:spacing w:after="25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Category and sample. </w:t>
      </w:r>
      <w:r w:rsidRPr="00640581">
        <w:rPr>
          <w:rFonts w:asciiTheme="minorEastAsia" w:eastAsiaTheme="minorEastAsia" w:hAnsiTheme="minorEastAsia"/>
        </w:rPr>
        <w:t xml:space="preserve">The tag mixes routine and transition pay; AMD is 6 of 174 in-sample events; the </w:t>
      </w:r>
      <w:proofErr w:type="gramStart"/>
      <w:r w:rsidRPr="00640581">
        <w:rPr>
          <w:rFonts w:asciiTheme="minorEastAsia" w:eastAsiaTheme="minorEastAsia" w:hAnsiTheme="minorEastAsia"/>
        </w:rPr>
        <w:t>top-100</w:t>
      </w:r>
      <w:proofErr w:type="gramEnd"/>
      <w:r w:rsidRPr="00640581">
        <w:rPr>
          <w:rFonts w:asciiTheme="minorEastAsia" w:eastAsiaTheme="minorEastAsia" w:hAnsiTheme="minorEastAsia"/>
        </w:rPr>
        <w:t xml:space="preserve"> list is static (survivorship); overlap with earnings season is untested; one other tag was examined on the out-of-sample window first, and with 6 strategies × 9 horizons × 18 settings searched a t ≈ 2 bar is lenient [8, 13].</w:t>
      </w:r>
    </w:p>
    <w:p w14:paraId="1A605F2D" w14:textId="77777777" w:rsidR="00A103BB" w:rsidRPr="00640581" w:rsidRDefault="00000000">
      <w:pPr>
        <w:spacing w:before="20" w:after="3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Prediction for the sealed window (written before seeing it): </w:t>
      </w:r>
      <w:r w:rsidRPr="00640581">
        <w:rPr>
          <w:rFonts w:asciiTheme="minorEastAsia" w:eastAsiaTheme="minorEastAsia" w:hAnsiTheme="minorEastAsia"/>
        </w:rPr>
        <w:t xml:space="preserve">covered-call P&amp;L takes the sign of the stock's move (about 0.6 times it), and the events </w:t>
      </w:r>
      <w:r w:rsidRPr="00640581">
        <w:rPr>
          <w:rFonts w:asciiTheme="minorEastAsia" w:eastAsiaTheme="minorEastAsia" w:hAnsiTheme="minorEastAsia" w:cs="Cambria Math"/>
        </w:rPr>
        <w:t>−</w:t>
      </w:r>
      <w:r w:rsidRPr="00640581">
        <w:rPr>
          <w:rFonts w:asciiTheme="minorEastAsia" w:eastAsiaTheme="minorEastAsia" w:hAnsiTheme="minorEastAsia"/>
        </w:rPr>
        <w:t xml:space="preserve"> placebo interval spans zero. A significant positive gap there is more likely luck than confirmation.</w:t>
      </w:r>
    </w:p>
    <w:p w14:paraId="7E2FF186" w14:textId="77777777" w:rsidR="00A103BB" w:rsidRPr="00640581" w:rsidRDefault="00000000">
      <w:pPr>
        <w:keepNext/>
        <w:pBdr>
          <w:bottom w:val="single" w:sz="4" w:space="1" w:color="A6B8D8"/>
        </w:pBdr>
        <w:spacing w:before="80" w:after="20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20"/>
          <w:szCs w:val="20"/>
        </w:rPr>
        <w:t>5. How we would trade it</w:t>
      </w:r>
    </w:p>
    <w:p w14:paraId="10519A05" w14:textId="77777777" w:rsidR="00A103BB" w:rsidRPr="00640581" w:rsidRDefault="00000000">
      <w:pPr>
        <w:spacing w:after="40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</w:rPr>
        <w:t xml:space="preserve">Rule. </w:t>
      </w:r>
      <w:r w:rsidRPr="00640581">
        <w:rPr>
          <w:rFonts w:asciiTheme="minorEastAsia" w:eastAsiaTheme="minorEastAsia" w:hAnsiTheme="minorEastAsia"/>
        </w:rPr>
        <w:t xml:space="preserve">After a qualifying 8-K, at the close of the filing session (the next session if accepted at or after 16:00 ET), hold 100 shares per contract and sell the nearest listed call at or above 1.05× spot expiring in 90–180 days, working a limit order at mid or better; close at h = 21 (the horizon where costs are modelled) or earlier if spot passes the strike. Filters, untested but motivated by [7]: act only when the call is rich against trailing realized volatility and the ATM pair trades at least 100 contracts. </w:t>
      </w:r>
      <w:r w:rsidRPr="00640581">
        <w:rPr>
          <w:rFonts w:asciiTheme="minorEastAsia" w:eastAsiaTheme="minorEastAsia" w:hAnsiTheme="minorEastAsia"/>
          <w:b/>
          <w:bCs/>
        </w:rPr>
        <w:t xml:space="preserve">Capacity. </w:t>
      </w:r>
      <w:r w:rsidRPr="00640581">
        <w:rPr>
          <w:rFonts w:asciiTheme="minorEastAsia" w:eastAsiaTheme="minorEastAsia" w:hAnsiTheme="minorEastAsia"/>
        </w:rPr>
        <w:t xml:space="preserve">Cap each order near 10% of the call's filing-session volume (4–5 contracts at the median), about $0.1M of stock per event; at 90–110 events a year that is roughly $10M annually, a small-capacity idea. </w:t>
      </w:r>
      <w:r w:rsidRPr="00640581">
        <w:rPr>
          <w:rFonts w:asciiTheme="minorEastAsia" w:eastAsiaTheme="minorEastAsia" w:hAnsiTheme="minorEastAsia"/>
          <w:b/>
          <w:bCs/>
        </w:rPr>
        <w:t xml:space="preserve">Role. </w:t>
      </w:r>
      <w:r w:rsidRPr="00640581">
        <w:rPr>
          <w:rFonts w:asciiTheme="minorEastAsia" w:eastAsiaTheme="minorEastAsia" w:hAnsiTheme="minorEastAsia"/>
        </w:rPr>
        <w:t>With no significant event-specific edge, we would use these filings as an entry trigger for an existing covered-call overlay, not as a stand-alone book; expected net edge is about +0.3% per trade at h = 21, before beta.</w:t>
      </w:r>
    </w:p>
    <w:p w14:paraId="258E5A81" w14:textId="77777777" w:rsidR="00A103BB" w:rsidRPr="00640581" w:rsidRDefault="00000000">
      <w:pPr>
        <w:spacing w:before="60" w:line="220" w:lineRule="auto"/>
        <w:jc w:val="both"/>
        <w:rPr>
          <w:rFonts w:asciiTheme="minorEastAsia" w:eastAsiaTheme="minorEastAsia" w:hAnsiTheme="minorEastAsia"/>
        </w:rPr>
      </w:pPr>
      <w:r w:rsidRPr="00640581">
        <w:rPr>
          <w:rFonts w:asciiTheme="minorEastAsia" w:eastAsiaTheme="minorEastAsia" w:hAnsiTheme="minorEastAsia"/>
          <w:b/>
          <w:bCs/>
          <w:sz w:val="14"/>
          <w:szCs w:val="14"/>
        </w:rPr>
        <w:t xml:space="preserve">References. </w:t>
      </w:r>
      <w:r w:rsidRPr="00640581">
        <w:rPr>
          <w:rFonts w:asciiTheme="minorEastAsia" w:eastAsiaTheme="minorEastAsia" w:hAnsiTheme="minorEastAsia"/>
          <w:sz w:val="14"/>
          <w:szCs w:val="14"/>
        </w:rPr>
        <w:t xml:space="preserve">[1] Bakshi &amp; Kapadia (2003), RFS 16(2):527–566. [2] Bollerslev, Tauchen &amp; Zhou (2009), RFS 22:4463–4492. [3] Carr &amp; Wu (2009), RFS 22:1311–1341. [4] Coles, Daniel &amp; Naveen (2006), JFE 79(2):431–468. [5] Dubinsky, Johannes, Kaeck &amp; Seeger (2019), RFS 32(2):646–687. [6] Gao, Xing &amp; Zhang (2018), JFQA, Anticipating uncertainty: straddles around earnings announcements. [7] Goyal &amp; Saretto (2009), JFE 94(2):310–326. [8] Harvey, Liu &amp; Zhu (2016), RFS 29(1):5–68. [9] </w:t>
      </w:r>
      <w:proofErr w:type="spellStart"/>
      <w:r w:rsidRPr="00640581">
        <w:rPr>
          <w:rFonts w:asciiTheme="minorEastAsia" w:eastAsiaTheme="minorEastAsia" w:hAnsiTheme="minorEastAsia"/>
          <w:sz w:val="14"/>
          <w:szCs w:val="14"/>
        </w:rPr>
        <w:t>Israelov</w:t>
      </w:r>
      <w:proofErr w:type="spellEnd"/>
      <w:r w:rsidRPr="00640581">
        <w:rPr>
          <w:rFonts w:asciiTheme="minorEastAsia" w:eastAsiaTheme="minorEastAsia" w:hAnsiTheme="minorEastAsia"/>
          <w:sz w:val="14"/>
          <w:szCs w:val="14"/>
        </w:rPr>
        <w:t xml:space="preserve"> &amp; Nielsen (2014), Covered call strategies: one fact and eight myths, FAJ 70(6):23–31. [10] </w:t>
      </w:r>
      <w:proofErr w:type="spellStart"/>
      <w:r w:rsidRPr="00640581">
        <w:rPr>
          <w:rFonts w:asciiTheme="minorEastAsia" w:eastAsiaTheme="minorEastAsia" w:hAnsiTheme="minorEastAsia"/>
          <w:sz w:val="14"/>
          <w:szCs w:val="14"/>
        </w:rPr>
        <w:t>Israelov</w:t>
      </w:r>
      <w:proofErr w:type="spellEnd"/>
      <w:r w:rsidRPr="00640581">
        <w:rPr>
          <w:rFonts w:asciiTheme="minorEastAsia" w:eastAsiaTheme="minorEastAsia" w:hAnsiTheme="minorEastAsia"/>
          <w:sz w:val="14"/>
          <w:szCs w:val="14"/>
        </w:rPr>
        <w:t xml:space="preserve"> &amp; Nielsen (2015), Covered calls uncovered, FAJ 71(6):44–57. [11] Lerman &amp; Livnat (2010), Rev. Acc. Studies 15(4):752–778. [12] </w:t>
      </w:r>
      <w:proofErr w:type="spellStart"/>
      <w:r w:rsidRPr="00640581">
        <w:rPr>
          <w:rFonts w:asciiTheme="minorEastAsia" w:eastAsiaTheme="minorEastAsia" w:hAnsiTheme="minorEastAsia"/>
          <w:sz w:val="14"/>
          <w:szCs w:val="14"/>
        </w:rPr>
        <w:t>Muravyev</w:t>
      </w:r>
      <w:proofErr w:type="spellEnd"/>
      <w:r w:rsidRPr="00640581">
        <w:rPr>
          <w:rFonts w:asciiTheme="minorEastAsia" w:eastAsiaTheme="minorEastAsia" w:hAnsiTheme="minorEastAsia"/>
          <w:sz w:val="14"/>
          <w:szCs w:val="14"/>
        </w:rPr>
        <w:t xml:space="preserve"> &amp; Pearson (2020), RFS 33(11):4973–5014. [13] Petersen (2009), RFS 22(1):435–480. [14] Whaley (2002), Return and risk of the CBOE buy-write monthly index, J. Derivatives (Winter). [15] SEC Regulation S-T, Rule 13(a).</w:t>
      </w:r>
    </w:p>
    <w:sectPr w:rsidR="00A103BB" w:rsidRPr="00640581">
      <w:pgSz w:w="12240" w:h="15840"/>
      <w:pgMar w:top="720" w:right="864" w:bottom="64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EBB"/>
    <w:multiLevelType w:val="hybridMultilevel"/>
    <w:tmpl w:val="4C40CAFA"/>
    <w:lvl w:ilvl="0" w:tplc="72E8CA1C">
      <w:start w:val="1"/>
      <w:numFmt w:val="bullet"/>
      <w:lvlText w:val="•"/>
      <w:lvlJc w:val="left"/>
      <w:pPr>
        <w:ind w:left="240" w:hanging="180"/>
      </w:pPr>
    </w:lvl>
    <w:lvl w:ilvl="1" w:tplc="49BAB280">
      <w:numFmt w:val="decimal"/>
      <w:lvlText w:val=""/>
      <w:lvlJc w:val="left"/>
    </w:lvl>
    <w:lvl w:ilvl="2" w:tplc="869801D8">
      <w:numFmt w:val="decimal"/>
      <w:lvlText w:val=""/>
      <w:lvlJc w:val="left"/>
    </w:lvl>
    <w:lvl w:ilvl="3" w:tplc="032CEA5A">
      <w:numFmt w:val="decimal"/>
      <w:lvlText w:val=""/>
      <w:lvlJc w:val="left"/>
    </w:lvl>
    <w:lvl w:ilvl="4" w:tplc="375C1932">
      <w:numFmt w:val="decimal"/>
      <w:lvlText w:val=""/>
      <w:lvlJc w:val="left"/>
    </w:lvl>
    <w:lvl w:ilvl="5" w:tplc="112AC09A">
      <w:numFmt w:val="decimal"/>
      <w:lvlText w:val=""/>
      <w:lvlJc w:val="left"/>
    </w:lvl>
    <w:lvl w:ilvl="6" w:tplc="5630EE7C">
      <w:numFmt w:val="decimal"/>
      <w:lvlText w:val=""/>
      <w:lvlJc w:val="left"/>
    </w:lvl>
    <w:lvl w:ilvl="7" w:tplc="A49C64DA">
      <w:numFmt w:val="decimal"/>
      <w:lvlText w:val=""/>
      <w:lvlJc w:val="left"/>
    </w:lvl>
    <w:lvl w:ilvl="8" w:tplc="97EA62F2">
      <w:numFmt w:val="decimal"/>
      <w:lvlText w:val=""/>
      <w:lvlJc w:val="left"/>
    </w:lvl>
  </w:abstractNum>
  <w:abstractNum w:abstractNumId="1" w15:restartNumberingAfterBreak="0">
    <w:nsid w:val="60A15DAE"/>
    <w:multiLevelType w:val="hybridMultilevel"/>
    <w:tmpl w:val="E14EE78C"/>
    <w:lvl w:ilvl="0" w:tplc="7E948D0A">
      <w:start w:val="1"/>
      <w:numFmt w:val="bullet"/>
      <w:lvlText w:val="●"/>
      <w:lvlJc w:val="left"/>
      <w:pPr>
        <w:ind w:left="720" w:hanging="360"/>
      </w:pPr>
    </w:lvl>
    <w:lvl w:ilvl="1" w:tplc="4672D4C2">
      <w:start w:val="1"/>
      <w:numFmt w:val="bullet"/>
      <w:lvlText w:val="○"/>
      <w:lvlJc w:val="left"/>
      <w:pPr>
        <w:ind w:left="1440" w:hanging="360"/>
      </w:pPr>
    </w:lvl>
    <w:lvl w:ilvl="2" w:tplc="B61A81EA">
      <w:start w:val="1"/>
      <w:numFmt w:val="bullet"/>
      <w:lvlText w:val="■"/>
      <w:lvlJc w:val="left"/>
      <w:pPr>
        <w:ind w:left="2160" w:hanging="360"/>
      </w:pPr>
    </w:lvl>
    <w:lvl w:ilvl="3" w:tplc="64A23220">
      <w:start w:val="1"/>
      <w:numFmt w:val="bullet"/>
      <w:lvlText w:val="●"/>
      <w:lvlJc w:val="left"/>
      <w:pPr>
        <w:ind w:left="2880" w:hanging="360"/>
      </w:pPr>
    </w:lvl>
    <w:lvl w:ilvl="4" w:tplc="7CC86988">
      <w:start w:val="1"/>
      <w:numFmt w:val="bullet"/>
      <w:lvlText w:val="○"/>
      <w:lvlJc w:val="left"/>
      <w:pPr>
        <w:ind w:left="3600" w:hanging="360"/>
      </w:pPr>
    </w:lvl>
    <w:lvl w:ilvl="5" w:tplc="F4D403C2">
      <w:start w:val="1"/>
      <w:numFmt w:val="bullet"/>
      <w:lvlText w:val="■"/>
      <w:lvlJc w:val="left"/>
      <w:pPr>
        <w:ind w:left="4320" w:hanging="360"/>
      </w:pPr>
    </w:lvl>
    <w:lvl w:ilvl="6" w:tplc="9AECE638">
      <w:start w:val="1"/>
      <w:numFmt w:val="bullet"/>
      <w:lvlText w:val="●"/>
      <w:lvlJc w:val="left"/>
      <w:pPr>
        <w:ind w:left="5040" w:hanging="360"/>
      </w:pPr>
    </w:lvl>
    <w:lvl w:ilvl="7" w:tplc="9E244088">
      <w:start w:val="1"/>
      <w:numFmt w:val="bullet"/>
      <w:lvlText w:val="●"/>
      <w:lvlJc w:val="left"/>
      <w:pPr>
        <w:ind w:left="5760" w:hanging="360"/>
      </w:pPr>
    </w:lvl>
    <w:lvl w:ilvl="8" w:tplc="331878D8">
      <w:start w:val="1"/>
      <w:numFmt w:val="bullet"/>
      <w:lvlText w:val="●"/>
      <w:lvlJc w:val="left"/>
      <w:pPr>
        <w:ind w:left="6480" w:hanging="360"/>
      </w:pPr>
    </w:lvl>
  </w:abstractNum>
  <w:num w:numId="1" w16cid:durableId="1706368478">
    <w:abstractNumId w:val="1"/>
    <w:lvlOverride w:ilvl="0">
      <w:startOverride w:val="1"/>
    </w:lvlOverride>
  </w:num>
  <w:num w:numId="2" w16cid:durableId="805775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3BB"/>
    <w:rsid w:val="00013CDD"/>
    <w:rsid w:val="00640581"/>
    <w:rsid w:val="008238C0"/>
    <w:rsid w:val="00A103BB"/>
    <w:rsid w:val="00FA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CDE8"/>
  <w15:docId w15:val="{BC353B7A-F55B-439F-9F52-9D2DA44D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Covered calls after executive-compensation 8-Ks</vt:lpstr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Covered calls after executive-compensation 8-Ks</dc:title>
  <dc:creator>Team</dc:creator>
  <cp:lastModifiedBy>Luong Nguyen</cp:lastModifiedBy>
  <cp:revision>3</cp:revision>
  <dcterms:created xsi:type="dcterms:W3CDTF">2026-10-04T05:28:00Z</dcterms:created>
  <dcterms:modified xsi:type="dcterms:W3CDTF">2026-10-04T14:35:00Z</dcterms:modified>
</cp:coreProperties>
</file>