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rFonts w:hint="eastAsia"/>
          <w:b/>
        </w:rPr>
        <w:t>基于微分博弈的肿瘤交替治疗优化策略的设计</w:t>
      </w:r>
    </w:p>
    <w:p>
      <w:pPr>
        <w:rPr>
          <w:b/>
        </w:rPr>
      </w:pPr>
      <w:r>
        <w:rPr>
          <w:rFonts w:hint="eastAsia"/>
          <w:b/>
        </w:rPr>
        <w:t>基于靶向药和化疗的交替治疗优化策略设计</w:t>
      </w:r>
    </w:p>
    <w:p>
      <w:pPr>
        <w:rPr>
          <w:lang w:val="en-AU"/>
        </w:rPr>
      </w:pPr>
      <w:r>
        <w:rPr>
          <w:lang w:val="en-AU"/>
        </w:rPr>
        <w:t xml:space="preserve">The optimization </w:t>
      </w:r>
      <w:r>
        <w:rPr>
          <w:rFonts w:hint="eastAsia"/>
          <w:lang w:val="en-AU"/>
        </w:rPr>
        <w:t>on</w:t>
      </w:r>
      <w:r>
        <w:rPr>
          <w:lang w:val="en-AU"/>
        </w:rPr>
        <w:t xml:space="preserve"> the rotational therapy of </w:t>
      </w:r>
      <w:r>
        <w:rPr>
          <w:rFonts w:hint="eastAsia"/>
          <w:lang w:val="en-AU"/>
        </w:rPr>
        <w:t>m</w:t>
      </w:r>
      <w:r>
        <w:rPr>
          <w:lang w:val="en-AU"/>
        </w:rPr>
        <w:t xml:space="preserve">olecular targeted medicine and cytotoxic chemotherapy </w:t>
      </w:r>
    </w:p>
    <w:p>
      <w:pPr>
        <w:rPr>
          <w:b/>
        </w:rPr>
      </w:pPr>
      <w:r>
        <w:rPr>
          <w:rFonts w:hint="eastAsia"/>
          <w:b/>
        </w:rPr>
        <w:t>面向靶向药和化疗交替的基于微分博弈的适应性治疗策略设计</w:t>
      </w:r>
    </w:p>
    <w:p/>
    <w:p>
      <w:pPr>
        <w:rPr>
          <w:lang w:val="en-AU"/>
        </w:rPr>
      </w:pPr>
    </w:p>
    <w:p>
      <w:r>
        <w:rPr>
          <w:rFonts w:hint="eastAsia"/>
        </w:rPr>
        <w:t>从博弈论的视角，我们可以将肿瘤治疗过程视为治疗方案和肿瘤细胞之间的博弈。这个博弈过程有两个关键的不对称性需要格外关注：（</w:t>
      </w:r>
      <w:r>
        <w:t>1）只有医生才能理性地</w:t>
      </w:r>
      <w:r>
        <w:rPr>
          <w:rFonts w:hint="eastAsia"/>
        </w:rPr>
        <w:t>设计治疗方案，肿瘤细胞</w:t>
      </w:r>
      <w:r>
        <w:t>只能</w:t>
      </w:r>
      <w:r>
        <w:rPr>
          <w:rFonts w:hint="eastAsia"/>
        </w:rPr>
        <w:t>被动地</w:t>
      </w:r>
      <w:r>
        <w:t>适应当前</w:t>
      </w:r>
      <w:r>
        <w:rPr>
          <w:rFonts w:hint="eastAsia"/>
        </w:rPr>
        <w:t>治疗方案</w:t>
      </w:r>
      <w:r>
        <w:t>。（2）</w:t>
      </w:r>
      <w:r>
        <w:rPr>
          <w:rFonts w:hint="eastAsia"/>
        </w:rPr>
        <w:t>整个过程符合</w:t>
      </w:r>
      <w:r>
        <w:t>领导者-追随者（或“Stackelberg”）动态</w:t>
      </w:r>
      <w:r>
        <w:rPr>
          <w:rFonts w:hint="eastAsia"/>
        </w:rPr>
        <w:t>过程</w:t>
      </w:r>
      <w:r>
        <w:t>；</w:t>
      </w:r>
      <w:r>
        <w:rPr>
          <w:rFonts w:hint="eastAsia"/>
        </w:rPr>
        <w:t>其中，</w:t>
      </w:r>
      <w:r>
        <w:t>“领导者”-</w:t>
      </w:r>
      <w:r>
        <w:rPr>
          <w:rFonts w:hint="eastAsia"/>
        </w:rPr>
        <w:t>治疗方案</w:t>
      </w:r>
      <w:r>
        <w:t>首先</w:t>
      </w:r>
      <w:r>
        <w:rPr>
          <w:rFonts w:hint="eastAsia"/>
        </w:rPr>
        <w:t>行动</w:t>
      </w:r>
      <w:r>
        <w:t>，“追随者”-</w:t>
      </w:r>
      <w:r>
        <w:rPr>
          <w:rFonts w:hint="eastAsia"/>
        </w:rPr>
        <w:t>肿瘤</w:t>
      </w:r>
      <w:r>
        <w:t>细胞随后</w:t>
      </w:r>
      <w:r>
        <w:rPr>
          <w:rFonts w:hint="eastAsia"/>
        </w:rPr>
        <w:t>做出</w:t>
      </w:r>
      <w:r>
        <w:t>反应并</w:t>
      </w:r>
      <w:r>
        <w:rPr>
          <w:rFonts w:hint="eastAsia"/>
        </w:rPr>
        <w:t>被动</w:t>
      </w:r>
      <w:r>
        <w:t>适应治疗</w:t>
      </w:r>
      <w:r>
        <w:rPr>
          <w:rFonts w:hint="eastAsia"/>
        </w:rPr>
        <w:t>方案</w:t>
      </w:r>
      <w:r>
        <w:t>。</w:t>
      </w:r>
    </w:p>
    <w:p>
      <w:r>
        <w:rPr>
          <w:rFonts w:hint="eastAsia"/>
        </w:rPr>
        <w:t>但是，现有的治疗方案通常并没有考虑这种不对称性，因为肿瘤的异质性和个体差异性，医生很难判断哪种治疗方案更好，所以实际中当发现一个治疗方案有效的时候，一般都是持续使用该治疗方案直到肿瘤发生进展。这意味着在固定的治疗方案下，对于肿瘤细胞的杀伤从而促使肿瘤细胞不断进化出“成功”的适应性反应（其中，大体上有两种可能。一种是肿瘤的异质性，对治疗方案敏感的肿瘤细胞不断死亡，而对治疗方案不敏感肿瘤细胞的不断繁殖，从而使肿瘤整体进化出适应性。另外一种就是肿瘤细胞的变异，在生存压力下发生对抗治疗方案的变异，从而使肿瘤进化出适应性）。但是这种适应性只是被动的反应，不能提前演化出未发生治疗方案的适应性。从</w:t>
      </w:r>
      <w:bookmarkStart w:id="0" w:name="_GoBack"/>
      <w:bookmarkEnd w:id="0"/>
      <w:r>
        <w:rPr>
          <w:rFonts w:hint="eastAsia"/>
        </w:rPr>
        <w:t>博弈角度来说，由于靶向</w:t>
      </w:r>
      <w:r>
        <w:t>药物耐受</w:t>
      </w:r>
      <w:r>
        <w:rPr>
          <w:rFonts w:hint="eastAsia"/>
        </w:rPr>
        <w:t>肿瘤</w:t>
      </w:r>
      <w:r>
        <w:t>细胞在细胞代谢等方面通常需要更多的代偿(trade-off)效应来维持</w:t>
      </w:r>
      <w:r>
        <w:rPr>
          <w:rFonts w:hint="eastAsia"/>
        </w:rPr>
        <w:t>其</w:t>
      </w:r>
      <w:r>
        <w:t>耐药特征， 因而其在生长和增殖方面具有劣势</w:t>
      </w:r>
      <w:r>
        <w:rPr>
          <w:rFonts w:hint="eastAsia"/>
        </w:rPr>
        <w:t>[</w:t>
      </w:r>
      <w:r>
        <w:t>6]</w:t>
      </w:r>
      <w:r>
        <w:rPr>
          <w:rFonts w:hint="eastAsia"/>
        </w:rPr>
        <w:t>。在常规的持续可耐受最大剂量</w:t>
      </w:r>
      <w:r>
        <w:t>给药模式</w:t>
      </w:r>
      <w:r>
        <w:rPr>
          <w:rFonts w:hint="eastAsia"/>
        </w:rPr>
        <w:t>下，肿瘤</w:t>
      </w:r>
      <w:r>
        <w:t>组织中的药物耐受</w:t>
      </w:r>
      <w:r>
        <w:rPr>
          <w:rFonts w:hint="eastAsia"/>
        </w:rPr>
        <w:t>肿瘤</w:t>
      </w:r>
      <w:r>
        <w:t>细胞亚群将迅速获得选择优势</w:t>
      </w:r>
      <w:r>
        <w:rPr>
          <w:rFonts w:hint="eastAsia"/>
        </w:rPr>
        <w:t>，会导致博弈中的纳什均衡，最终出现临床上靶向药物耐药，从而很大概率出现治疗失败。</w:t>
      </w:r>
    </w:p>
    <w:p>
      <w:r>
        <w:rPr>
          <w:rFonts w:hint="eastAsia"/>
        </w:rPr>
        <w:t>在考虑博弈中的不对称性，根据肿瘤对治疗的反应指标动态调整治疗方案，从而从大的方面来说改善治疗收益，甚至可能达到治愈肿瘤的最终目的；从小的方面来说，可以维持靶向药物敏感肿瘤细胞在数量上相对优势，</w:t>
      </w:r>
      <w:r>
        <w:t xml:space="preserve"> 进而通过生长竞争抑制</w:t>
      </w:r>
      <w:r>
        <w:rPr>
          <w:rFonts w:hint="eastAsia"/>
        </w:rPr>
        <w:t>靶向</w:t>
      </w:r>
      <w:r>
        <w:t>药物耐受</w:t>
      </w:r>
      <w:r>
        <w:rPr>
          <w:rFonts w:hint="eastAsia"/>
        </w:rPr>
        <w:t>肿瘤</w:t>
      </w:r>
      <w:r>
        <w:t>细胞数量， 最终延缓甚至消除常规治疗后期</w:t>
      </w:r>
      <w:r>
        <w:rPr>
          <w:rFonts w:hint="eastAsia"/>
        </w:rPr>
        <w:t>肿瘤</w:t>
      </w:r>
      <w:r>
        <w:t>细胞耐药</w:t>
      </w:r>
      <w:r>
        <w:rPr>
          <w:rFonts w:hint="eastAsia"/>
        </w:rPr>
        <w:t>现象。</w:t>
      </w:r>
    </w:p>
    <w:p/>
    <w:p>
      <w:r>
        <w:rPr>
          <w:rFonts w:hint="eastAsia"/>
        </w:rPr>
        <w:t>交替治疗是指不同的治疗方案联合治疗一个疾病的方法，最早由Weinstein和White</w:t>
      </w:r>
      <w:r>
        <w:t xml:space="preserve"> </w:t>
      </w:r>
      <w:r>
        <w:rPr>
          <w:rFonts w:hint="eastAsia"/>
        </w:rPr>
        <w:t>[</w:t>
      </w:r>
      <w:r>
        <w:t xml:space="preserve">5] </w:t>
      </w:r>
      <w:r>
        <w:rPr>
          <w:rFonts w:hint="eastAsia"/>
        </w:rPr>
        <w:t>提出。靶向药和化疗交替治疗的设计大体包括：同步治疗和序贯治疗。其中，同步治疗一方面存在毒副作用累计的潜在风险，另一方面可以能存在分子靶向药物和化疗药物之间相互影响的问题，例如针对NSCLC的</w:t>
      </w:r>
      <w:r>
        <w:t>EGFR-TKIs药物</w:t>
      </w:r>
      <w:r>
        <w:rPr>
          <w:rFonts w:hint="eastAsia"/>
        </w:rPr>
        <w:t>和化疗同步治疗可能存在如下问题[</w:t>
      </w:r>
      <w:r>
        <w:t>2]</w:t>
      </w:r>
      <w:r>
        <w:rPr>
          <w:rFonts w:hint="eastAsia"/>
        </w:rPr>
        <w:t>：（1）</w:t>
      </w:r>
      <w:r>
        <w:t>EGFR-TKIs药物可使肿瘤细胞停滞在G1期，而许多化疗药物则在S期（</w:t>
      </w:r>
      <w:r>
        <w:rPr>
          <w:rFonts w:hint="eastAsia"/>
        </w:rPr>
        <w:t>例如</w:t>
      </w:r>
      <w:r>
        <w:t>培美曲塞，拓扑替康，依托泊苷等。机制为引起DNA损伤、抑制DNA合成和修复）或M期（紫杉类药物等。机制为干扰细胞有丝分裂和诱导凋亡等）而发挥作用</w:t>
      </w:r>
      <w:r>
        <w:rPr>
          <w:rFonts w:hint="eastAsia"/>
        </w:rPr>
        <w:t>[</w:t>
      </w:r>
      <w:r>
        <w:t>3</w:t>
      </w:r>
      <w:r>
        <w:rPr>
          <w:rFonts w:hint="eastAsia"/>
        </w:rPr>
        <w:t>]</w:t>
      </w:r>
      <w:r>
        <w:t>；②有研究</w:t>
      </w:r>
      <w:r>
        <w:rPr>
          <w:rFonts w:hint="eastAsia"/>
        </w:rPr>
        <w:t>[</w:t>
      </w:r>
      <w:r>
        <w:t>4]显示，当顺铂浓度在NSCLC细胞中超过1~3μmol/L时，0.001~0.3μmol/L浓度的吉非替尼以能量依赖性模式干扰顺铂进入肿瘤细胞内，因此导致</w:t>
      </w:r>
      <w:r>
        <w:rPr>
          <w:rFonts w:hint="eastAsia"/>
        </w:rPr>
        <w:t>一定的</w:t>
      </w:r>
      <w:r>
        <w:t>抵抗性，当顺铂用药24小时之后再给予吉非替尼则可以消除这种抵抗性。当然，上述现象只是部分同步治疗</w:t>
      </w:r>
      <w:r>
        <w:rPr>
          <w:rFonts w:hint="eastAsia"/>
        </w:rPr>
        <w:t>失败的原因。由于分子靶向药物的快速发展，我们无法根据已有证据完全排除同步治疗方案的可能优越性。</w:t>
      </w:r>
    </w:p>
    <w:p/>
    <w:p>
      <w:pPr>
        <w:rPr>
          <w:lang w:val="en-AU"/>
        </w:rPr>
      </w:pPr>
      <w:r>
        <w:rPr>
          <w:rFonts w:hint="eastAsia"/>
          <w:lang w:val="en-AU"/>
        </w:rPr>
        <w:t>讨论：实际上该优化方案对于靶向药和放疗交替治疗同样适用。</w:t>
      </w:r>
    </w:p>
    <w:p>
      <w:pPr>
        <w:rPr>
          <w:lang w:val="en-AU"/>
        </w:rPr>
      </w:pPr>
    </w:p>
    <w:p>
      <w:pPr>
        <w:rPr>
          <w:lang w:val="en-AU"/>
        </w:rPr>
      </w:pPr>
    </w:p>
    <w:p>
      <w:pPr>
        <w:rPr>
          <w:lang w:val="en-AU"/>
        </w:rPr>
      </w:pPr>
      <w:r>
        <w:rPr>
          <w:rFonts w:hint="eastAsia"/>
          <w:lang w:val="en-AU"/>
        </w:rPr>
        <w:t>理想情况下，我们能够及时获知肿瘤的状态，及对治疗方案的反应。但是实际中这是不可能的。一般情况下，CT或者MRD一般最少间隔一个月检查一次，对糖类抗原等</w:t>
      </w:r>
      <w:r>
        <w:rPr>
          <w:lang w:val="en-AU"/>
        </w:rPr>
        <w:t>肿瘤标志物</w:t>
      </w:r>
      <w:r>
        <w:rPr>
          <w:rFonts w:hint="eastAsia"/>
          <w:lang w:val="en-AU"/>
        </w:rPr>
        <w:t>的血检一般都是一个月一次。这种检测频率很难让我们能够准确了解肿瘤的实时状态，特别是这些检测数据并不能准确明确反馈肿瘤的状态。在两次检查间隔时间内，一般都执行同样治疗方案，除非出现不可耐受症状。考虑到不同检测结果及其确定性，从而对每个维度都能确定一个上确界和下确界，那么对应最激进治疗方案，最保守治疗方案和常规治疗方案。</w:t>
      </w:r>
    </w:p>
    <w:p>
      <w:pPr>
        <w:rPr>
          <w:lang w:val="en-AU"/>
        </w:rPr>
      </w:pPr>
      <w:r>
        <w:rPr>
          <w:rFonts w:hint="eastAsia"/>
          <w:lang w:val="en-AU"/>
        </w:rPr>
        <w:t>在这个过程中，影像学证据的确定性比较高，相对肿瘤标志物证据的确定性稍低。如果影像学证据和肿瘤标志物证据一致，那么对应的确定性升高。如果影像学证据和肿瘤标志物证据冲突，那么接受影像学证据，但是对应的确定性降低。其他类型的证据冲突按照类似处理。根据对应证据和相应的确定性，确定一个上确界和下确界，从而对应最激进治疗方案，最保守治疗方案和常规治疗方案。</w:t>
      </w:r>
    </w:p>
    <w:p>
      <w:pPr>
        <w:rPr>
          <w:lang w:val="en-AU"/>
        </w:rPr>
      </w:pPr>
    </w:p>
    <w:p>
      <w:pPr>
        <w:rPr>
          <w:lang w:val="en-AU"/>
        </w:rPr>
      </w:pPr>
    </w:p>
    <w:p>
      <w:r>
        <w:rPr>
          <w:rFonts w:hint="eastAsia"/>
          <w:color w:val="FF0000"/>
          <w:lang w:val="en-AU"/>
        </w:rPr>
        <w:t>肿瘤负荷B可以由肿瘤总体积</w:t>
      </w:r>
      <w:r>
        <w:rPr>
          <w:rFonts w:hint="eastAsia"/>
          <w:lang w:val="en-AU"/>
        </w:rPr>
        <w:t>、离散程度（多个肿瘤之间的距离）、肿瘤纯度（是否有多种变异）构成的函数决定</w:t>
      </w:r>
    </w:p>
    <w:p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/>
                <w:rPr>
                  <w:rFonts w:hint="eastAsia"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e>
          </m:acc>
          <m:r>
            <m:rPr/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 w:hAnsi="Cambria Math"/>
                </w:rPr>
                <m:t>∂</m:t>
              </m:r>
              <m:r>
                <m:rPr/>
                <w:rPr>
                  <w:rFonts w:hint="eastAsia" w:ascii="Cambria Math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/>
                </w:rPr>
                <m:t>∂</m:t>
              </m:r>
              <m:r>
                <m:rPr/>
                <w:rPr>
                  <w:rFonts w:hint="eastAsia"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/>
            <w:rPr>
              <w:rFonts w:ascii="Cambria Math" w:hAnsi="Cambria Math"/>
            </w:rPr>
            <m:t>=</m:t>
          </m:r>
          <m:r>
            <m:rPr/>
            <w:rPr>
              <w:rFonts w:hint="eastAsia" w:ascii="Cambria Math" w:hAnsi="Cambria Math"/>
            </w:rPr>
            <m:t>B</m:t>
          </m:r>
          <m:r>
            <m:rPr/>
            <w:rPr>
              <w:rFonts w:ascii="Cambria Math" w:hAnsi="Cambria Math"/>
            </w:rPr>
            <m:t>∙G(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,</m:t>
          </m:r>
          <m:r>
            <m:rPr/>
            <w:rPr>
              <w:rFonts w:hint="eastAsia" w:ascii="Cambria Math" w:hAnsi="Cambria Math"/>
            </w:rPr>
            <m:t>B</m:t>
          </m:r>
          <m:r>
            <m:rPr/>
            <w:rPr>
              <w:rFonts w:ascii="Cambria Math" w:hAnsi="Cambria Math"/>
            </w:rPr>
            <m:t>)</m:t>
          </m:r>
        </m:oMath>
      </m:oMathPara>
    </w:p>
    <w:p>
      <w:pPr>
        <w:rPr>
          <w:rFonts w:hint="eastAsia"/>
        </w:rPr>
      </w:pPr>
      <w:r>
        <w:rPr>
          <w:rFonts w:hint="eastAsia"/>
        </w:rPr>
        <w:t>其中，</w:t>
      </w:r>
    </w:p>
    <w:p>
      <w:pPr>
        <w:rPr>
          <w:rFonts w:hint="eastAsia"/>
        </w:rPr>
      </w:pPr>
      <w:r>
        <w:rPr>
          <w:rFonts w:hint="eastAsia"/>
        </w:rPr>
        <w:t>治疗方案副效用函数（treatment</w:t>
      </w:r>
      <w:r>
        <w:t xml:space="preserve"> </w:t>
      </w:r>
      <w:r>
        <w:rPr>
          <w:rFonts w:hint="eastAsia"/>
        </w:rPr>
        <w:t>negative</w:t>
      </w:r>
      <w:r>
        <w:t xml:space="preserve"> utility</w:t>
      </w:r>
      <w:r>
        <w:rPr>
          <w:rFonts w:hint="eastAsia"/>
        </w:rPr>
        <w:t>）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m:rPr/>
              <w:rPr>
                <w:rFonts w:ascii="Cambria Math" w:hAnsi="Cambria Math"/>
                <w:color w:val="FF0000"/>
              </w:rPr>
              <m:t>u</m:t>
            </m:r>
            <m:ctrlPr>
              <w:rPr>
                <w:rFonts w:ascii="Cambria Math" w:hAnsi="Cambria Math"/>
                <w:i/>
                <w:color w:val="FF0000"/>
              </w:rPr>
            </m:ctrlPr>
          </m:e>
          <m:sub>
            <m:r>
              <m:rPr/>
              <w:rPr>
                <w:rFonts w:ascii="Cambria Math" w:hAnsi="Cambria Math"/>
                <w:color w:val="FF0000"/>
              </w:rPr>
              <m:t>t</m:t>
            </m:r>
            <m:ctrlPr>
              <w:rPr>
                <w:rFonts w:ascii="Cambria Math" w:hAnsi="Cambria Math"/>
                <w:i/>
                <w:color w:val="FF0000"/>
              </w:rPr>
            </m:ctrlPr>
          </m:sub>
        </m:sSub>
      </m:oMath>
      <w:r>
        <w:rPr>
          <w:rFonts w:hint="eastAsia"/>
        </w:rPr>
        <w:t>，主要反映治疗的副作用；</w:t>
      </w:r>
    </w:p>
    <w:p>
      <w:pPr>
        <w:rPr>
          <w:rFonts w:hint="eastAsia"/>
        </w:rPr>
      </w:pPr>
      <w:r>
        <w:rPr>
          <w:rFonts w:hint="eastAsia"/>
        </w:rPr>
        <w:t>肿瘤反馈效用函数（tumor</w:t>
      </w:r>
      <w:r>
        <w:t xml:space="preserve"> </w:t>
      </w:r>
      <w:r>
        <w:rPr>
          <w:rFonts w:hint="eastAsia"/>
        </w:rPr>
        <w:t>feedback</w:t>
      </w:r>
      <w:r>
        <w:t xml:space="preserve"> utility</w:t>
      </w:r>
      <w:r>
        <w:rPr>
          <w:rFonts w:hint="eastAsia"/>
        </w:rPr>
        <w:t>）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m:rPr/>
              <w:rPr>
                <w:rFonts w:ascii="Cambria Math" w:hAnsi="Cambria Math"/>
                <w:color w:val="FF0000"/>
              </w:rPr>
              <m:t>u</m:t>
            </m:r>
            <m:ctrlPr>
              <w:rPr>
                <w:rFonts w:ascii="Cambria Math" w:hAnsi="Cambria Math"/>
                <w:i/>
                <w:color w:val="FF0000"/>
              </w:rPr>
            </m:ctrlPr>
          </m:e>
          <m:sub>
            <m:r>
              <m:rPr/>
              <w:rPr>
                <w:rFonts w:ascii="Cambria Math" w:hAnsi="Cambria Math"/>
                <w:color w:val="FF0000"/>
              </w:rPr>
              <m:t>f</m:t>
            </m:r>
            <m:ctrlPr>
              <w:rPr>
                <w:rFonts w:ascii="Cambria Math" w:hAnsi="Cambria Math"/>
                <w:i/>
                <w:color w:val="FF0000"/>
              </w:rPr>
            </m:ctrlPr>
          </m:sub>
        </m:sSub>
      </m:oMath>
      <w:r>
        <w:rPr>
          <w:rFonts w:hint="eastAsia"/>
        </w:rPr>
        <w:t>，主要反映肿瘤反馈的治疗效果，比如</w:t>
      </w:r>
      <w:r>
        <w:rPr>
          <w:rFonts w:hint="eastAsia"/>
          <w:lang w:val="en-AU"/>
        </w:rPr>
        <w:t>CT或者MRD上显示的肿瘤缩小比率或者肿瘤标志物降低的百分比，该参数和肿瘤负荷有一定的联系</w:t>
      </w:r>
      <w:r>
        <w:rPr>
          <w:rFonts w:hint="eastAsia"/>
        </w:rPr>
        <w:t>；</w:t>
      </w:r>
    </w:p>
    <w:p>
      <w:r>
        <w:rPr>
          <w:rFonts w:hint="eastAsia"/>
        </w:rPr>
        <w:t>人类承受力效用函数（afford</w:t>
      </w:r>
      <w:r>
        <w:t xml:space="preserve"> utility</w:t>
      </w:r>
      <w:r>
        <w:rPr>
          <w:rFonts w:hint="eastAsia"/>
        </w:rPr>
        <w:t>）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m:rPr/>
              <w:rPr>
                <w:rFonts w:ascii="Cambria Math" w:hAnsi="Cambria Math"/>
                <w:color w:val="FF0000"/>
              </w:rPr>
              <m:t>u</m:t>
            </m:r>
            <m:ctrlPr>
              <w:rPr>
                <w:rFonts w:ascii="Cambria Math" w:hAnsi="Cambria Math"/>
                <w:i/>
                <w:color w:val="FF0000"/>
              </w:rPr>
            </m:ctrlPr>
          </m:e>
          <m:sub>
            <m:r>
              <m:rPr/>
              <w:rPr>
                <w:rFonts w:hint="eastAsia" w:ascii="Cambria Math" w:hAnsi="Cambria Math"/>
                <w:color w:val="FF0000"/>
              </w:rPr>
              <m:t>a</m:t>
            </m:r>
            <m:ctrlPr>
              <w:rPr>
                <w:rFonts w:ascii="Cambria Math" w:hAnsi="Cambria Math"/>
                <w:i/>
                <w:color w:val="FF0000"/>
              </w:rPr>
            </m:ctrlPr>
          </m:sub>
        </m:sSub>
      </m:oMath>
      <w:r>
        <w:rPr>
          <w:rFonts w:hint="eastAsia"/>
        </w:rPr>
        <w:t>，主要反映身体免疫系统的能力，降到0对应人类死亡，从而得到了对应时间的总体生存率，该参数和治疗方案副效用函数有一定的关系；</w:t>
      </w:r>
      <w:r>
        <w:rPr>
          <w:rFonts w:hint="eastAsia"/>
          <w:color w:val="FF0000"/>
        </w:rPr>
        <w:t>而肿瘤负荷在一个指定阈值正负变化之内对应的时间，就是无进展生存时间。</w:t>
      </w:r>
    </w:p>
    <w:p/>
    <w:p>
      <w:r>
        <w:rPr>
          <w:rFonts w:hint="eastAsia"/>
          <w:color w:val="FF0000"/>
        </w:rPr>
        <w:t>把肿瘤负担分为两部分，一部分是靶向相关肿瘤负担，一部分是靶向非相关肿瘤负担(靶向药物敏感细胞和非敏感细胞</w:t>
      </w:r>
      <w:r>
        <w:rPr>
          <w:color w:val="FF0000"/>
        </w:rPr>
        <w:t>)</w:t>
      </w:r>
      <w:r>
        <w:rPr>
          <w:rFonts w:hint="eastAsia"/>
          <w:color w:val="FF0000"/>
        </w:rPr>
        <w:t>。</w:t>
      </w:r>
      <w:r>
        <w:rPr>
          <w:rFonts w:hint="eastAsia"/>
        </w:rPr>
        <w:t>靶向药针对的是靶向相关肿瘤负担，每次降低其固定百分比。对应的副作用较小，对身体免疫力影响较小。化疗针对的是肿瘤负担，每次降低其固定百分比。对应的副作用较大，对身体免疫力影响较大。（</w:t>
      </w:r>
      <w:r>
        <w:rPr>
          <w:rFonts w:hint="eastAsia"/>
          <w:color w:val="FF0000"/>
        </w:rPr>
        <w:t>就是靶向药和化疗分别治疗的策略</w:t>
      </w:r>
      <w:r>
        <w:rPr>
          <w:rFonts w:hint="eastAsia"/>
        </w:rPr>
        <w:t>）其相对比例可以初始化为活检比例，之后会发生变化。</w:t>
      </w:r>
    </w:p>
    <w:p/>
    <w:p>
      <w:r>
        <w:rPr>
          <w:rFonts w:hint="eastAsia"/>
          <w:color w:val="FF0000"/>
        </w:rPr>
        <w:t>研究目的，优化治疗方案。根据初步结果或者询证结果或者根据指南初始化设置，然后根据各种检查结果更新参数，得到最优方案，一般是化疗和靶向药的具体治疗方案，例如使用治疗具体时间间隔，从而达到首要目标尽可能延长生存期，其次是最大化无进展生存时间。</w:t>
      </w:r>
    </w:p>
    <w:p>
      <w:r>
        <w:drawing>
          <wp:inline distT="0" distB="0" distL="0" distR="0">
            <wp:extent cx="5274310" cy="2966720"/>
            <wp:effectExtent l="0" t="0" r="2540" b="508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参数首先需要符合指南，就是说在大部分人群中，化疗例如培美曲塞+铂类药物一般4</w:t>
      </w:r>
      <w:r>
        <w:t>-6</w:t>
      </w:r>
      <w:r>
        <w:rPr>
          <w:rFonts w:hint="eastAsia"/>
        </w:rPr>
        <w:t>次，大部分人做完4次收益最大，6次效果最好。</w:t>
      </w:r>
      <w:r>
        <w:rPr>
          <w:rFonts w:hint="eastAsia"/>
          <w:color w:val="FF0000"/>
        </w:rPr>
        <w:t>间隔时间是2</w:t>
      </w:r>
      <w:r>
        <w:rPr>
          <w:color w:val="FF0000"/>
        </w:rPr>
        <w:t>1</w:t>
      </w:r>
      <w:r>
        <w:rPr>
          <w:rFonts w:hint="eastAsia"/>
          <w:color w:val="FF0000"/>
        </w:rPr>
        <w:t>天一个周期</w:t>
      </w:r>
      <w:r>
        <w:rPr>
          <w:rFonts w:hint="eastAsia"/>
        </w:rPr>
        <w:t>。但是这个数据应该是一个大部分人的保守方案，并不是最优方案。</w:t>
      </w:r>
    </w:p>
    <w:p/>
    <w:p>
      <w:r>
        <w:rPr>
          <w:rFonts w:hint="eastAsia"/>
        </w:rPr>
        <w:t>数据集</w:t>
      </w:r>
      <w:r>
        <w:t>JCOG1404/WJOG8214L</w:t>
      </w:r>
      <w:r>
        <w:rPr>
          <w:rFonts w:hint="eastAsia"/>
        </w:rPr>
        <w:t>，</w:t>
      </w:r>
      <w:r>
        <w:t>AGAIN</w:t>
      </w:r>
      <w:r>
        <w:rPr>
          <w:rFonts w:hint="eastAsia"/>
        </w:rPr>
        <w:t>研究</w:t>
      </w:r>
    </w:p>
    <w:p>
      <w:pPr>
        <w:rPr>
          <w:color w:val="FF0000"/>
        </w:rPr>
      </w:pPr>
      <w:r>
        <w:rPr>
          <w:color w:val="FF0000"/>
        </w:rPr>
        <w:t>patient characteristics</w:t>
      </w:r>
      <w:r>
        <w:rPr>
          <w:rFonts w:hint="eastAsia"/>
          <w:color w:val="FF0000"/>
        </w:rPr>
        <w:t>患者特征</w:t>
      </w:r>
    </w:p>
    <w:p/>
    <w:p>
      <w:r>
        <w:drawing>
          <wp:inline distT="0" distB="0" distL="0" distR="0">
            <wp:extent cx="5274310" cy="2966720"/>
            <wp:effectExtent l="0" t="0" r="2540" b="5080"/>
            <wp:docPr id="2009749137" name="图片 200974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9137" name="图片 20097491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标准组：</w:t>
      </w:r>
      <w:r>
        <w:t>250例患者接受EGFR-TKI单药治疗，每日250 mg吉非替尼或每日80 mg奥希替尼，治疗持续至疾病进展；</w:t>
      </w:r>
    </w:p>
    <w:p>
      <w:r>
        <w:rPr>
          <w:rFonts w:hint="eastAsia"/>
        </w:rPr>
        <w:t>试验组：</w:t>
      </w:r>
      <w:r>
        <w:t>251例患者从第1日至第56日每日接受吉非替尼或奥希替尼</w:t>
      </w:r>
      <w:r>
        <w:rPr>
          <w:rFonts w:hint="eastAsia"/>
        </w:rPr>
        <w:t>(靶向药</w:t>
      </w:r>
      <w:r>
        <w:t>)治疗，之后休息2周；然后在第71、92和113日接受3个周期的顺铂和培美曲塞治疗</w:t>
      </w:r>
      <w:r>
        <w:rPr>
          <w:rFonts w:hint="eastAsia"/>
        </w:rPr>
        <w:t>（化疗）</w:t>
      </w:r>
      <w:r>
        <w:t>，在第134日恢复吉非替尼或奥希替尼治疗</w:t>
      </w:r>
      <w:r>
        <w:rPr>
          <w:rFonts w:hint="eastAsia"/>
        </w:rPr>
        <w:t>（靶向药）</w:t>
      </w:r>
      <w:r>
        <w:t>，治疗持续至疾病进展。</w:t>
      </w:r>
    </w:p>
    <w:p>
      <w:pPr>
        <w:rPr>
          <w:color w:val="FF0000"/>
        </w:rPr>
      </w:pPr>
      <w:r>
        <w:rPr>
          <w:color w:val="FF0000"/>
        </w:rPr>
        <w:t>Progression-free survival</w:t>
      </w:r>
      <w:r>
        <w:rPr>
          <w:rFonts w:hint="eastAsia"/>
          <w:color w:val="FF0000"/>
        </w:rPr>
        <w:t>无进展生存期</w:t>
      </w:r>
    </w:p>
    <w:p>
      <w:r>
        <w:drawing>
          <wp:inline distT="0" distB="0" distL="0" distR="0">
            <wp:extent cx="5274310" cy="2966720"/>
            <wp:effectExtent l="0" t="0" r="2540" b="5080"/>
            <wp:docPr id="466979529" name="图片 466979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9529" name="图片 4669795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1001425360" name="图片 100142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25360" name="图片 100142536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1015442236" name="图片 101544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42236" name="图片 10154422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1612846352" name="图片 1612846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6352" name="图片 16128463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66720"/>
            <wp:effectExtent l="0" t="0" r="2540" b="5080"/>
            <wp:docPr id="280671758" name="图片 28067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1758" name="图片 2806717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t>Kanda, S, et al. A phase III study comparing EGFR tyrosine kinase inhibitor (EGFR-TKI) monotherapy and EGFR-TKI with inserted cisplatin (CDDP) plus pemetrexed (PEM) as a first-line treatment in patients (pts) with advanced non-squamous non–small-cell lung cancer (NSqNSCLC) harboring EGFR activating mutation (EGFR-NSqNSCLC): JCOG1404/WJOG8214L, AGAIN study. 2023 ASCO. DOI: 10.1200/JCO.2023.41.17_suppl.LBA9009</w:t>
      </w:r>
    </w:p>
    <w:p/>
    <w:p>
      <w:r>
        <w:t>FLAURA研究</w:t>
      </w:r>
    </w:p>
    <w:p>
      <w:r>
        <w:t>FLAURA研究（NCT02296125）是一项国际多中心、随机、对照Ⅲ期临床研究，旨在评估奥希替尼单药（80mg PO QD，n=279）或标准EGFR-TKIs治疗（SoC，包括吉非替尼 250mg PO QD或厄洛替尼 150mg PO QD，n=277）一线治疗EGFR敏感突变阳性晚期NSCLC患者的疗效和安全性。FLAURA研究达到主要终点，PFS显著延长了8.7个月（18.9个月 vs. 10.2个月，HR=0.46），FDA也基于此结果批准其一线治疗适应症。</w:t>
      </w:r>
    </w:p>
    <w:p>
      <w:r>
        <w:drawing>
          <wp:inline distT="0" distB="0" distL="0" distR="0">
            <wp:extent cx="5274310" cy="2389505"/>
            <wp:effectExtent l="0" t="0" r="2540" b="0"/>
            <wp:docPr id="1908218302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18302" name="图片 1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11575"/>
            <wp:effectExtent l="0" t="0" r="2540" b="3175"/>
            <wp:docPr id="17355199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19949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Microsoft YaHei UI" w:hAnsi="Microsoft YaHei UI" w:eastAsia="Microsoft YaHei UI"/>
          <w:color w:val="222222"/>
          <w:spacing w:val="8"/>
          <w:shd w:val="clear" w:color="auto" w:fill="FFFFFF"/>
        </w:rPr>
      </w:pPr>
      <w:r>
        <w:rPr>
          <w:rFonts w:hint="eastAsia" w:ascii="Microsoft YaHei UI" w:hAnsi="Microsoft YaHei UI" w:eastAsia="Microsoft YaHei UI"/>
          <w:color w:val="222222"/>
          <w:spacing w:val="8"/>
          <w:shd w:val="clear" w:color="auto" w:fill="FFFFFF"/>
        </w:rPr>
        <w:t>OPAL研究</w:t>
      </w:r>
    </w:p>
    <w:p>
      <w:r>
        <w:drawing>
          <wp:inline distT="0" distB="0" distL="0" distR="0">
            <wp:extent cx="5274310" cy="2432050"/>
            <wp:effectExtent l="0" t="0" r="2540" b="6350"/>
            <wp:docPr id="10808287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2872" name="图片 2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42540"/>
            <wp:effectExtent l="0" t="0" r="2540" b="0"/>
            <wp:docPr id="1196809526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09526" name="图片 4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10385"/>
            <wp:effectExtent l="0" t="0" r="2540" b="0"/>
            <wp:docPr id="801147883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7883" name="图片 5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虽然学术界很早就提到了精准医学的概念，但是该概念的落地还有漫长的过程。例如，比较成熟的精准医学治疗方法阿基仑赛注射液是属于嵌合抗原受体</w:t>
      </w:r>
      <w:r>
        <w:t>T细胞免疫疗法</w:t>
      </w:r>
      <w:r>
        <w:rPr>
          <w:rFonts w:hint="eastAsia"/>
        </w:rPr>
        <w:t>（</w:t>
      </w:r>
      <w:r>
        <w:t>CAR-T细胞疗法</w:t>
      </w:r>
      <w:r>
        <w:rPr>
          <w:rFonts w:hint="eastAsia"/>
        </w:rPr>
        <w:t>），现在在中国的价格是1</w:t>
      </w:r>
      <w:r>
        <w:t>20</w:t>
      </w:r>
      <w:r>
        <w:rPr>
          <w:rFonts w:hint="eastAsia"/>
        </w:rPr>
        <w:t>万，已经是全世界范围内同类产品的最低价了，但是绝大部分患者来说，价格过于昂贵，这阻碍了它的进一步广泛应用。</w:t>
      </w:r>
    </w:p>
    <w:p/>
    <w:p>
      <w:r>
        <w:rPr>
          <w:rFonts w:hint="eastAsia"/>
        </w:rPr>
        <w:t>如下部分暂时不考虑，因为和临床知识对接的不好：</w:t>
      </w:r>
    </w:p>
    <w:p>
      <w:r>
        <w:rPr>
          <w:rFonts w:hint="eastAsia"/>
        </w:rPr>
        <w:t>因为肿瘤细胞多是异质的，考虑以熵衡量肿瘤成分混乱程度的不确定性引入肿瘤熵，考虑一级证据，二级证据对肿瘤熵的影响，同时考虑到肿瘤的动态变化。肿瘤病理分析或者基因分析是比较准确的结果，但是也是一个或几个切片，并不是全态信息。而CT，MRI和B超等影像学数据很难判断肿瘤的具体成分。而对于多种糖类指标等非特异性数据，只有相对的参考价值。</w:t>
      </w:r>
    </w:p>
    <w:p>
      <w:r>
        <w:rPr>
          <w:rFonts w:hint="eastAsia"/>
        </w:rPr>
        <w:t>在设计上考虑引入肿瘤熵的上确界和下确界。我也考虑过加入确定性和冲突性的概率来描述证据之间的不一致性，但是最后还是觉得引入肿瘤熵的上确界和下确界可能会好点。</w:t>
      </w:r>
    </w:p>
    <w:p/>
    <w:p/>
    <w:p>
      <w:pPr>
        <w:rPr>
          <w:lang w:val="en-AU"/>
        </w:rPr>
      </w:pPr>
      <w:r>
        <w:rPr>
          <w:lang w:val="en-AU"/>
        </w:rPr>
        <w:t>[1] Kate</w:t>
      </w:r>
      <w:r>
        <w:rPr>
          <w:rFonts w:ascii="Cambria" w:hAnsi="Cambria" w:cs="Cambria"/>
          <w:lang w:val="en-AU"/>
        </w:rPr>
        <w:t>ř</w:t>
      </w:r>
      <w:r>
        <w:rPr>
          <w:lang w:val="en-AU"/>
        </w:rPr>
        <w:t>ina Sta</w:t>
      </w:r>
      <w:r>
        <w:rPr>
          <w:rFonts w:hint="eastAsia" w:ascii="等线" w:hAnsi="等线" w:eastAsia="等线" w:cs="等线"/>
          <w:lang w:val="en-AU"/>
        </w:rPr>
        <w:t>ň</w:t>
      </w:r>
      <w:r>
        <w:rPr>
          <w:lang w:val="en-AU"/>
        </w:rPr>
        <w:t>kov</w:t>
      </w:r>
      <w:r>
        <w:rPr>
          <w:rFonts w:hint="eastAsia" w:ascii="等线" w:hAnsi="等线" w:eastAsia="等线" w:cs="等线"/>
          <w:lang w:val="en-AU"/>
        </w:rPr>
        <w:t>á</w:t>
      </w:r>
      <w:r>
        <w:rPr>
          <w:lang w:val="en-AU"/>
        </w:rPr>
        <w:t xml:space="preserve">, Joel S. Brown, William S. Dalton, Robert A. Gatenby, Optimizing Cancer Treatment Using Game Theory, JAMA Oncology, 2019 January 01; 5(1): 96–103. doi:10.1001/jamaoncol.2018.3395. </w:t>
      </w:r>
    </w:p>
    <w:p>
      <w:r>
        <w:rPr>
          <w:lang w:val="en-AU"/>
        </w:rPr>
        <w:t xml:space="preserve">[2] </w:t>
      </w:r>
      <w:r>
        <w:rPr>
          <w:rFonts w:hint="eastAsia"/>
        </w:rPr>
        <w:t>杨拴盈。肺癌个体化治疗。人民卫生出版社。2</w:t>
      </w:r>
      <w:r>
        <w:t>016</w:t>
      </w:r>
      <w:r>
        <w:rPr>
          <w:rFonts w:hint="eastAsia"/>
        </w:rPr>
        <w:t>/</w:t>
      </w:r>
      <w:r>
        <w:t>3/1</w:t>
      </w:r>
    </w:p>
    <w:p>
      <w:pPr>
        <w:rPr>
          <w:lang w:val="en-AU"/>
        </w:rPr>
      </w:pPr>
      <w:r>
        <w:rPr>
          <w:lang w:val="en-AU"/>
        </w:rPr>
        <w:t>[3] Davies AM，Ho C，Lara PN Jr，et al. Pharmacodynamic separation of epidermal growth factor receptor tyrosine kinase inhibitors and chemotherapy in non-small-cell lung cancer. Clin Lung Cancer，2006，7（6）：385-38 8.</w:t>
      </w:r>
    </w:p>
    <w:p>
      <w:pPr>
        <w:rPr>
          <w:lang w:val="en-AU"/>
        </w:rPr>
      </w:pPr>
      <w:r>
        <w:rPr>
          <w:lang w:val="en-AU"/>
        </w:rPr>
        <w:t>[4] Chen T，Chang K，Csiao SH，et al. Combination effects of gefitinib plus cisplatin in non-small cell lung cancer（NSCLC）：why have phase Ⅲ trials failed?. J Clin Oncol，2009，27（15 suppl）：a11022.</w:t>
      </w:r>
    </w:p>
    <w:p>
      <w:pPr>
        <w:rPr>
          <w:lang w:val="en-AU"/>
        </w:rPr>
      </w:pPr>
      <w:r>
        <w:rPr>
          <w:rFonts w:hint="eastAsia"/>
          <w:lang w:val="en-AU"/>
        </w:rPr>
        <w:t>[</w:t>
      </w:r>
      <w:r>
        <w:rPr>
          <w:lang w:val="en-AU"/>
        </w:rPr>
        <w:t>5] Weinstein GD, White GM (1993) An approach to the treatment of moderate to severe psoriasis with rotational therapy. J Am Acad Dermatol 28(3):454–459</w:t>
      </w:r>
    </w:p>
    <w:p>
      <w:pPr>
        <w:rPr>
          <w:lang w:val="en-AU"/>
        </w:rPr>
      </w:pPr>
      <w:r>
        <w:rPr>
          <w:lang w:val="en-AU"/>
        </w:rPr>
        <w:t xml:space="preserve">[6] </w:t>
      </w:r>
      <w:r>
        <w:rPr>
          <w:rFonts w:ascii="楷体" w:hAnsi="楷体"/>
          <w:color w:val="000000"/>
          <w:sz w:val="22"/>
        </w:rPr>
        <w:t>房凌旭</w:t>
      </w:r>
      <w:r>
        <w:rPr>
          <w:rFonts w:hint="eastAsia" w:ascii="楷体" w:hAnsi="楷体"/>
          <w:color w:val="000000"/>
          <w:sz w:val="22"/>
        </w:rPr>
        <w:t>，</w:t>
      </w:r>
      <w:r>
        <w:rPr>
          <w:rFonts w:ascii="楷体" w:hAnsi="楷体"/>
          <w:color w:val="000000"/>
          <w:sz w:val="22"/>
        </w:rPr>
        <w:t>杨丽娜</w:t>
      </w:r>
      <w:r>
        <w:rPr>
          <w:rFonts w:hint="eastAsia" w:ascii="楷体" w:hAnsi="楷体"/>
          <w:color w:val="000000"/>
          <w:sz w:val="22"/>
        </w:rPr>
        <w:t>，</w:t>
      </w:r>
      <w:r>
        <w:rPr>
          <w:rFonts w:ascii="楷体" w:hAnsi="楷体"/>
          <w:color w:val="000000"/>
          <w:sz w:val="22"/>
        </w:rPr>
        <w:t>江川</w:t>
      </w:r>
      <w:r>
        <w:rPr>
          <w:rFonts w:hint="eastAsia" w:ascii="楷体" w:hAnsi="楷体"/>
          <w:color w:val="000000"/>
          <w:sz w:val="22"/>
        </w:rPr>
        <w:t>，</w:t>
      </w:r>
      <w:r>
        <w:rPr>
          <w:rFonts w:ascii="楷体" w:hAnsi="楷体"/>
          <w:color w:val="000000"/>
          <w:sz w:val="22"/>
        </w:rPr>
        <w:t>卢中一</w:t>
      </w:r>
      <w:r>
        <w:rPr>
          <w:rFonts w:hint="eastAsia" w:ascii="楷体" w:hAnsi="楷体"/>
          <w:color w:val="000000"/>
          <w:sz w:val="22"/>
        </w:rPr>
        <w:t>，</w:t>
      </w:r>
      <w:r>
        <w:rPr>
          <w:rFonts w:ascii="楷体" w:hAnsi="楷体"/>
          <w:color w:val="000000"/>
          <w:sz w:val="22"/>
        </w:rPr>
        <w:t>李艳</w:t>
      </w:r>
      <w:r>
        <w:rPr>
          <w:rFonts w:hint="eastAsia" w:ascii="楷体" w:hAnsi="楷体"/>
          <w:color w:val="000000"/>
          <w:sz w:val="22"/>
        </w:rPr>
        <w:t>，适应性治疗策略的研究进展，医学理论与实践，Vol</w:t>
      </w:r>
      <w:r>
        <w:rPr>
          <w:rFonts w:ascii="楷体" w:hAnsi="楷体"/>
          <w:color w:val="000000"/>
          <w:sz w:val="22"/>
        </w:rPr>
        <w:t xml:space="preserve">. 35, No. 22, 3812-3813, 2022. </w:t>
      </w:r>
    </w:p>
    <w:p>
      <w:pPr>
        <w:rPr>
          <w:lang w:val="en-AU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SJ0+ZLcEPJ-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E-BZ+ZLcEPJ-3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SJ31+ZLcEPK-13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lmMWY3YTM2ZmJmMjg2MWVjY2VlNWFiYjYwYjJjYzAifQ=="/>
  </w:docVars>
  <w:rsids>
    <w:rsidRoot w:val="00C1196B"/>
    <w:rsid w:val="00002A49"/>
    <w:rsid w:val="00013A74"/>
    <w:rsid w:val="000233DC"/>
    <w:rsid w:val="0003186E"/>
    <w:rsid w:val="000424A1"/>
    <w:rsid w:val="00047F9B"/>
    <w:rsid w:val="00053E70"/>
    <w:rsid w:val="00092033"/>
    <w:rsid w:val="00094C4E"/>
    <w:rsid w:val="000B2DD8"/>
    <w:rsid w:val="000B486F"/>
    <w:rsid w:val="000E0EAF"/>
    <w:rsid w:val="00100215"/>
    <w:rsid w:val="00125448"/>
    <w:rsid w:val="00153C8C"/>
    <w:rsid w:val="001574CA"/>
    <w:rsid w:val="00173B07"/>
    <w:rsid w:val="001829B4"/>
    <w:rsid w:val="001A1A82"/>
    <w:rsid w:val="001A2675"/>
    <w:rsid w:val="001A732B"/>
    <w:rsid w:val="001A7CB4"/>
    <w:rsid w:val="001B038E"/>
    <w:rsid w:val="001B66F0"/>
    <w:rsid w:val="001E2ED3"/>
    <w:rsid w:val="001F2A40"/>
    <w:rsid w:val="002209B9"/>
    <w:rsid w:val="0022177C"/>
    <w:rsid w:val="0022666A"/>
    <w:rsid w:val="00234F1F"/>
    <w:rsid w:val="00236C39"/>
    <w:rsid w:val="0024201E"/>
    <w:rsid w:val="00243874"/>
    <w:rsid w:val="00253F26"/>
    <w:rsid w:val="00266DBF"/>
    <w:rsid w:val="00273689"/>
    <w:rsid w:val="00280914"/>
    <w:rsid w:val="00283AC4"/>
    <w:rsid w:val="00290F70"/>
    <w:rsid w:val="00296FB8"/>
    <w:rsid w:val="002A0500"/>
    <w:rsid w:val="002A4BB7"/>
    <w:rsid w:val="002B14AB"/>
    <w:rsid w:val="002C3E63"/>
    <w:rsid w:val="002D55E2"/>
    <w:rsid w:val="002D6282"/>
    <w:rsid w:val="002F64B6"/>
    <w:rsid w:val="002F65EA"/>
    <w:rsid w:val="0030010B"/>
    <w:rsid w:val="003133D4"/>
    <w:rsid w:val="003160F6"/>
    <w:rsid w:val="00325920"/>
    <w:rsid w:val="00344D31"/>
    <w:rsid w:val="00361CC7"/>
    <w:rsid w:val="00362ECE"/>
    <w:rsid w:val="003707B7"/>
    <w:rsid w:val="00380BD7"/>
    <w:rsid w:val="003A1141"/>
    <w:rsid w:val="003C2AFB"/>
    <w:rsid w:val="003C3856"/>
    <w:rsid w:val="003D62BB"/>
    <w:rsid w:val="004007E6"/>
    <w:rsid w:val="00402359"/>
    <w:rsid w:val="00411486"/>
    <w:rsid w:val="004369ED"/>
    <w:rsid w:val="00442E8B"/>
    <w:rsid w:val="00451991"/>
    <w:rsid w:val="00455678"/>
    <w:rsid w:val="00471063"/>
    <w:rsid w:val="004740CF"/>
    <w:rsid w:val="004A067E"/>
    <w:rsid w:val="004A684F"/>
    <w:rsid w:val="004B37C5"/>
    <w:rsid w:val="004C5825"/>
    <w:rsid w:val="004F22A3"/>
    <w:rsid w:val="004F62E8"/>
    <w:rsid w:val="0050143F"/>
    <w:rsid w:val="00521DC9"/>
    <w:rsid w:val="00524C48"/>
    <w:rsid w:val="00540ED0"/>
    <w:rsid w:val="00544C9E"/>
    <w:rsid w:val="005864C3"/>
    <w:rsid w:val="005A65C2"/>
    <w:rsid w:val="005B6BCF"/>
    <w:rsid w:val="005C512D"/>
    <w:rsid w:val="005F244A"/>
    <w:rsid w:val="006260EF"/>
    <w:rsid w:val="00643045"/>
    <w:rsid w:val="00647574"/>
    <w:rsid w:val="0065698B"/>
    <w:rsid w:val="0069721F"/>
    <w:rsid w:val="006E3800"/>
    <w:rsid w:val="006F483B"/>
    <w:rsid w:val="006F6B84"/>
    <w:rsid w:val="007227AA"/>
    <w:rsid w:val="00722B0F"/>
    <w:rsid w:val="00723FA7"/>
    <w:rsid w:val="007331FF"/>
    <w:rsid w:val="007351EE"/>
    <w:rsid w:val="0074065B"/>
    <w:rsid w:val="00762E1C"/>
    <w:rsid w:val="007A06DA"/>
    <w:rsid w:val="007B3BCC"/>
    <w:rsid w:val="007B5866"/>
    <w:rsid w:val="007D018D"/>
    <w:rsid w:val="007D564A"/>
    <w:rsid w:val="007E1498"/>
    <w:rsid w:val="007E5D88"/>
    <w:rsid w:val="007E71A8"/>
    <w:rsid w:val="007E7B7D"/>
    <w:rsid w:val="007F1B18"/>
    <w:rsid w:val="007F5195"/>
    <w:rsid w:val="00812B39"/>
    <w:rsid w:val="008245E9"/>
    <w:rsid w:val="00837083"/>
    <w:rsid w:val="008521DC"/>
    <w:rsid w:val="0085743E"/>
    <w:rsid w:val="008603B4"/>
    <w:rsid w:val="008620C7"/>
    <w:rsid w:val="008A0D7D"/>
    <w:rsid w:val="008A5219"/>
    <w:rsid w:val="008C407E"/>
    <w:rsid w:val="008C5242"/>
    <w:rsid w:val="008E4819"/>
    <w:rsid w:val="008F2AD2"/>
    <w:rsid w:val="0090494D"/>
    <w:rsid w:val="009200E2"/>
    <w:rsid w:val="0092289B"/>
    <w:rsid w:val="00946F6A"/>
    <w:rsid w:val="009515E5"/>
    <w:rsid w:val="0096086E"/>
    <w:rsid w:val="00963E03"/>
    <w:rsid w:val="00997475"/>
    <w:rsid w:val="009A5AAE"/>
    <w:rsid w:val="009B4609"/>
    <w:rsid w:val="009D05FD"/>
    <w:rsid w:val="009D2945"/>
    <w:rsid w:val="009E3F23"/>
    <w:rsid w:val="00A109DE"/>
    <w:rsid w:val="00A11964"/>
    <w:rsid w:val="00A124F4"/>
    <w:rsid w:val="00A358E8"/>
    <w:rsid w:val="00A5174A"/>
    <w:rsid w:val="00A772CC"/>
    <w:rsid w:val="00A825C2"/>
    <w:rsid w:val="00A83F9C"/>
    <w:rsid w:val="00A94DC3"/>
    <w:rsid w:val="00AA2BED"/>
    <w:rsid w:val="00AA5438"/>
    <w:rsid w:val="00AA689A"/>
    <w:rsid w:val="00AF0C79"/>
    <w:rsid w:val="00B41BA0"/>
    <w:rsid w:val="00B91E07"/>
    <w:rsid w:val="00B954A3"/>
    <w:rsid w:val="00BE55B4"/>
    <w:rsid w:val="00BF7E1E"/>
    <w:rsid w:val="00C106A8"/>
    <w:rsid w:val="00C1196B"/>
    <w:rsid w:val="00C16B15"/>
    <w:rsid w:val="00C5735A"/>
    <w:rsid w:val="00C605C8"/>
    <w:rsid w:val="00C65E29"/>
    <w:rsid w:val="00C67226"/>
    <w:rsid w:val="00C72787"/>
    <w:rsid w:val="00C77DB6"/>
    <w:rsid w:val="00CA363C"/>
    <w:rsid w:val="00CE598B"/>
    <w:rsid w:val="00D06D9B"/>
    <w:rsid w:val="00D1118E"/>
    <w:rsid w:val="00D22F2D"/>
    <w:rsid w:val="00D25BC6"/>
    <w:rsid w:val="00D462A8"/>
    <w:rsid w:val="00D547A9"/>
    <w:rsid w:val="00D61EB7"/>
    <w:rsid w:val="00D75330"/>
    <w:rsid w:val="00D765BB"/>
    <w:rsid w:val="00D9056C"/>
    <w:rsid w:val="00D92095"/>
    <w:rsid w:val="00D92C64"/>
    <w:rsid w:val="00DB7295"/>
    <w:rsid w:val="00DC407E"/>
    <w:rsid w:val="00DC6113"/>
    <w:rsid w:val="00DE48EE"/>
    <w:rsid w:val="00DF61EE"/>
    <w:rsid w:val="00E149BF"/>
    <w:rsid w:val="00E26E79"/>
    <w:rsid w:val="00E27070"/>
    <w:rsid w:val="00E275E7"/>
    <w:rsid w:val="00E32CA3"/>
    <w:rsid w:val="00E557FD"/>
    <w:rsid w:val="00E60C60"/>
    <w:rsid w:val="00E652CA"/>
    <w:rsid w:val="00E80A55"/>
    <w:rsid w:val="00E93ACF"/>
    <w:rsid w:val="00EB32E2"/>
    <w:rsid w:val="00EE5CFC"/>
    <w:rsid w:val="00EF07EA"/>
    <w:rsid w:val="00EF682E"/>
    <w:rsid w:val="00F05E4D"/>
    <w:rsid w:val="00F57797"/>
    <w:rsid w:val="00F650D9"/>
    <w:rsid w:val="00F72ED5"/>
    <w:rsid w:val="00F737D1"/>
    <w:rsid w:val="00F8223A"/>
    <w:rsid w:val="00F8334A"/>
    <w:rsid w:val="00F91DF5"/>
    <w:rsid w:val="00F922CC"/>
    <w:rsid w:val="00FA713E"/>
    <w:rsid w:val="00FF6E0F"/>
    <w:rsid w:val="431571AC"/>
    <w:rsid w:val="7156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fontstyle01"/>
    <w:basedOn w:val="5"/>
    <w:uiPriority w:val="0"/>
    <w:rPr>
      <w:rFonts w:hint="eastAsia" w:ascii="宋体" w:hAnsi="宋体" w:eastAsia="宋体"/>
      <w:color w:val="000000"/>
      <w:sz w:val="18"/>
      <w:szCs w:val="18"/>
    </w:rPr>
  </w:style>
  <w:style w:type="character" w:customStyle="1" w:styleId="7">
    <w:name w:val="fontstyle11"/>
    <w:basedOn w:val="5"/>
    <w:uiPriority w:val="0"/>
    <w:rPr>
      <w:rFonts w:hint="default" w:ascii="SSJ0+ZLcEPJ-4" w:hAnsi="SSJ0+ZLcEPJ-4"/>
      <w:color w:val="000000"/>
      <w:sz w:val="18"/>
      <w:szCs w:val="18"/>
    </w:rPr>
  </w:style>
  <w:style w:type="character" w:customStyle="1" w:styleId="8">
    <w:name w:val="fontstyle31"/>
    <w:basedOn w:val="5"/>
    <w:uiPriority w:val="0"/>
    <w:rPr>
      <w:rFonts w:hint="default" w:ascii="E-BZ+ZLcEPJ-3" w:hAnsi="E-BZ+ZLcEPJ-3"/>
      <w:color w:val="000000"/>
      <w:sz w:val="18"/>
      <w:szCs w:val="18"/>
    </w:rPr>
  </w:style>
  <w:style w:type="character" w:customStyle="1" w:styleId="9">
    <w:name w:val="fontstyle41"/>
    <w:basedOn w:val="5"/>
    <w:uiPriority w:val="0"/>
    <w:rPr>
      <w:rFonts w:hint="default" w:ascii="SSJ31+ZLcEPK-13" w:hAnsi="SSJ31+ZLcEPK-13"/>
      <w:color w:val="000000"/>
      <w:sz w:val="18"/>
      <w:szCs w:val="18"/>
    </w:rPr>
  </w:style>
  <w:style w:type="character" w:customStyle="1" w:styleId="10">
    <w:name w:val="fontstyle21"/>
    <w:basedOn w:val="5"/>
    <w:uiPriority w:val="0"/>
    <w:rPr>
      <w:rFonts w:hint="eastAsia" w:ascii="宋体" w:hAnsi="宋体" w:eastAsia="宋体"/>
      <w:color w:val="000000"/>
      <w:sz w:val="16"/>
      <w:szCs w:val="16"/>
    </w:rPr>
  </w:style>
  <w:style w:type="character" w:styleId="11">
    <w:name w:val="Placeholder Text"/>
    <w:basedOn w:val="5"/>
    <w:semiHidden/>
    <w:uiPriority w:val="99"/>
    <w:rPr>
      <w:color w:val="808080"/>
    </w:rPr>
  </w:style>
  <w:style w:type="character" w:customStyle="1" w:styleId="12">
    <w:name w:val="页眉 字符"/>
    <w:basedOn w:val="5"/>
    <w:link w:val="3"/>
    <w:uiPriority w:val="99"/>
    <w:rPr>
      <w:sz w:val="18"/>
      <w:szCs w:val="18"/>
    </w:rPr>
  </w:style>
  <w:style w:type="character" w:customStyle="1" w:styleId="13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3373</Words>
  <Characters>4642</Characters>
  <Lines>35</Lines>
  <Paragraphs>9</Paragraphs>
  <TotalTime>4808</TotalTime>
  <ScaleCrop>false</ScaleCrop>
  <LinksUpToDate>false</LinksUpToDate>
  <CharactersWithSpaces>4837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2023-04-08T08:25:00Z</dcterms:created>
  <dc:creator>Administrator</dc:creator>
  <cp:lastModifiedBy>lniiwuw</cp:lastModifiedBy>
  <dcterms:modified xsi:type="dcterms:W3CDTF">2023-09-18T09:15:17Z</dcterms:modified>
  <cp:revision>204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C5EDCEB4601146859A1825609401640D_12</vt:lpwstr>
  </property>
</Properties>
</file>