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1d1c1d"/>
          <w:sz w:val="36"/>
          <w:szCs w:val="36"/>
          <w:shd w:fill="f8f8f8" w:val="clear"/>
        </w:rPr>
      </w:pPr>
      <w:r w:rsidDel="00000000" w:rsidR="00000000" w:rsidRPr="00000000">
        <w:rPr>
          <w:b w:val="1"/>
          <w:color w:val="1d1c1d"/>
          <w:sz w:val="36"/>
          <w:szCs w:val="36"/>
          <w:shd w:fill="f8f8f8" w:val="clear"/>
          <w:rtl w:val="0"/>
        </w:rPr>
        <w:t xml:space="preserve">Packaging Guidelines for next Tapeout</w:t>
      </w:r>
    </w:p>
    <w:p w:rsidR="00000000" w:rsidDel="00000000" w:rsidP="00000000" w:rsidRDefault="00000000" w:rsidRPr="00000000" w14:paraId="00000002">
      <w:pPr>
        <w:pageBreakBefore w:val="0"/>
        <w:jc w:val="left"/>
        <w:rPr>
          <w:b w:val="1"/>
          <w:color w:val="1d1c1d"/>
          <w:sz w:val="36"/>
          <w:szCs w:val="36"/>
          <w:shd w:fill="f8f8f8" w:val="clear"/>
        </w:rPr>
      </w:pPr>
      <w:r w:rsidDel="00000000" w:rsidR="00000000" w:rsidRPr="00000000">
        <w:rPr>
          <w:rtl w:val="0"/>
        </w:rPr>
      </w:r>
    </w:p>
    <w:p w:rsidR="00000000" w:rsidDel="00000000" w:rsidP="00000000" w:rsidRDefault="00000000" w:rsidRPr="00000000" w14:paraId="00000003">
      <w:pPr>
        <w:pageBreakBefore w:val="0"/>
        <w:rPr>
          <w:color w:val="1d1c1d"/>
          <w:sz w:val="23"/>
          <w:szCs w:val="23"/>
          <w:shd w:fill="f8f8f8" w:val="clear"/>
        </w:rPr>
      </w:pPr>
      <w:r w:rsidDel="00000000" w:rsidR="00000000" w:rsidRPr="00000000">
        <w:rPr>
          <w:color w:val="1d1c1d"/>
          <w:sz w:val="23"/>
          <w:szCs w:val="23"/>
          <w:shd w:fill="f8f8f8" w:val="clear"/>
          <w:rtl w:val="0"/>
        </w:rPr>
        <w:t xml:space="preserve">-IO’s ( specifically the most active ones, clk for example ) should be centered in a side.</w:t>
      </w:r>
    </w:p>
    <w:p w:rsidR="00000000" w:rsidDel="00000000" w:rsidP="00000000" w:rsidRDefault="00000000" w:rsidRPr="00000000" w14:paraId="00000004">
      <w:pPr>
        <w:pageBreakBefore w:val="0"/>
        <w:rPr>
          <w:color w:val="1d1c1d"/>
          <w:sz w:val="23"/>
          <w:szCs w:val="23"/>
          <w:shd w:fill="f8f8f8" w:val="clear"/>
        </w:rPr>
      </w:pPr>
      <w:r w:rsidDel="00000000" w:rsidR="00000000" w:rsidRPr="00000000">
        <w:rPr>
          <w:color w:val="1d1c1d"/>
          <w:sz w:val="23"/>
          <w:szCs w:val="23"/>
          <w:shd w:fill="f8f8f8" w:val="clear"/>
          <w:rtl w:val="0"/>
        </w:rPr>
        <w:t xml:space="preserve">-VDD, DVDD &amp; GND should be spread between IO’s.</w:t>
      </w:r>
    </w:p>
    <w:p w:rsidR="00000000" w:rsidDel="00000000" w:rsidP="00000000" w:rsidRDefault="00000000" w:rsidRPr="00000000" w14:paraId="00000005">
      <w:pPr>
        <w:pageBreakBefore w:val="0"/>
        <w:rPr>
          <w:color w:val="1d1c1d"/>
          <w:sz w:val="23"/>
          <w:szCs w:val="23"/>
          <w:shd w:fill="f8f8f8" w:val="clear"/>
        </w:rPr>
      </w:pPr>
      <w:r w:rsidDel="00000000" w:rsidR="00000000" w:rsidRPr="00000000">
        <w:rPr>
          <w:color w:val="1d1c1d"/>
          <w:sz w:val="23"/>
          <w:szCs w:val="23"/>
          <w:shd w:fill="f8f8f8" w:val="clear"/>
          <w:rtl w:val="0"/>
        </w:rPr>
        <w:t xml:space="preserve">Example pin sequence : GND - IO - VDD - IO - GND - DVDD - IO - GND</w:t>
      </w:r>
    </w:p>
    <w:p w:rsidR="00000000" w:rsidDel="00000000" w:rsidP="00000000" w:rsidRDefault="00000000" w:rsidRPr="00000000" w14:paraId="00000006">
      <w:pPr>
        <w:pageBreakBefore w:val="0"/>
        <w:rPr>
          <w:color w:val="1d1c1d"/>
          <w:sz w:val="23"/>
          <w:szCs w:val="23"/>
          <w:shd w:fill="f8f8f8" w:val="clear"/>
        </w:rPr>
      </w:pPr>
      <w:r w:rsidDel="00000000" w:rsidR="00000000" w:rsidRPr="00000000">
        <w:rPr>
          <w:color w:val="1d1c1d"/>
          <w:sz w:val="23"/>
          <w:szCs w:val="23"/>
          <w:shd w:fill="f8f8f8" w:val="clear"/>
          <w:rtl w:val="0"/>
        </w:rPr>
        <w:t xml:space="preserve">-Some package implements functionality to enhance signal integrity or to control impedance at IO level ( PLL &amp; Clk specifically target in M.Taylor’s BGA ), so pinout has to be brainstormed according to the package choice before tapeout.</w:t>
      </w:r>
    </w:p>
    <w:p w:rsidR="00000000" w:rsidDel="00000000" w:rsidP="00000000" w:rsidRDefault="00000000" w:rsidRPr="00000000" w14:paraId="00000007">
      <w:pPr>
        <w:pageBreakBefore w:val="0"/>
        <w:rPr>
          <w:color w:val="1d1c1d"/>
          <w:sz w:val="23"/>
          <w:szCs w:val="23"/>
          <w:shd w:fill="f8f8f8" w:val="clear"/>
        </w:rPr>
      </w:pPr>
      <w:r w:rsidDel="00000000" w:rsidR="00000000" w:rsidRPr="00000000">
        <w:rPr>
          <w:color w:val="1d1c1d"/>
          <w:sz w:val="23"/>
          <w:szCs w:val="23"/>
          <w:shd w:fill="f8f8f8" w:val="clear"/>
          <w:rtl w:val="0"/>
        </w:rPr>
        <w:t xml:space="preserve">-IO wires should measure up to 5mm. [</w:t>
      </w:r>
      <w:hyperlink r:id="rId6">
        <w:r w:rsidDel="00000000" w:rsidR="00000000" w:rsidRPr="00000000">
          <w:rPr>
            <w:color w:val="1155cc"/>
            <w:sz w:val="23"/>
            <w:szCs w:val="23"/>
            <w:u w:val="single"/>
            <w:shd w:fill="f8f8f8" w:val="clear"/>
            <w:rtl w:val="0"/>
          </w:rPr>
          <w:t xml:space="preserve">source</w:t>
        </w:r>
      </w:hyperlink>
      <w:r w:rsidDel="00000000" w:rsidR="00000000" w:rsidRPr="00000000">
        <w:rPr>
          <w:color w:val="1d1c1d"/>
          <w:sz w:val="23"/>
          <w:szCs w:val="23"/>
          <w:shd w:fill="f8f8f8" w:val="clear"/>
          <w:rtl w:val="0"/>
        </w:rPr>
        <w:t xml:space="preserve">]</w:t>
      </w:r>
    </w:p>
    <w:p w:rsidR="00000000" w:rsidDel="00000000" w:rsidP="00000000" w:rsidRDefault="00000000" w:rsidRPr="00000000" w14:paraId="00000008">
      <w:pPr>
        <w:pageBreakBefore w:val="0"/>
        <w:rPr>
          <w:color w:val="1d1c1d"/>
          <w:sz w:val="23"/>
          <w:szCs w:val="23"/>
          <w:shd w:fill="f8f8f8" w:val="clear"/>
        </w:rPr>
      </w:pPr>
      <w:r w:rsidDel="00000000" w:rsidR="00000000" w:rsidRPr="00000000">
        <w:rPr>
          <w:color w:val="1d1c1d"/>
          <w:sz w:val="23"/>
          <w:szCs w:val="23"/>
          <w:shd w:fill="f8f8f8" w:val="clear"/>
          <w:rtl w:val="0"/>
        </w:rPr>
        <w:t xml:space="preserve">-Other wires should measure up to X value according to their diameter ( guidelines find in design document provided by wirebonding company, there is an example under the “for integra” Folder</w:t>
      </w:r>
    </w:p>
    <w:p w:rsidR="00000000" w:rsidDel="00000000" w:rsidP="00000000" w:rsidRDefault="00000000" w:rsidRPr="00000000" w14:paraId="00000009">
      <w:pPr>
        <w:pageBreakBefore w:val="0"/>
        <w:rPr>
          <w:color w:val="1d1c1d"/>
          <w:sz w:val="23"/>
          <w:szCs w:val="23"/>
          <w:shd w:fill="f8f8f8" w:val="clear"/>
        </w:rPr>
      </w:pPr>
      <w:r w:rsidDel="00000000" w:rsidR="00000000" w:rsidRPr="00000000">
        <w:rPr>
          <w:color w:val="1d1c1d"/>
          <w:sz w:val="23"/>
          <w:szCs w:val="23"/>
          <w:shd w:fill="f8f8f8" w:val="clear"/>
          <w:rtl w:val="0"/>
        </w:rPr>
        <w:t xml:space="preserve">-For next chip, if we use the same BGA package, it would be great to either enlarge the chip or use bigger cells to avoid taking a risk with too large gold wire compared to our BPO.</w:t>
      </w:r>
    </w:p>
    <w:p w:rsidR="00000000" w:rsidDel="00000000" w:rsidP="00000000" w:rsidRDefault="00000000" w:rsidRPr="00000000" w14:paraId="0000000A">
      <w:pPr>
        <w:pageBreakBefore w:val="0"/>
        <w:rPr>
          <w:color w:val="1d1c1d"/>
          <w:sz w:val="23"/>
          <w:szCs w:val="23"/>
          <w:shd w:fill="f8f8f8" w:val="clear"/>
        </w:rPr>
      </w:pPr>
      <w:r w:rsidDel="00000000" w:rsidR="00000000" w:rsidRPr="00000000">
        <w:rPr>
          <w:color w:val="1d1c1d"/>
          <w:sz w:val="23"/>
          <w:szCs w:val="23"/>
          <w:shd w:fill="f8f8f8" w:val="clear"/>
          <w:rtl w:val="0"/>
        </w:rPr>
        <w:t xml:space="preserve">We can also ask for help regarding pin assignment, as it’s specified on M.Taylor website ( or just literally copy their pin assignment ).</w:t>
      </w:r>
    </w:p>
    <w:p w:rsidR="00000000" w:rsidDel="00000000" w:rsidP="00000000" w:rsidRDefault="00000000" w:rsidRPr="00000000" w14:paraId="0000000B">
      <w:pPr>
        <w:pageBreakBefore w:val="0"/>
        <w:rPr>
          <w:color w:val="1d1c1d"/>
          <w:sz w:val="23"/>
          <w:szCs w:val="23"/>
          <w:shd w:fill="f8f8f8" w:val="clear"/>
        </w:rPr>
      </w:pPr>
      <w:r w:rsidDel="00000000" w:rsidR="00000000" w:rsidRPr="00000000">
        <w:rPr>
          <w:rtl w:val="0"/>
        </w:rPr>
      </w:r>
    </w:p>
    <w:p w:rsidR="00000000" w:rsidDel="00000000" w:rsidP="00000000" w:rsidRDefault="00000000" w:rsidRPr="00000000" w14:paraId="0000000C">
      <w:pPr>
        <w:pageBreakBefore w:val="0"/>
        <w:rPr>
          <w:color w:val="1d1c1d"/>
          <w:sz w:val="23"/>
          <w:szCs w:val="23"/>
          <w:shd w:fill="f8f8f8" w:val="clear"/>
        </w:rPr>
      </w:pPr>
      <w:r w:rsidDel="00000000" w:rsidR="00000000" w:rsidRPr="00000000">
        <w:rPr>
          <w:rtl w:val="0"/>
        </w:rPr>
      </w:r>
    </w:p>
    <w:p w:rsidR="00000000" w:rsidDel="00000000" w:rsidP="00000000" w:rsidRDefault="00000000" w:rsidRPr="00000000" w14:paraId="0000000D">
      <w:pPr>
        <w:pageBreakBefore w:val="0"/>
        <w:rPr>
          <w:b w:val="1"/>
          <w:color w:val="1d1c1d"/>
          <w:sz w:val="23"/>
          <w:szCs w:val="23"/>
          <w:u w:val="single"/>
          <w:shd w:fill="f8f8f8" w:val="clear"/>
        </w:rPr>
      </w:pPr>
      <w:r w:rsidDel="00000000" w:rsidR="00000000" w:rsidRPr="00000000">
        <w:rPr>
          <w:b w:val="1"/>
          <w:color w:val="1d1c1d"/>
          <w:sz w:val="23"/>
          <w:szCs w:val="23"/>
          <w:u w:val="single"/>
          <w:shd w:fill="f8f8f8" w:val="clear"/>
          <w:rtl w:val="0"/>
        </w:rPr>
        <w:t xml:space="preserve">Glossary:</w:t>
      </w:r>
    </w:p>
    <w:p w:rsidR="00000000" w:rsidDel="00000000" w:rsidP="00000000" w:rsidRDefault="00000000" w:rsidRPr="00000000" w14:paraId="0000000E">
      <w:pPr>
        <w:pageBreakBefore w:val="0"/>
        <w:rPr>
          <w:color w:val="1d1c1d"/>
          <w:sz w:val="23"/>
          <w:szCs w:val="23"/>
          <w:shd w:fill="f8f8f8" w:val="clear"/>
        </w:rPr>
      </w:pPr>
      <w:r w:rsidDel="00000000" w:rsidR="00000000" w:rsidRPr="00000000">
        <w:rPr>
          <w:rtl w:val="0"/>
        </w:rPr>
      </w:r>
    </w:p>
    <w:p w:rsidR="00000000" w:rsidDel="00000000" w:rsidP="00000000" w:rsidRDefault="00000000" w:rsidRPr="00000000" w14:paraId="0000000F">
      <w:pPr>
        <w:pageBreakBefore w:val="0"/>
        <w:rPr>
          <w:color w:val="1d1c1d"/>
          <w:sz w:val="23"/>
          <w:szCs w:val="23"/>
          <w:shd w:fill="f8f8f8" w:val="clear"/>
        </w:rPr>
      </w:pPr>
      <w:r w:rsidDel="00000000" w:rsidR="00000000" w:rsidRPr="00000000">
        <w:rPr>
          <w:color w:val="1d1c1d"/>
          <w:sz w:val="23"/>
          <w:szCs w:val="23"/>
          <w:shd w:fill="f8f8f8" w:val="clear"/>
          <w:rtl w:val="0"/>
        </w:rPr>
        <w:t xml:space="preserve">-Passivation : Chip layer that provides electrical stability, information to be found in the foundry guideline document.</w:t>
      </w:r>
    </w:p>
    <w:p w:rsidR="00000000" w:rsidDel="00000000" w:rsidP="00000000" w:rsidRDefault="00000000" w:rsidRPr="00000000" w14:paraId="00000010">
      <w:pPr>
        <w:pageBreakBefore w:val="0"/>
        <w:rPr>
          <w:color w:val="1d1c1d"/>
          <w:sz w:val="23"/>
          <w:szCs w:val="23"/>
          <w:shd w:fill="f8f8f8" w:val="clear"/>
        </w:rPr>
      </w:pPr>
      <w:r w:rsidDel="00000000" w:rsidR="00000000" w:rsidRPr="00000000">
        <w:rPr>
          <w:color w:val="1d1c1d"/>
          <w:sz w:val="23"/>
          <w:szCs w:val="23"/>
          <w:shd w:fill="f8f8f8" w:val="clear"/>
          <w:rtl w:val="0"/>
        </w:rPr>
        <w:t xml:space="preserve">-Die Thickness : Specific to the foundry technology, standard.</w:t>
      </w:r>
    </w:p>
    <w:p w:rsidR="00000000" w:rsidDel="00000000" w:rsidP="00000000" w:rsidRDefault="00000000" w:rsidRPr="00000000" w14:paraId="00000011">
      <w:pPr>
        <w:pageBreakBefore w:val="0"/>
        <w:rPr>
          <w:color w:val="1d1c1d"/>
          <w:sz w:val="23"/>
          <w:szCs w:val="23"/>
          <w:shd w:fill="f8f8f8" w:val="clear"/>
        </w:rPr>
      </w:pPr>
      <w:r w:rsidDel="00000000" w:rsidR="00000000" w:rsidRPr="00000000">
        <w:rPr>
          <w:color w:val="1d1c1d"/>
          <w:sz w:val="23"/>
          <w:szCs w:val="23"/>
          <w:shd w:fill="f8f8f8" w:val="clear"/>
          <w:rtl w:val="0"/>
        </w:rPr>
        <w:t xml:space="preserve">-Die attach : Material to attach the die to the package, wirebond house typically use Epoxy Conductive.</w:t>
      </w:r>
    </w:p>
    <w:p w:rsidR="00000000" w:rsidDel="00000000" w:rsidP="00000000" w:rsidRDefault="00000000" w:rsidRPr="00000000" w14:paraId="00000012">
      <w:pPr>
        <w:pageBreakBefore w:val="0"/>
        <w:rPr>
          <w:color w:val="1d1c1d"/>
          <w:sz w:val="23"/>
          <w:szCs w:val="23"/>
          <w:shd w:fill="f8f8f8" w:val="clear"/>
        </w:rPr>
      </w:pPr>
      <w:r w:rsidDel="00000000" w:rsidR="00000000" w:rsidRPr="00000000">
        <w:rPr>
          <w:color w:val="1d1c1d"/>
          <w:sz w:val="23"/>
          <w:szCs w:val="23"/>
          <w:shd w:fill="f8f8f8" w:val="clear"/>
          <w:rtl w:val="0"/>
        </w:rPr>
        <w:t xml:space="preserve">-Wirebond material: Gold is the most suitable material for most applications, use aluminum if the top pad surface is low cost and will not support 120°C+ bonding process.</w:t>
      </w:r>
    </w:p>
    <w:p w:rsidR="00000000" w:rsidDel="00000000" w:rsidP="00000000" w:rsidRDefault="00000000" w:rsidRPr="00000000" w14:paraId="00000013">
      <w:pPr>
        <w:pageBreakBefore w:val="0"/>
        <w:rPr>
          <w:color w:val="1d1c1d"/>
          <w:sz w:val="23"/>
          <w:szCs w:val="23"/>
          <w:shd w:fill="f8f8f8" w:val="clear"/>
        </w:rPr>
      </w:pPr>
      <w:r w:rsidDel="00000000" w:rsidR="00000000" w:rsidRPr="00000000">
        <w:rPr>
          <w:color w:val="1d1c1d"/>
          <w:sz w:val="23"/>
          <w:szCs w:val="23"/>
          <w:shd w:fill="f8f8f8" w:val="clear"/>
          <w:rtl w:val="0"/>
        </w:rPr>
        <w:t xml:space="preserve">-Bond Pad Pitch (BPP) &amp; Bond Pad Opening (BPO):</w:t>
      </w:r>
    </w:p>
    <w:p w:rsidR="00000000" w:rsidDel="00000000" w:rsidP="00000000" w:rsidRDefault="00000000" w:rsidRPr="00000000" w14:paraId="00000014">
      <w:pPr>
        <w:pageBreakBefore w:val="0"/>
        <w:rPr>
          <w:color w:val="1d1c1d"/>
          <w:sz w:val="23"/>
          <w:szCs w:val="23"/>
          <w:shd w:fill="f8f8f8" w:val="clear"/>
        </w:rPr>
      </w:pPr>
      <w:r w:rsidDel="00000000" w:rsidR="00000000" w:rsidRPr="00000000">
        <w:rPr>
          <w:color w:val="1d1c1d"/>
          <w:sz w:val="23"/>
          <w:szCs w:val="23"/>
          <w:shd w:fill="f8f8f8" w:val="clear"/>
        </w:rPr>
        <w:drawing>
          <wp:inline distB="114300" distT="114300" distL="114300" distR="114300">
            <wp:extent cx="1619250" cy="121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92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color w:val="1d1c1d"/>
          <w:sz w:val="23"/>
          <w:szCs w:val="23"/>
          <w:shd w:fill="f8f8f8" w:val="clear"/>
        </w:rPr>
      </w:pPr>
      <w:r w:rsidDel="00000000" w:rsidR="00000000" w:rsidRPr="00000000">
        <w:rPr>
          <w:color w:val="1d1c1d"/>
          <w:sz w:val="23"/>
          <w:szCs w:val="23"/>
          <w:shd w:fill="f8f8f8" w:val="clear"/>
          <w:rtl w:val="0"/>
        </w:rPr>
        <w:t xml:space="preserve">-Encapsulation: Package sealing method. Taping allows for easy access to the chip pad, epoxy is what bonding houses typically use.</w:t>
      </w:r>
    </w:p>
    <w:p w:rsidR="00000000" w:rsidDel="00000000" w:rsidP="00000000" w:rsidRDefault="00000000" w:rsidRPr="00000000" w14:paraId="00000016">
      <w:pPr>
        <w:pageBreakBefore w:val="0"/>
        <w:rPr>
          <w:color w:val="333333"/>
          <w:sz w:val="21"/>
          <w:szCs w:val="21"/>
          <w:highlight w:val="white"/>
        </w:rPr>
      </w:pPr>
      <w:r w:rsidDel="00000000" w:rsidR="00000000" w:rsidRPr="00000000">
        <w:rPr>
          <w:color w:val="1d1c1d"/>
          <w:sz w:val="23"/>
          <w:szCs w:val="23"/>
          <w:shd w:fill="f8f8f8" w:val="clear"/>
          <w:rtl w:val="0"/>
        </w:rPr>
        <w:t xml:space="preserve">-</w:t>
      </w:r>
      <w:r w:rsidDel="00000000" w:rsidR="00000000" w:rsidRPr="00000000">
        <w:rPr>
          <w:color w:val="333333"/>
          <w:sz w:val="21"/>
          <w:szCs w:val="21"/>
          <w:highlight w:val="white"/>
          <w:rtl w:val="0"/>
        </w:rPr>
        <w:t xml:space="preserve"> Dam and fill is a method of fully encapsulating wire bonded die. It’s a two-part process, wherein a dam is dispensed first around the periphery of the top of the component, followed by filling the center. This encapsulation approach allows to apply pressure on the package, as the resin once solid is solid enough to support the socket.</w:t>
      </w:r>
    </w:p>
    <w:p w:rsidR="00000000" w:rsidDel="00000000" w:rsidP="00000000" w:rsidRDefault="00000000" w:rsidRPr="00000000" w14:paraId="00000017">
      <w:pPr>
        <w:pageBreakBefore w:val="0"/>
        <w:rPr>
          <w:color w:val="333333"/>
          <w:sz w:val="21"/>
          <w:szCs w:val="21"/>
          <w:highlight w:val="white"/>
        </w:rPr>
      </w:pPr>
      <w:r w:rsidDel="00000000" w:rsidR="00000000" w:rsidRPr="00000000">
        <w:rPr>
          <w:color w:val="333333"/>
          <w:sz w:val="21"/>
          <w:szCs w:val="21"/>
          <w:highlight w:val="white"/>
          <w:rtl w:val="0"/>
        </w:rPr>
        <w:t xml:space="preserve">- Taped lids on rings : A lid is taped on a ring/spacer, this encapsulation is useful to check that the wire bonding company did the right job, &amp; to do some photography.</w:t>
      </w:r>
    </w:p>
    <w:p w:rsidR="00000000" w:rsidDel="00000000" w:rsidP="00000000" w:rsidRDefault="00000000" w:rsidRPr="00000000" w14:paraId="00000018">
      <w:pPr>
        <w:pageBreakBefore w:val="0"/>
        <w:rPr>
          <w:color w:val="1d1c1d"/>
          <w:sz w:val="23"/>
          <w:szCs w:val="23"/>
          <w:shd w:fill="f8f8f8" w:val="clear"/>
        </w:rPr>
      </w:pPr>
      <w:r w:rsidDel="00000000" w:rsidR="00000000" w:rsidRPr="00000000">
        <w:rPr>
          <w:rtl w:val="0"/>
        </w:rPr>
      </w:r>
    </w:p>
    <w:p w:rsidR="00000000" w:rsidDel="00000000" w:rsidP="00000000" w:rsidRDefault="00000000" w:rsidRPr="00000000" w14:paraId="00000019">
      <w:pPr>
        <w:pageBreakBefore w:val="0"/>
        <w:rPr>
          <w:b w:val="1"/>
          <w:color w:val="1d1c1d"/>
          <w:sz w:val="23"/>
          <w:szCs w:val="23"/>
          <w:u w:val="single"/>
          <w:shd w:fill="f8f8f8" w:val="clear"/>
        </w:rPr>
      </w:pPr>
      <w:r w:rsidDel="00000000" w:rsidR="00000000" w:rsidRPr="00000000">
        <w:rPr>
          <w:b w:val="1"/>
          <w:color w:val="1d1c1d"/>
          <w:sz w:val="23"/>
          <w:szCs w:val="23"/>
          <w:u w:val="single"/>
          <w:shd w:fill="f8f8f8" w:val="clear"/>
          <w:rtl w:val="0"/>
        </w:rPr>
        <w:t xml:space="preserve">BGA specific :</w:t>
      </w:r>
    </w:p>
    <w:p w:rsidR="00000000" w:rsidDel="00000000" w:rsidP="00000000" w:rsidRDefault="00000000" w:rsidRPr="00000000" w14:paraId="0000001A">
      <w:pPr>
        <w:pageBreakBefore w:val="0"/>
        <w:rPr>
          <w:color w:val="1d1c1d"/>
          <w:sz w:val="23"/>
          <w:szCs w:val="23"/>
          <w:shd w:fill="f8f8f8" w:val="clear"/>
        </w:rPr>
      </w:pPr>
      <w:r w:rsidDel="00000000" w:rsidR="00000000" w:rsidRPr="00000000">
        <w:rPr>
          <w:rtl w:val="0"/>
        </w:rPr>
      </w:r>
    </w:p>
    <w:p w:rsidR="00000000" w:rsidDel="00000000" w:rsidP="00000000" w:rsidRDefault="00000000" w:rsidRPr="00000000" w14:paraId="0000001B">
      <w:pPr>
        <w:pageBreakBefore w:val="0"/>
        <w:rPr>
          <w:color w:val="1d1c1d"/>
          <w:sz w:val="23"/>
          <w:szCs w:val="23"/>
          <w:shd w:fill="f8f8f8" w:val="clear"/>
        </w:rPr>
      </w:pPr>
      <w:r w:rsidDel="00000000" w:rsidR="00000000" w:rsidRPr="00000000">
        <w:rPr>
          <w:color w:val="1d1c1d"/>
          <w:sz w:val="23"/>
          <w:szCs w:val="23"/>
          <w:shd w:fill="f8f8f8" w:val="clear"/>
          <w:rtl w:val="0"/>
        </w:rPr>
        <w:t xml:space="preserve">-Substrate form : Package outline.</w:t>
      </w:r>
    </w:p>
    <w:p w:rsidR="00000000" w:rsidDel="00000000" w:rsidP="00000000" w:rsidRDefault="00000000" w:rsidRPr="00000000" w14:paraId="0000001C">
      <w:pPr>
        <w:pageBreakBefore w:val="0"/>
        <w:rPr>
          <w:color w:val="1d1c1d"/>
          <w:sz w:val="23"/>
          <w:szCs w:val="23"/>
          <w:shd w:fill="f8f8f8" w:val="clear"/>
        </w:rPr>
      </w:pPr>
      <w:r w:rsidDel="00000000" w:rsidR="00000000" w:rsidRPr="00000000">
        <w:rPr>
          <w:color w:val="1d1c1d"/>
          <w:sz w:val="23"/>
          <w:szCs w:val="23"/>
          <w:shd w:fill="f8f8f8" w:val="clear"/>
          <w:rtl w:val="0"/>
        </w:rPr>
        <w:t xml:space="preserve">-Substrate type / material : To be determined with the manufacturer. Typically FR-4, Rogers or BT.</w:t>
      </w:r>
    </w:p>
    <w:p w:rsidR="00000000" w:rsidDel="00000000" w:rsidP="00000000" w:rsidRDefault="00000000" w:rsidRPr="00000000" w14:paraId="0000001D">
      <w:pPr>
        <w:pageBreakBefore w:val="0"/>
        <w:rPr>
          <w:color w:val="1d1c1d"/>
          <w:sz w:val="23"/>
          <w:szCs w:val="23"/>
          <w:shd w:fill="f8f8f8" w:val="clear"/>
        </w:rPr>
      </w:pPr>
      <w:r w:rsidDel="00000000" w:rsidR="00000000" w:rsidRPr="00000000">
        <w:rPr>
          <w:color w:val="1d1c1d"/>
          <w:sz w:val="23"/>
          <w:szCs w:val="23"/>
          <w:shd w:fill="f8f8f8" w:val="clear"/>
          <w:rtl w:val="0"/>
        </w:rPr>
        <w:t xml:space="preserve">-Substrate stackup : Drawing of the layer stack-up with thickness / material used per layer expected.  </w:t>
      </w:r>
    </w:p>
    <w:p w:rsidR="00000000" w:rsidDel="00000000" w:rsidP="00000000" w:rsidRDefault="00000000" w:rsidRPr="00000000" w14:paraId="0000001E">
      <w:pPr>
        <w:pageBreakBefore w:val="0"/>
        <w:rPr>
          <w:color w:val="1d1c1d"/>
          <w:sz w:val="23"/>
          <w:szCs w:val="23"/>
          <w:shd w:fill="f8f8f8" w:val="clear"/>
        </w:rPr>
      </w:pPr>
      <w:r w:rsidDel="00000000" w:rsidR="00000000" w:rsidRPr="00000000">
        <w:rPr>
          <w:color w:val="1d1c1d"/>
          <w:sz w:val="23"/>
          <w:szCs w:val="23"/>
          <w:shd w:fill="f8f8f8" w:val="clear"/>
          <w:rtl w:val="0"/>
        </w:rPr>
        <w:t xml:space="preserve">-Ball attach, pad opening size :</w:t>
      </w:r>
    </w:p>
    <w:p w:rsidR="00000000" w:rsidDel="00000000" w:rsidP="00000000" w:rsidRDefault="00000000" w:rsidRPr="00000000" w14:paraId="0000001F">
      <w:pPr>
        <w:pageBreakBefore w:val="0"/>
        <w:rPr>
          <w:color w:val="1d1c1d"/>
          <w:sz w:val="23"/>
          <w:szCs w:val="23"/>
          <w:shd w:fill="f8f8f8" w:val="clear"/>
        </w:rPr>
      </w:pPr>
      <w:r w:rsidDel="00000000" w:rsidR="00000000" w:rsidRPr="00000000">
        <w:rPr>
          <w:color w:val="1d1c1d"/>
          <w:sz w:val="23"/>
          <w:szCs w:val="23"/>
          <w:shd w:fill="f8f8f8" w:val="clear"/>
        </w:rPr>
        <w:drawing>
          <wp:inline distB="114300" distT="114300" distL="114300" distR="114300">
            <wp:extent cx="2033588" cy="134348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33588" cy="134348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color w:val="1d1c1d"/>
          <w:sz w:val="23"/>
          <w:szCs w:val="23"/>
          <w:shd w:fill="f8f8f8" w:val="clear"/>
        </w:rPr>
      </w:pPr>
      <w:r w:rsidDel="00000000" w:rsidR="00000000" w:rsidRPr="00000000">
        <w:rPr>
          <w:color w:val="1d1c1d"/>
          <w:sz w:val="23"/>
          <w:szCs w:val="23"/>
          <w:shd w:fill="f8f8f8" w:val="clear"/>
          <w:rtl w:val="0"/>
        </w:rPr>
        <w:t xml:space="preserve">-Solder mask define : Bottom layer with design for an easy solder balling process. Not always the case.</w:t>
      </w:r>
    </w:p>
    <w:p w:rsidR="00000000" w:rsidDel="00000000" w:rsidP="00000000" w:rsidRDefault="00000000" w:rsidRPr="00000000" w14:paraId="00000021">
      <w:pPr>
        <w:pageBreakBefore w:val="0"/>
        <w:rPr>
          <w:color w:val="1d1c1d"/>
          <w:sz w:val="23"/>
          <w:szCs w:val="23"/>
          <w:shd w:fill="f8f8f8" w:val="clear"/>
        </w:rPr>
      </w:pPr>
      <w:r w:rsidDel="00000000" w:rsidR="00000000" w:rsidRPr="00000000">
        <w:rPr>
          <w:rtl w:val="0"/>
        </w:rPr>
      </w:r>
    </w:p>
    <w:p w:rsidR="00000000" w:rsidDel="00000000" w:rsidP="00000000" w:rsidRDefault="00000000" w:rsidRPr="00000000" w14:paraId="00000022">
      <w:pPr>
        <w:pageBreakBefore w:val="0"/>
        <w:rPr>
          <w:color w:val="1d1c1d"/>
          <w:sz w:val="23"/>
          <w:szCs w:val="23"/>
          <w:shd w:fill="f8f8f8" w:val="clear"/>
        </w:rPr>
      </w:pPr>
      <w:hyperlink r:id="rId9">
        <w:r w:rsidDel="00000000" w:rsidR="00000000" w:rsidRPr="00000000">
          <w:rPr>
            <w:color w:val="1155cc"/>
            <w:sz w:val="23"/>
            <w:szCs w:val="23"/>
            <w:u w:val="single"/>
            <w:shd w:fill="f8f8f8" w:val="clear"/>
            <w:rtl w:val="0"/>
          </w:rPr>
          <w:t xml:space="preserve">Example files to send to wirebond house from us.</w:t>
        </w:r>
      </w:hyperlink>
      <w:r w:rsidDel="00000000" w:rsidR="00000000" w:rsidRPr="00000000">
        <w:rPr>
          <w:rtl w:val="0"/>
        </w:rPr>
      </w:r>
    </w:p>
    <w:p w:rsidR="00000000" w:rsidDel="00000000" w:rsidP="00000000" w:rsidRDefault="00000000" w:rsidRPr="00000000" w14:paraId="00000023">
      <w:pPr>
        <w:pageBreakBefore w:val="0"/>
        <w:rPr>
          <w:color w:val="1d1c1d"/>
          <w:sz w:val="23"/>
          <w:szCs w:val="23"/>
          <w:shd w:fill="f8f8f8" w:val="clear"/>
        </w:rPr>
      </w:pPr>
      <w:hyperlink r:id="rId10">
        <w:r w:rsidDel="00000000" w:rsidR="00000000" w:rsidRPr="00000000">
          <w:rPr>
            <w:color w:val="1155cc"/>
            <w:sz w:val="23"/>
            <w:szCs w:val="23"/>
            <w:u w:val="single"/>
            <w:shd w:fill="f8f8f8" w:val="clear"/>
            <w:rtl w:val="0"/>
          </w:rPr>
          <w:t xml:space="preserve">Example files to send to wirebond house from M.taylor.</w:t>
        </w:r>
      </w:hyperlink>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itbucket.org/taylor-bsg/bsg_packaging/src/master/ucsd_bga_332/pinouts/bsg_two/common/to_assembly_house/example_files_for_assembly_house/" TargetMode="External"/><Relationship Id="rId9" Type="http://schemas.openxmlformats.org/officeDocument/2006/relationships/hyperlink" Target="https://drive.google.com/drive/u/0/folders/13VmuLknUgvIbsRPj9bHTYmwqb6FczScE" TargetMode="External"/><Relationship Id="rId5" Type="http://schemas.openxmlformats.org/officeDocument/2006/relationships/styles" Target="styles.xml"/><Relationship Id="rId6" Type="http://schemas.openxmlformats.org/officeDocument/2006/relationships/hyperlink" Target="http://extra.ivf.se/ngl/documents/ChapterA/ChapterA2.pdf"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