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B1B46" w14:textId="1CDECDEF" w:rsidR="00743418" w:rsidRPr="00BC57C6" w:rsidRDefault="008644F1" w:rsidP="00743418">
      <w:pPr>
        <w:spacing w:after="0"/>
        <w:jc w:val="center"/>
        <w:rPr>
          <w:rFonts w:ascii="Times New Roman" w:hAnsi="Times New Roman" w:cs="Times New Roman"/>
          <w:b/>
          <w:sz w:val="24"/>
          <w:szCs w:val="24"/>
        </w:rPr>
      </w:pPr>
      <w:r w:rsidRPr="008644F1">
        <w:rPr>
          <w:rFonts w:ascii="Times New Roman" w:hAnsi="Times New Roman" w:cs="Times New Roman"/>
          <w:b/>
          <w:sz w:val="24"/>
          <w:szCs w:val="24"/>
        </w:rPr>
        <w:t>Medicare Part B Spending by Drug</w:t>
      </w:r>
      <w:r>
        <w:rPr>
          <w:rFonts w:ascii="Times New Roman" w:hAnsi="Times New Roman" w:cs="Times New Roman"/>
          <w:sz w:val="24"/>
          <w:szCs w:val="24"/>
        </w:rPr>
        <w:t xml:space="preserve"> </w:t>
      </w:r>
      <w:r w:rsidR="00743418" w:rsidRPr="00BC57C6">
        <w:rPr>
          <w:rFonts w:ascii="Times New Roman" w:hAnsi="Times New Roman" w:cs="Times New Roman"/>
          <w:b/>
          <w:sz w:val="24"/>
          <w:szCs w:val="24"/>
        </w:rPr>
        <w:t>Methodology</w:t>
      </w:r>
    </w:p>
    <w:p w14:paraId="53322A2A" w14:textId="72424612" w:rsidR="00743418" w:rsidRPr="00BC57C6" w:rsidRDefault="00653EF2" w:rsidP="00743418">
      <w:pPr>
        <w:pBdr>
          <w:bottom w:val="single" w:sz="4" w:space="1" w:color="auto"/>
        </w:pBdr>
        <w:spacing w:after="0"/>
        <w:jc w:val="center"/>
        <w:rPr>
          <w:rFonts w:ascii="Times New Roman" w:hAnsi="Times New Roman" w:cs="Times New Roman"/>
          <w:sz w:val="24"/>
          <w:szCs w:val="24"/>
        </w:rPr>
      </w:pPr>
      <w:r>
        <w:rPr>
          <w:rFonts w:ascii="Times New Roman" w:hAnsi="Times New Roman" w:cs="Times New Roman"/>
          <w:sz w:val="24"/>
          <w:szCs w:val="24"/>
        </w:rPr>
        <w:t>Dec</w:t>
      </w:r>
      <w:r w:rsidR="00797EB8">
        <w:rPr>
          <w:rFonts w:ascii="Times New Roman" w:hAnsi="Times New Roman" w:cs="Times New Roman"/>
          <w:sz w:val="24"/>
          <w:szCs w:val="24"/>
        </w:rPr>
        <w:t xml:space="preserve">ember </w:t>
      </w:r>
      <w:r w:rsidR="00CF4EFA">
        <w:rPr>
          <w:rFonts w:ascii="Times New Roman" w:hAnsi="Times New Roman" w:cs="Times New Roman"/>
          <w:sz w:val="24"/>
          <w:szCs w:val="24"/>
        </w:rPr>
        <w:t>20</w:t>
      </w:r>
      <w:r>
        <w:rPr>
          <w:rFonts w:ascii="Times New Roman" w:hAnsi="Times New Roman" w:cs="Times New Roman"/>
          <w:sz w:val="24"/>
          <w:szCs w:val="24"/>
        </w:rPr>
        <w:t>20</w:t>
      </w:r>
    </w:p>
    <w:p w14:paraId="54254AE8" w14:textId="3C13F3E3" w:rsidR="00ED3602" w:rsidRPr="00BC57C6" w:rsidRDefault="00ED3602" w:rsidP="00743418">
      <w:pPr>
        <w:spacing w:before="240"/>
        <w:rPr>
          <w:rFonts w:ascii="Times New Roman" w:hAnsi="Times New Roman" w:cs="Times New Roman"/>
          <w:b/>
          <w:sz w:val="24"/>
          <w:szCs w:val="24"/>
        </w:rPr>
      </w:pPr>
      <w:r w:rsidRPr="00BC57C6">
        <w:rPr>
          <w:rFonts w:ascii="Times New Roman" w:hAnsi="Times New Roman" w:cs="Times New Roman"/>
          <w:b/>
          <w:sz w:val="24"/>
          <w:szCs w:val="24"/>
        </w:rPr>
        <w:t>Background</w:t>
      </w:r>
    </w:p>
    <w:p w14:paraId="5FB7D333" w14:textId="39C49732" w:rsidR="00275299" w:rsidRPr="00BC57C6" w:rsidRDefault="00453C59" w:rsidP="00275299">
      <w:pPr>
        <w:rPr>
          <w:rFonts w:ascii="Times New Roman" w:hAnsi="Times New Roman" w:cs="Times New Roman"/>
          <w:sz w:val="24"/>
          <w:szCs w:val="24"/>
        </w:rPr>
      </w:pPr>
      <w:r w:rsidRPr="00453C59">
        <w:rPr>
          <w:rFonts w:ascii="Times New Roman" w:hAnsi="Times New Roman" w:cs="Times New Roman"/>
          <w:sz w:val="24"/>
          <w:szCs w:val="24"/>
        </w:rPr>
        <w:t xml:space="preserve">The </w:t>
      </w:r>
      <w:r w:rsidR="008644F1">
        <w:rPr>
          <w:rFonts w:ascii="Times New Roman" w:hAnsi="Times New Roman" w:cs="Times New Roman"/>
          <w:sz w:val="24"/>
          <w:szCs w:val="24"/>
        </w:rPr>
        <w:t xml:space="preserve">Medicare Part B Spending by Drug dataset </w:t>
      </w:r>
      <w:r w:rsidRPr="00453C59">
        <w:rPr>
          <w:rFonts w:ascii="Times New Roman" w:hAnsi="Times New Roman" w:cs="Times New Roman"/>
          <w:sz w:val="24"/>
          <w:szCs w:val="24"/>
        </w:rPr>
        <w:t xml:space="preserve">presents spending </w:t>
      </w:r>
      <w:r w:rsidR="00044877">
        <w:rPr>
          <w:rFonts w:ascii="Times New Roman" w:hAnsi="Times New Roman" w:cs="Times New Roman"/>
          <w:sz w:val="24"/>
          <w:szCs w:val="24"/>
        </w:rPr>
        <w:t xml:space="preserve">information </w:t>
      </w:r>
      <w:r w:rsidR="00FF4B8A">
        <w:rPr>
          <w:rFonts w:ascii="Times New Roman" w:hAnsi="Times New Roman" w:cs="Times New Roman"/>
          <w:sz w:val="24"/>
          <w:szCs w:val="24"/>
        </w:rPr>
        <w:t xml:space="preserve">for </w:t>
      </w:r>
      <w:r w:rsidRPr="00453C59">
        <w:rPr>
          <w:rFonts w:ascii="Times New Roman" w:hAnsi="Times New Roman" w:cs="Times New Roman"/>
          <w:sz w:val="24"/>
          <w:szCs w:val="24"/>
        </w:rPr>
        <w:t>Medicare Part B drugs</w:t>
      </w:r>
      <w:r w:rsidR="00904EBE">
        <w:rPr>
          <w:rFonts w:ascii="Times New Roman" w:hAnsi="Times New Roman" w:cs="Times New Roman"/>
          <w:sz w:val="24"/>
          <w:szCs w:val="24"/>
        </w:rPr>
        <w:t xml:space="preserve"> </w:t>
      </w:r>
      <w:r w:rsidR="00A26A00">
        <w:rPr>
          <w:rFonts w:ascii="Times New Roman" w:hAnsi="Times New Roman" w:cs="Times New Roman"/>
          <w:sz w:val="24"/>
          <w:szCs w:val="24"/>
        </w:rPr>
        <w:t>–</w:t>
      </w:r>
      <w:r w:rsidR="00904EBE">
        <w:rPr>
          <w:rFonts w:ascii="Times New Roman" w:hAnsi="Times New Roman" w:cs="Times New Roman"/>
          <w:sz w:val="24"/>
          <w:szCs w:val="24"/>
        </w:rPr>
        <w:t xml:space="preserve"> </w:t>
      </w:r>
      <w:r w:rsidRPr="00453C59">
        <w:rPr>
          <w:rFonts w:ascii="Times New Roman" w:hAnsi="Times New Roman" w:cs="Times New Roman"/>
          <w:sz w:val="24"/>
          <w:szCs w:val="24"/>
        </w:rPr>
        <w:t>drugs administered in doctors’ offices</w:t>
      </w:r>
      <w:r w:rsidR="00FF4B8A">
        <w:rPr>
          <w:rFonts w:ascii="Times New Roman" w:hAnsi="Times New Roman" w:cs="Times New Roman"/>
          <w:sz w:val="24"/>
          <w:szCs w:val="24"/>
        </w:rPr>
        <w:t xml:space="preserve"> and other outpatient settings and paid through the </w:t>
      </w:r>
      <w:r w:rsidR="00904EBE">
        <w:rPr>
          <w:rFonts w:ascii="Times New Roman" w:hAnsi="Times New Roman" w:cs="Times New Roman"/>
          <w:sz w:val="24"/>
          <w:szCs w:val="24"/>
        </w:rPr>
        <w:t xml:space="preserve">Medicare </w:t>
      </w:r>
      <w:r w:rsidR="00FF4B8A">
        <w:rPr>
          <w:rFonts w:ascii="Times New Roman" w:hAnsi="Times New Roman" w:cs="Times New Roman"/>
          <w:sz w:val="24"/>
          <w:szCs w:val="24"/>
        </w:rPr>
        <w:t>Part B program</w:t>
      </w:r>
      <w:r w:rsidR="00904EBE">
        <w:rPr>
          <w:rFonts w:ascii="Times New Roman" w:hAnsi="Times New Roman" w:cs="Times New Roman"/>
          <w:sz w:val="24"/>
          <w:szCs w:val="24"/>
        </w:rPr>
        <w:t>.</w:t>
      </w:r>
      <w:r w:rsidR="00FF4B8A">
        <w:rPr>
          <w:rFonts w:ascii="Times New Roman" w:hAnsi="Times New Roman" w:cs="Times New Roman"/>
          <w:sz w:val="24"/>
          <w:szCs w:val="24"/>
        </w:rPr>
        <w:t xml:space="preserve"> </w:t>
      </w:r>
      <w:r w:rsidR="00F26EFF" w:rsidRPr="00BC57C6">
        <w:rPr>
          <w:rFonts w:ascii="Times New Roman" w:hAnsi="Times New Roman" w:cs="Times New Roman"/>
          <w:sz w:val="24"/>
          <w:szCs w:val="24"/>
        </w:rPr>
        <w:t xml:space="preserve">Analyses of </w:t>
      </w:r>
      <w:r w:rsidR="008644F1" w:rsidRPr="00453C59">
        <w:rPr>
          <w:rFonts w:ascii="Times New Roman" w:hAnsi="Times New Roman" w:cs="Times New Roman"/>
          <w:sz w:val="24"/>
          <w:szCs w:val="24"/>
        </w:rPr>
        <w:t xml:space="preserve">Medicare Part B </w:t>
      </w:r>
      <w:r w:rsidR="00F26EFF" w:rsidRPr="00BC57C6">
        <w:rPr>
          <w:rFonts w:ascii="Times New Roman" w:hAnsi="Times New Roman" w:cs="Times New Roman"/>
          <w:sz w:val="24"/>
          <w:szCs w:val="24"/>
        </w:rPr>
        <w:t>drugs are possible for all Part B fee-for-service Medicare beneficiaries, but exclude any beneficiaries in the Medicare Advantage program (</w:t>
      </w:r>
      <w:r w:rsidR="00F85A2D" w:rsidRPr="00F85A2D">
        <w:rPr>
          <w:rFonts w:ascii="Times New Roman" w:hAnsi="Times New Roman" w:cs="Times New Roman"/>
          <w:sz w:val="24"/>
          <w:szCs w:val="24"/>
        </w:rPr>
        <w:t xml:space="preserve">which represents </w:t>
      </w:r>
      <w:r w:rsidR="00346425" w:rsidRPr="00346425">
        <w:rPr>
          <w:rFonts w:ascii="Times New Roman" w:hAnsi="Times New Roman" w:cs="Times New Roman"/>
          <w:sz w:val="24"/>
          <w:szCs w:val="24"/>
        </w:rPr>
        <w:t xml:space="preserve">over </w:t>
      </w:r>
      <w:r w:rsidR="00F85A2D" w:rsidRPr="00346425">
        <w:rPr>
          <w:rFonts w:ascii="Times New Roman" w:hAnsi="Times New Roman" w:cs="Times New Roman"/>
          <w:sz w:val="24"/>
          <w:szCs w:val="24"/>
        </w:rPr>
        <w:t>3</w:t>
      </w:r>
      <w:r w:rsidR="00346425" w:rsidRPr="00346425">
        <w:rPr>
          <w:rFonts w:ascii="Times New Roman" w:hAnsi="Times New Roman" w:cs="Times New Roman"/>
          <w:sz w:val="24"/>
          <w:szCs w:val="24"/>
        </w:rPr>
        <w:t>5</w:t>
      </w:r>
      <w:r w:rsidR="00F85A2D" w:rsidRPr="00346425">
        <w:rPr>
          <w:rFonts w:ascii="Times New Roman" w:hAnsi="Times New Roman" w:cs="Times New Roman"/>
          <w:sz w:val="24"/>
          <w:szCs w:val="24"/>
        </w:rPr>
        <w:t>% of</w:t>
      </w:r>
      <w:r w:rsidR="00F85A2D" w:rsidRPr="00F85A2D">
        <w:rPr>
          <w:rFonts w:ascii="Times New Roman" w:hAnsi="Times New Roman" w:cs="Times New Roman"/>
          <w:sz w:val="24"/>
          <w:szCs w:val="24"/>
        </w:rPr>
        <w:t xml:space="preserve"> the Medicare population</w:t>
      </w:r>
      <w:r w:rsidR="00F26EFF" w:rsidRPr="00BC57C6">
        <w:rPr>
          <w:rFonts w:ascii="Times New Roman" w:hAnsi="Times New Roman" w:cs="Times New Roman"/>
          <w:sz w:val="24"/>
          <w:szCs w:val="24"/>
        </w:rPr>
        <w:t xml:space="preserve">). </w:t>
      </w:r>
      <w:r w:rsidR="00470AB2">
        <w:rPr>
          <w:rFonts w:ascii="Times New Roman" w:hAnsi="Times New Roman" w:cs="Times New Roman"/>
          <w:sz w:val="24"/>
          <w:szCs w:val="24"/>
        </w:rPr>
        <w:t xml:space="preserve">The </w:t>
      </w:r>
      <w:r w:rsidR="008644F1">
        <w:rPr>
          <w:rFonts w:ascii="Times New Roman" w:hAnsi="Times New Roman" w:cs="Times New Roman"/>
          <w:sz w:val="24"/>
          <w:szCs w:val="24"/>
        </w:rPr>
        <w:t>Medicare Part B Spending by Drug dataset</w:t>
      </w:r>
      <w:r w:rsidR="00470AB2">
        <w:rPr>
          <w:rFonts w:ascii="Times New Roman" w:hAnsi="Times New Roman" w:cs="Times New Roman"/>
          <w:sz w:val="24"/>
          <w:szCs w:val="24"/>
        </w:rPr>
        <w:t xml:space="preserve"> </w:t>
      </w:r>
      <w:r w:rsidR="00470AB2" w:rsidRPr="00470AB2">
        <w:rPr>
          <w:rFonts w:ascii="Times New Roman" w:hAnsi="Times New Roman" w:cs="Times New Roman"/>
          <w:sz w:val="24"/>
          <w:szCs w:val="24"/>
        </w:rPr>
        <w:t xml:space="preserve">focuses on average spending per </w:t>
      </w:r>
      <w:r w:rsidR="00252711">
        <w:rPr>
          <w:rFonts w:ascii="Times New Roman" w:hAnsi="Times New Roman" w:cs="Times New Roman"/>
          <w:sz w:val="24"/>
          <w:szCs w:val="24"/>
        </w:rPr>
        <w:t xml:space="preserve">dosage </w:t>
      </w:r>
      <w:r w:rsidR="00470AB2" w:rsidRPr="00470AB2">
        <w:rPr>
          <w:rFonts w:ascii="Times New Roman" w:hAnsi="Times New Roman" w:cs="Times New Roman"/>
          <w:sz w:val="24"/>
          <w:szCs w:val="24"/>
        </w:rPr>
        <w:t xml:space="preserve">unit and change in average spending per </w:t>
      </w:r>
      <w:r w:rsidR="00252711">
        <w:rPr>
          <w:rFonts w:ascii="Times New Roman" w:hAnsi="Times New Roman" w:cs="Times New Roman"/>
          <w:sz w:val="24"/>
          <w:szCs w:val="24"/>
        </w:rPr>
        <w:t xml:space="preserve">dosage </w:t>
      </w:r>
      <w:r w:rsidR="00470AB2" w:rsidRPr="00470AB2">
        <w:rPr>
          <w:rFonts w:ascii="Times New Roman" w:hAnsi="Times New Roman" w:cs="Times New Roman"/>
          <w:sz w:val="24"/>
          <w:szCs w:val="24"/>
        </w:rPr>
        <w:t xml:space="preserve">unit over time. </w:t>
      </w:r>
      <w:r w:rsidR="00FF4B8A">
        <w:rPr>
          <w:rFonts w:ascii="Times New Roman" w:hAnsi="Times New Roman" w:cs="Times New Roman"/>
          <w:sz w:val="24"/>
          <w:szCs w:val="24"/>
        </w:rPr>
        <w:t>The tool</w:t>
      </w:r>
      <w:r w:rsidR="00687501" w:rsidRPr="00BC57C6">
        <w:rPr>
          <w:rFonts w:ascii="Times New Roman" w:hAnsi="Times New Roman" w:cs="Times New Roman"/>
          <w:sz w:val="24"/>
          <w:szCs w:val="24"/>
        </w:rPr>
        <w:t xml:space="preserve"> also includes consumer-friendly </w:t>
      </w:r>
      <w:r w:rsidR="00904EBE">
        <w:rPr>
          <w:rFonts w:ascii="Times New Roman" w:hAnsi="Times New Roman" w:cs="Times New Roman"/>
          <w:sz w:val="24"/>
          <w:szCs w:val="24"/>
        </w:rPr>
        <w:t xml:space="preserve">descriptions of the drug uses, clinical indications, and manufacturer(s). </w:t>
      </w:r>
    </w:p>
    <w:p w14:paraId="1AAB3711" w14:textId="1A24AB08" w:rsidR="00271DBF" w:rsidRPr="00BC57C6" w:rsidRDefault="00D43209" w:rsidP="009A250E">
      <w:pPr>
        <w:rPr>
          <w:rFonts w:ascii="Times New Roman" w:hAnsi="Times New Roman" w:cs="Times New Roman"/>
          <w:sz w:val="24"/>
          <w:szCs w:val="24"/>
        </w:rPr>
      </w:pPr>
      <w:r w:rsidRPr="00BC57C6">
        <w:rPr>
          <w:rFonts w:ascii="Times New Roman" w:hAnsi="Times New Roman" w:cs="Times New Roman"/>
          <w:sz w:val="24"/>
          <w:szCs w:val="24"/>
        </w:rPr>
        <w:t xml:space="preserve">Medicare Part B claims (e.g. </w:t>
      </w:r>
      <w:r w:rsidR="003531DE">
        <w:rPr>
          <w:rFonts w:ascii="Times New Roman" w:hAnsi="Times New Roman" w:cs="Times New Roman"/>
          <w:sz w:val="24"/>
          <w:szCs w:val="24"/>
        </w:rPr>
        <w:t xml:space="preserve">claims from </w:t>
      </w:r>
      <w:r w:rsidRPr="00BC57C6">
        <w:rPr>
          <w:rFonts w:ascii="Times New Roman" w:hAnsi="Times New Roman" w:cs="Times New Roman"/>
          <w:sz w:val="24"/>
          <w:szCs w:val="24"/>
        </w:rPr>
        <w:t>physician</w:t>
      </w:r>
      <w:r w:rsidR="003531DE">
        <w:rPr>
          <w:rFonts w:ascii="Times New Roman" w:hAnsi="Times New Roman" w:cs="Times New Roman"/>
          <w:sz w:val="24"/>
          <w:szCs w:val="24"/>
        </w:rPr>
        <w:t xml:space="preserve">s, </w:t>
      </w:r>
      <w:r w:rsidRPr="00BC57C6">
        <w:rPr>
          <w:rFonts w:ascii="Times New Roman" w:hAnsi="Times New Roman" w:cs="Times New Roman"/>
          <w:sz w:val="24"/>
          <w:szCs w:val="24"/>
        </w:rPr>
        <w:t>durable medical equipment and other supplie</w:t>
      </w:r>
      <w:r w:rsidR="003531DE">
        <w:rPr>
          <w:rFonts w:ascii="Times New Roman" w:hAnsi="Times New Roman" w:cs="Times New Roman"/>
          <w:sz w:val="24"/>
          <w:szCs w:val="24"/>
        </w:rPr>
        <w:t>r</w:t>
      </w:r>
      <w:r w:rsidRPr="00BC57C6">
        <w:rPr>
          <w:rFonts w:ascii="Times New Roman" w:hAnsi="Times New Roman" w:cs="Times New Roman"/>
          <w:sz w:val="24"/>
          <w:szCs w:val="24"/>
        </w:rPr>
        <w:t>s,</w:t>
      </w:r>
      <w:r w:rsidR="003531DE">
        <w:rPr>
          <w:rFonts w:ascii="Times New Roman" w:hAnsi="Times New Roman" w:cs="Times New Roman"/>
          <w:sz w:val="24"/>
          <w:szCs w:val="24"/>
        </w:rPr>
        <w:t xml:space="preserve"> outpatient hospitals</w:t>
      </w:r>
      <w:r w:rsidR="00B5242A">
        <w:rPr>
          <w:rFonts w:ascii="Times New Roman" w:hAnsi="Times New Roman" w:cs="Times New Roman"/>
          <w:sz w:val="24"/>
          <w:szCs w:val="24"/>
        </w:rPr>
        <w:t>, etc.</w:t>
      </w:r>
      <w:r w:rsidRPr="00BC57C6">
        <w:rPr>
          <w:rFonts w:ascii="Times New Roman" w:hAnsi="Times New Roman" w:cs="Times New Roman"/>
          <w:sz w:val="24"/>
          <w:szCs w:val="24"/>
        </w:rPr>
        <w:t xml:space="preserve">) contain information on drugs administered and billed directly </w:t>
      </w:r>
      <w:r>
        <w:rPr>
          <w:rFonts w:ascii="Times New Roman" w:hAnsi="Times New Roman" w:cs="Times New Roman"/>
          <w:sz w:val="24"/>
          <w:szCs w:val="24"/>
        </w:rPr>
        <w:t xml:space="preserve">to Medicare </w:t>
      </w:r>
      <w:r w:rsidRPr="00BC57C6">
        <w:rPr>
          <w:rFonts w:ascii="Times New Roman" w:hAnsi="Times New Roman" w:cs="Times New Roman"/>
          <w:sz w:val="24"/>
          <w:szCs w:val="24"/>
        </w:rPr>
        <w:t xml:space="preserve">by providers. </w:t>
      </w:r>
      <w:r w:rsidR="009A250E" w:rsidRPr="00BC57C6">
        <w:rPr>
          <w:rFonts w:ascii="Times New Roman" w:hAnsi="Times New Roman" w:cs="Times New Roman"/>
          <w:sz w:val="24"/>
          <w:szCs w:val="24"/>
        </w:rPr>
        <w:t xml:space="preserve">Part B claims were summarized by Healthcare Common Procedure Coding System (HCPCS) codes and limited to HCPCS codes listed in in the publicly available Medicare Average Sales Price (ASP) quarterly files </w:t>
      </w:r>
      <w:r w:rsidR="003F3794">
        <w:rPr>
          <w:rFonts w:ascii="Times New Roman" w:hAnsi="Times New Roman" w:cs="Times New Roman"/>
          <w:sz w:val="24"/>
          <w:szCs w:val="24"/>
        </w:rPr>
        <w:t>for the most recent year</w:t>
      </w:r>
      <w:r w:rsidR="003F3794">
        <w:rPr>
          <w:rStyle w:val="FootnoteReference"/>
          <w:rFonts w:ascii="Times New Roman" w:hAnsi="Times New Roman" w:cs="Times New Roman"/>
          <w:sz w:val="24"/>
          <w:szCs w:val="24"/>
        </w:rPr>
        <w:footnoteReference w:id="2"/>
      </w:r>
      <w:r w:rsidR="003F3794">
        <w:rPr>
          <w:rFonts w:ascii="Times New Roman" w:hAnsi="Times New Roman" w:cs="Times New Roman"/>
          <w:sz w:val="24"/>
          <w:szCs w:val="24"/>
        </w:rPr>
        <w:t>.</w:t>
      </w:r>
      <w:r w:rsidR="003F3794" w:rsidRPr="00BC57C6" w:rsidDel="003F3794">
        <w:rPr>
          <w:rFonts w:ascii="Times New Roman" w:hAnsi="Times New Roman" w:cs="Times New Roman"/>
          <w:sz w:val="24"/>
          <w:szCs w:val="24"/>
        </w:rPr>
        <w:t xml:space="preserve"> </w:t>
      </w:r>
    </w:p>
    <w:p w14:paraId="64A6C9C4" w14:textId="158844BF" w:rsidR="00324C10" w:rsidRPr="00BC57C6" w:rsidRDefault="004D58D6" w:rsidP="00324C10">
      <w:pPr>
        <w:rPr>
          <w:rFonts w:ascii="Times New Roman" w:hAnsi="Times New Roman" w:cs="Times New Roman"/>
          <w:sz w:val="24"/>
          <w:szCs w:val="24"/>
        </w:rPr>
      </w:pPr>
      <w:r>
        <w:rPr>
          <w:rFonts w:ascii="Times New Roman" w:hAnsi="Times New Roman" w:cs="Times New Roman"/>
          <w:sz w:val="24"/>
          <w:szCs w:val="24"/>
        </w:rPr>
        <w:t xml:space="preserve">The following </w:t>
      </w:r>
      <w:r w:rsidR="00985025">
        <w:rPr>
          <w:rFonts w:ascii="Times New Roman" w:hAnsi="Times New Roman" w:cs="Times New Roman"/>
          <w:sz w:val="24"/>
          <w:szCs w:val="24"/>
        </w:rPr>
        <w:t xml:space="preserve">Medicare </w:t>
      </w:r>
      <w:r w:rsidR="00324C10" w:rsidRPr="00BC57C6">
        <w:rPr>
          <w:rFonts w:ascii="Times New Roman" w:hAnsi="Times New Roman" w:cs="Times New Roman"/>
          <w:sz w:val="24"/>
          <w:szCs w:val="24"/>
        </w:rPr>
        <w:t>Part B claims were excluded</w:t>
      </w:r>
      <w:r>
        <w:rPr>
          <w:rFonts w:ascii="Times New Roman" w:hAnsi="Times New Roman" w:cs="Times New Roman"/>
          <w:sz w:val="24"/>
          <w:szCs w:val="24"/>
        </w:rPr>
        <w:t>: claims</w:t>
      </w:r>
      <w:r w:rsidR="00324C10" w:rsidRPr="00BC57C6">
        <w:rPr>
          <w:rFonts w:ascii="Times New Roman" w:hAnsi="Times New Roman" w:cs="Times New Roman"/>
          <w:sz w:val="24"/>
          <w:szCs w:val="24"/>
        </w:rPr>
        <w:t xml:space="preserve"> billed using “Not Otherwise Classified” (NOC) codes (e.g. J3490, J3590, or J9999), claims where Medicare was not the primary payer</w:t>
      </w:r>
      <w:r w:rsidR="002C063D">
        <w:rPr>
          <w:rFonts w:ascii="Times New Roman" w:hAnsi="Times New Roman" w:cs="Times New Roman"/>
          <w:sz w:val="24"/>
          <w:szCs w:val="24"/>
        </w:rPr>
        <w:t xml:space="preserve">, </w:t>
      </w:r>
      <w:r w:rsidR="00324C10" w:rsidRPr="00BC57C6">
        <w:rPr>
          <w:rFonts w:ascii="Times New Roman" w:hAnsi="Times New Roman" w:cs="Times New Roman"/>
          <w:sz w:val="24"/>
          <w:szCs w:val="24"/>
        </w:rPr>
        <w:t xml:space="preserve">claims submitted by critical access hospitals (CAHs) and Maryland hospitals as well as claims with total spending amounts of zero associated with the drug, which is due to bundling in </w:t>
      </w:r>
      <w:r w:rsidR="00324C10" w:rsidRPr="00314FF3">
        <w:rPr>
          <w:rFonts w:ascii="Times New Roman" w:hAnsi="Times New Roman" w:cs="Times New Roman"/>
          <w:color w:val="000000" w:themeColor="text1"/>
          <w:sz w:val="24"/>
          <w:szCs w:val="24"/>
        </w:rPr>
        <w:t xml:space="preserve">Ambulatory Payment Classification groups. </w:t>
      </w:r>
      <w:r w:rsidR="00F81933" w:rsidRPr="00314FF3">
        <w:rPr>
          <w:rFonts w:ascii="Times New Roman" w:hAnsi="Times New Roman" w:cs="Times New Roman"/>
          <w:color w:val="000000" w:themeColor="text1"/>
          <w:sz w:val="24"/>
          <w:szCs w:val="24"/>
        </w:rPr>
        <w:t xml:space="preserve">Drugs with fewer than 11 Part B claims in </w:t>
      </w:r>
      <w:r w:rsidR="00B54B5B">
        <w:rPr>
          <w:rFonts w:ascii="Times New Roman" w:hAnsi="Times New Roman" w:cs="Times New Roman"/>
          <w:color w:val="000000" w:themeColor="text1"/>
          <w:sz w:val="24"/>
          <w:szCs w:val="24"/>
        </w:rPr>
        <w:t xml:space="preserve">the </w:t>
      </w:r>
      <w:r w:rsidR="00346425">
        <w:rPr>
          <w:rFonts w:ascii="Times New Roman" w:hAnsi="Times New Roman" w:cs="Times New Roman"/>
          <w:color w:val="000000" w:themeColor="text1"/>
          <w:sz w:val="24"/>
          <w:szCs w:val="24"/>
        </w:rPr>
        <w:t>most recent year</w:t>
      </w:r>
      <w:r w:rsidR="00F81933" w:rsidRPr="00314FF3">
        <w:rPr>
          <w:rFonts w:ascii="Times New Roman" w:hAnsi="Times New Roman" w:cs="Times New Roman"/>
          <w:color w:val="000000" w:themeColor="text1"/>
          <w:sz w:val="24"/>
          <w:szCs w:val="24"/>
        </w:rPr>
        <w:t xml:space="preserve"> were excluded entirely and since</w:t>
      </w:r>
      <w:r w:rsidR="002C063D" w:rsidRPr="00314FF3">
        <w:rPr>
          <w:rFonts w:ascii="Times New Roman" w:hAnsi="Times New Roman" w:cs="Times New Roman"/>
          <w:color w:val="000000" w:themeColor="text1"/>
          <w:sz w:val="24"/>
          <w:szCs w:val="24"/>
        </w:rPr>
        <w:t xml:space="preserve"> 5-year trend information is presented</w:t>
      </w:r>
      <w:r w:rsidR="00B54B5B">
        <w:rPr>
          <w:rFonts w:ascii="Times New Roman" w:hAnsi="Times New Roman" w:cs="Times New Roman"/>
          <w:color w:val="000000" w:themeColor="text1"/>
          <w:sz w:val="24"/>
          <w:szCs w:val="24"/>
        </w:rPr>
        <w:t>,</w:t>
      </w:r>
      <w:r w:rsidR="00F81933" w:rsidRPr="00314FF3">
        <w:rPr>
          <w:rFonts w:ascii="Times New Roman" w:hAnsi="Times New Roman" w:cs="Times New Roman"/>
          <w:color w:val="000000" w:themeColor="text1"/>
          <w:sz w:val="24"/>
          <w:szCs w:val="24"/>
        </w:rPr>
        <w:t xml:space="preserve"> </w:t>
      </w:r>
      <w:r w:rsidR="002C063D" w:rsidRPr="00314FF3">
        <w:rPr>
          <w:rFonts w:ascii="Times New Roman" w:hAnsi="Times New Roman" w:cs="Times New Roman"/>
          <w:color w:val="000000" w:themeColor="text1"/>
          <w:sz w:val="24"/>
          <w:szCs w:val="24"/>
        </w:rPr>
        <w:t xml:space="preserve">any drug information in years prior to </w:t>
      </w:r>
      <w:r w:rsidR="00346425">
        <w:rPr>
          <w:rFonts w:ascii="Times New Roman" w:hAnsi="Times New Roman" w:cs="Times New Roman"/>
          <w:color w:val="000000" w:themeColor="text1"/>
          <w:sz w:val="24"/>
          <w:szCs w:val="24"/>
        </w:rPr>
        <w:t>the most recent year</w:t>
      </w:r>
      <w:r w:rsidR="002C063D" w:rsidRPr="00314FF3">
        <w:rPr>
          <w:rFonts w:ascii="Times New Roman" w:hAnsi="Times New Roman" w:cs="Times New Roman"/>
          <w:color w:val="000000" w:themeColor="text1"/>
          <w:sz w:val="24"/>
          <w:szCs w:val="24"/>
        </w:rPr>
        <w:t xml:space="preserve"> with fewer than 11 claims </w:t>
      </w:r>
      <w:proofErr w:type="gramStart"/>
      <w:r w:rsidR="00314FF3" w:rsidRPr="00314FF3">
        <w:rPr>
          <w:rFonts w:ascii="Times New Roman" w:hAnsi="Times New Roman" w:cs="Times New Roman"/>
          <w:color w:val="000000" w:themeColor="text1"/>
          <w:sz w:val="24"/>
          <w:szCs w:val="24"/>
        </w:rPr>
        <w:t>ha</w:t>
      </w:r>
      <w:bookmarkStart w:id="0" w:name="_GoBack"/>
      <w:bookmarkEnd w:id="0"/>
      <w:r w:rsidR="00314FF3" w:rsidRPr="00314FF3">
        <w:rPr>
          <w:rFonts w:ascii="Times New Roman" w:hAnsi="Times New Roman" w:cs="Times New Roman"/>
          <w:color w:val="000000" w:themeColor="text1"/>
          <w:sz w:val="24"/>
          <w:szCs w:val="24"/>
        </w:rPr>
        <w:t>s</w:t>
      </w:r>
      <w:proofErr w:type="gramEnd"/>
      <w:r w:rsidR="002C063D" w:rsidRPr="00314FF3">
        <w:rPr>
          <w:rFonts w:ascii="Times New Roman" w:hAnsi="Times New Roman" w:cs="Times New Roman"/>
          <w:color w:val="000000" w:themeColor="text1"/>
          <w:sz w:val="24"/>
          <w:szCs w:val="24"/>
        </w:rPr>
        <w:t xml:space="preserve"> been redacted.</w:t>
      </w:r>
    </w:p>
    <w:p w14:paraId="595754EF" w14:textId="764C1DB4" w:rsidR="009A250E" w:rsidRPr="00BC57C6" w:rsidRDefault="00D125EF" w:rsidP="005A397D">
      <w:pPr>
        <w:rPr>
          <w:rFonts w:ascii="Times New Roman" w:hAnsi="Times New Roman" w:cs="Times New Roman"/>
          <w:sz w:val="24"/>
          <w:szCs w:val="24"/>
        </w:rPr>
      </w:pPr>
      <w:r w:rsidRPr="00BC57C6">
        <w:rPr>
          <w:rFonts w:ascii="Times New Roman" w:hAnsi="Times New Roman" w:cs="Times New Roman"/>
          <w:sz w:val="24"/>
          <w:szCs w:val="24"/>
        </w:rPr>
        <w:t xml:space="preserve">Claims data </w:t>
      </w:r>
      <w:r w:rsidR="009A250E" w:rsidRPr="00BC57C6">
        <w:rPr>
          <w:rFonts w:ascii="Times New Roman" w:hAnsi="Times New Roman" w:cs="Times New Roman"/>
          <w:sz w:val="24"/>
          <w:szCs w:val="24"/>
        </w:rPr>
        <w:t>were</w:t>
      </w:r>
      <w:r w:rsidRPr="00BC57C6">
        <w:rPr>
          <w:rFonts w:ascii="Times New Roman" w:hAnsi="Times New Roman" w:cs="Times New Roman"/>
          <w:sz w:val="24"/>
          <w:szCs w:val="24"/>
        </w:rPr>
        <w:t xml:space="preserve"> averaged across any applicable modifiers or place of service indicators a</w:t>
      </w:r>
      <w:r w:rsidR="009A250E" w:rsidRPr="00BC57C6">
        <w:rPr>
          <w:rFonts w:ascii="Times New Roman" w:hAnsi="Times New Roman" w:cs="Times New Roman"/>
          <w:sz w:val="24"/>
          <w:szCs w:val="24"/>
        </w:rPr>
        <w:t xml:space="preserve">ssociated with a single HCPCS. </w:t>
      </w:r>
      <w:r w:rsidR="00FF6291" w:rsidRPr="00BC57C6">
        <w:rPr>
          <w:rFonts w:ascii="Times New Roman" w:hAnsi="Times New Roman" w:cs="Times New Roman"/>
          <w:sz w:val="24"/>
          <w:szCs w:val="24"/>
        </w:rPr>
        <w:t>Drugs with m</w:t>
      </w:r>
      <w:r w:rsidR="009A250E" w:rsidRPr="00BC57C6">
        <w:rPr>
          <w:rFonts w:ascii="Times New Roman" w:hAnsi="Times New Roman" w:cs="Times New Roman"/>
          <w:sz w:val="24"/>
          <w:szCs w:val="24"/>
        </w:rPr>
        <w:t xml:space="preserve">ultiple strengths </w:t>
      </w:r>
      <w:r w:rsidR="00FF6291" w:rsidRPr="00BC57C6">
        <w:rPr>
          <w:rFonts w:ascii="Times New Roman" w:hAnsi="Times New Roman" w:cs="Times New Roman"/>
          <w:sz w:val="24"/>
          <w:szCs w:val="24"/>
        </w:rPr>
        <w:t xml:space="preserve">(e.g. 20mg, 40mg, </w:t>
      </w:r>
      <w:r w:rsidR="00314FF3" w:rsidRPr="00BC57C6">
        <w:rPr>
          <w:rFonts w:ascii="Times New Roman" w:hAnsi="Times New Roman" w:cs="Times New Roman"/>
          <w:sz w:val="24"/>
          <w:szCs w:val="24"/>
        </w:rPr>
        <w:t>and 80mg</w:t>
      </w:r>
      <w:r w:rsidR="00FF6291" w:rsidRPr="00BC57C6">
        <w:rPr>
          <w:rFonts w:ascii="Times New Roman" w:hAnsi="Times New Roman" w:cs="Times New Roman"/>
          <w:sz w:val="24"/>
          <w:szCs w:val="24"/>
        </w:rPr>
        <w:t xml:space="preserve">) </w:t>
      </w:r>
      <w:r w:rsidR="009A250E" w:rsidRPr="00BC57C6">
        <w:rPr>
          <w:rFonts w:ascii="Times New Roman" w:hAnsi="Times New Roman" w:cs="Times New Roman"/>
          <w:sz w:val="24"/>
          <w:szCs w:val="24"/>
        </w:rPr>
        <w:t xml:space="preserve">were not combined when individual HCPCS codes exist for different strengths.  </w:t>
      </w:r>
    </w:p>
    <w:p w14:paraId="67566393" w14:textId="77777777" w:rsidR="00F26EFF" w:rsidRDefault="00677B1E" w:rsidP="00677B1E">
      <w:pPr>
        <w:rPr>
          <w:rFonts w:ascii="Times New Roman" w:hAnsi="Times New Roman" w:cs="Times New Roman"/>
          <w:sz w:val="24"/>
          <w:szCs w:val="24"/>
        </w:rPr>
      </w:pPr>
      <w:r w:rsidRPr="00BC57C6">
        <w:rPr>
          <w:rFonts w:ascii="Times New Roman" w:hAnsi="Times New Roman" w:cs="Times New Roman"/>
          <w:b/>
          <w:sz w:val="24"/>
          <w:szCs w:val="24"/>
        </w:rPr>
        <w:t>Drug Metrics</w:t>
      </w:r>
      <w:r w:rsidR="00F26EFF" w:rsidRPr="00F26EFF">
        <w:rPr>
          <w:rFonts w:ascii="Times New Roman" w:hAnsi="Times New Roman" w:cs="Times New Roman"/>
          <w:sz w:val="24"/>
          <w:szCs w:val="24"/>
        </w:rPr>
        <w:t xml:space="preserve"> </w:t>
      </w:r>
    </w:p>
    <w:p w14:paraId="6E6478E5" w14:textId="764E74D5" w:rsidR="00677B1E" w:rsidRDefault="00F26EFF" w:rsidP="00677B1E">
      <w:pPr>
        <w:rPr>
          <w:rFonts w:ascii="Times New Roman" w:hAnsi="Times New Roman" w:cs="Times New Roman"/>
          <w:sz w:val="24"/>
          <w:szCs w:val="24"/>
        </w:rPr>
      </w:pPr>
      <w:r w:rsidRPr="00BC57C6">
        <w:rPr>
          <w:rFonts w:ascii="Times New Roman" w:hAnsi="Times New Roman" w:cs="Times New Roman"/>
          <w:sz w:val="24"/>
          <w:szCs w:val="24"/>
        </w:rPr>
        <w:t xml:space="preserve">Drug spending metrics for </w:t>
      </w:r>
      <w:r w:rsidR="008644F1">
        <w:rPr>
          <w:rFonts w:ascii="Times New Roman" w:hAnsi="Times New Roman" w:cs="Times New Roman"/>
          <w:sz w:val="24"/>
          <w:szCs w:val="24"/>
        </w:rPr>
        <w:t xml:space="preserve">Medicare </w:t>
      </w:r>
      <w:r w:rsidRPr="00BC57C6">
        <w:rPr>
          <w:rFonts w:ascii="Times New Roman" w:hAnsi="Times New Roman" w:cs="Times New Roman"/>
          <w:sz w:val="24"/>
          <w:szCs w:val="24"/>
        </w:rPr>
        <w:t xml:space="preserve">Part B drugs are based on total spending, which is derived from summing the three revenue center payment fields on the claim referring to Medicare payment, deductible, and coinsurance. This represents the full value of the product, including the </w:t>
      </w:r>
      <w:r w:rsidRPr="00BC57C6">
        <w:rPr>
          <w:rFonts w:ascii="Times New Roman" w:hAnsi="Times New Roman" w:cs="Times New Roman"/>
          <w:sz w:val="24"/>
          <w:szCs w:val="24"/>
        </w:rPr>
        <w:lastRenderedPageBreak/>
        <w:t>Medicare payment and beneficiary</w:t>
      </w:r>
      <w:r w:rsidR="00CF3B79">
        <w:rPr>
          <w:rFonts w:ascii="Times New Roman" w:hAnsi="Times New Roman" w:cs="Times New Roman"/>
          <w:sz w:val="24"/>
          <w:szCs w:val="24"/>
        </w:rPr>
        <w:t xml:space="preserve"> liability.</w:t>
      </w:r>
      <w:r w:rsidR="00564B13">
        <w:rPr>
          <w:rFonts w:ascii="Times New Roman" w:hAnsi="Times New Roman" w:cs="Times New Roman"/>
          <w:sz w:val="24"/>
          <w:szCs w:val="24"/>
        </w:rPr>
        <w:t xml:space="preserve"> All </w:t>
      </w:r>
      <w:r w:rsidR="00EE549B">
        <w:rPr>
          <w:rFonts w:ascii="Times New Roman" w:hAnsi="Times New Roman" w:cs="Times New Roman"/>
          <w:sz w:val="24"/>
          <w:szCs w:val="24"/>
        </w:rPr>
        <w:t xml:space="preserve">Part B </w:t>
      </w:r>
      <w:r w:rsidR="00564B13">
        <w:rPr>
          <w:rFonts w:ascii="Times New Roman" w:hAnsi="Times New Roman" w:cs="Times New Roman"/>
          <w:sz w:val="24"/>
          <w:szCs w:val="24"/>
        </w:rPr>
        <w:t>drug spending metrics are calculated at the HCPCS level.</w:t>
      </w:r>
    </w:p>
    <w:p w14:paraId="5F8BF385" w14:textId="79E6D543" w:rsidR="00150602" w:rsidRDefault="00252711" w:rsidP="00150602">
      <w:pPr>
        <w:rPr>
          <w:rFonts w:ascii="Times New Roman" w:hAnsi="Times New Roman" w:cs="Times New Roman"/>
          <w:sz w:val="24"/>
          <w:szCs w:val="24"/>
        </w:rPr>
      </w:pPr>
      <w:r w:rsidRPr="00F750CE">
        <w:rPr>
          <w:rFonts w:ascii="Times New Roman" w:hAnsi="Times New Roman" w:cs="Times New Roman"/>
          <w:sz w:val="24"/>
          <w:szCs w:val="24"/>
        </w:rPr>
        <w:t xml:space="preserve">The </w:t>
      </w:r>
      <w:r w:rsidR="008644F1">
        <w:rPr>
          <w:rFonts w:ascii="Times New Roman" w:hAnsi="Times New Roman" w:cs="Times New Roman"/>
          <w:sz w:val="24"/>
          <w:szCs w:val="24"/>
        </w:rPr>
        <w:t xml:space="preserve">Medicare Part B Spending by Drug dataset </w:t>
      </w:r>
      <w:r w:rsidRPr="00210105">
        <w:rPr>
          <w:rFonts w:ascii="Times New Roman" w:hAnsi="Times New Roman" w:cs="Times New Roman"/>
          <w:sz w:val="24"/>
          <w:szCs w:val="24"/>
        </w:rPr>
        <w:t xml:space="preserve">focuses on average spending per dosage unit and change in average spending per dosage unit over time. </w:t>
      </w:r>
      <w:r w:rsidR="00B911BD" w:rsidRPr="00B911BD">
        <w:rPr>
          <w:rFonts w:ascii="Times New Roman" w:hAnsi="Times New Roman" w:cs="Times New Roman"/>
          <w:sz w:val="24"/>
          <w:szCs w:val="24"/>
        </w:rPr>
        <w:t xml:space="preserve">For Part B, the quantity of a drug in a dosage unit is the same as the quantity of the drug in </w:t>
      </w:r>
      <w:r w:rsidR="00B11430">
        <w:rPr>
          <w:rFonts w:ascii="Times New Roman" w:hAnsi="Times New Roman" w:cs="Times New Roman"/>
          <w:sz w:val="24"/>
          <w:szCs w:val="24"/>
        </w:rPr>
        <w:t>one</w:t>
      </w:r>
      <w:r w:rsidR="00B11430" w:rsidRPr="00B911BD">
        <w:rPr>
          <w:rFonts w:ascii="Times New Roman" w:hAnsi="Times New Roman" w:cs="Times New Roman"/>
          <w:sz w:val="24"/>
          <w:szCs w:val="24"/>
        </w:rPr>
        <w:t xml:space="preserve"> </w:t>
      </w:r>
      <w:r w:rsidR="00B911BD" w:rsidRPr="00B911BD">
        <w:rPr>
          <w:rFonts w:ascii="Times New Roman" w:hAnsi="Times New Roman" w:cs="Times New Roman"/>
          <w:sz w:val="24"/>
          <w:szCs w:val="24"/>
        </w:rPr>
        <w:t>HCPCS billing unit</w:t>
      </w:r>
      <w:r w:rsidR="00B11430">
        <w:rPr>
          <w:rFonts w:ascii="Times New Roman" w:hAnsi="Times New Roman" w:cs="Times New Roman"/>
          <w:sz w:val="24"/>
          <w:szCs w:val="24"/>
        </w:rPr>
        <w:t>, that is, the amount of drug in the HCPCS code descriptor</w:t>
      </w:r>
      <w:r w:rsidR="00B911BD" w:rsidRPr="00B911BD">
        <w:rPr>
          <w:rFonts w:ascii="Times New Roman" w:hAnsi="Times New Roman" w:cs="Times New Roman"/>
          <w:sz w:val="24"/>
          <w:szCs w:val="24"/>
        </w:rPr>
        <w:t>.</w:t>
      </w:r>
      <w:r w:rsidR="00B911BD">
        <w:rPr>
          <w:rFonts w:ascii="Times New Roman" w:hAnsi="Times New Roman" w:cs="Times New Roman"/>
          <w:sz w:val="24"/>
          <w:szCs w:val="24"/>
        </w:rPr>
        <w:t xml:space="preserve"> </w:t>
      </w:r>
    </w:p>
    <w:p w14:paraId="5E8FF0DC" w14:textId="1D07E251" w:rsidR="00150602" w:rsidRDefault="00150602" w:rsidP="00150602">
      <w:pPr>
        <w:rPr>
          <w:rFonts w:ascii="Times New Roman" w:hAnsi="Times New Roman" w:cs="Times New Roman"/>
          <w:sz w:val="24"/>
          <w:szCs w:val="24"/>
        </w:rPr>
      </w:pPr>
      <w:r>
        <w:rPr>
          <w:rFonts w:ascii="Times New Roman" w:hAnsi="Times New Roman" w:cs="Times New Roman"/>
          <w:sz w:val="24"/>
          <w:szCs w:val="24"/>
        </w:rPr>
        <w:t xml:space="preserve">The </w:t>
      </w:r>
      <w:r w:rsidR="008644F1">
        <w:rPr>
          <w:rFonts w:ascii="Times New Roman" w:hAnsi="Times New Roman" w:cs="Times New Roman"/>
          <w:sz w:val="24"/>
          <w:szCs w:val="24"/>
        </w:rPr>
        <w:t xml:space="preserve">Medicare Part B Spending by Drug dataset </w:t>
      </w:r>
      <w:r w:rsidR="00B5242A">
        <w:rPr>
          <w:rFonts w:ascii="Times New Roman" w:hAnsi="Times New Roman" w:cs="Times New Roman"/>
          <w:sz w:val="24"/>
          <w:szCs w:val="24"/>
        </w:rPr>
        <w:t xml:space="preserve">also </w:t>
      </w:r>
      <w:r>
        <w:rPr>
          <w:rFonts w:ascii="Times New Roman" w:hAnsi="Times New Roman" w:cs="Times New Roman"/>
          <w:sz w:val="24"/>
          <w:szCs w:val="24"/>
        </w:rPr>
        <w:t xml:space="preserve">includes information on the </w:t>
      </w:r>
      <w:r w:rsidR="005C5954">
        <w:rPr>
          <w:rFonts w:ascii="Times New Roman" w:hAnsi="Times New Roman" w:cs="Times New Roman"/>
          <w:sz w:val="24"/>
          <w:szCs w:val="24"/>
        </w:rPr>
        <w:t>payment amounts for</w:t>
      </w:r>
      <w:r w:rsidR="002643BB">
        <w:rPr>
          <w:rFonts w:ascii="Times New Roman" w:hAnsi="Times New Roman" w:cs="Times New Roman"/>
          <w:sz w:val="24"/>
          <w:szCs w:val="24"/>
        </w:rPr>
        <w:t xml:space="preserve"> many</w:t>
      </w:r>
      <w:r w:rsidR="005C5954">
        <w:rPr>
          <w:rFonts w:ascii="Times New Roman" w:hAnsi="Times New Roman" w:cs="Times New Roman"/>
          <w:sz w:val="24"/>
          <w:szCs w:val="24"/>
        </w:rPr>
        <w:t xml:space="preserve"> HCPCS codes that are paid under</w:t>
      </w:r>
      <w:r w:rsidR="008644F1">
        <w:rPr>
          <w:rFonts w:ascii="Times New Roman" w:hAnsi="Times New Roman" w:cs="Times New Roman"/>
          <w:sz w:val="24"/>
          <w:szCs w:val="24"/>
        </w:rPr>
        <w:t xml:space="preserve"> Medicare</w:t>
      </w:r>
      <w:r w:rsidR="005C5954">
        <w:rPr>
          <w:rFonts w:ascii="Times New Roman" w:hAnsi="Times New Roman" w:cs="Times New Roman"/>
          <w:sz w:val="24"/>
          <w:szCs w:val="24"/>
        </w:rPr>
        <w:t xml:space="preserve"> Part B. </w:t>
      </w:r>
      <w:r w:rsidR="00A016ED">
        <w:rPr>
          <w:rFonts w:ascii="Times New Roman" w:hAnsi="Times New Roman" w:cs="Times New Roman"/>
          <w:sz w:val="24"/>
          <w:szCs w:val="24"/>
        </w:rPr>
        <w:t xml:space="preserve">The </w:t>
      </w:r>
      <w:r w:rsidR="005C5954">
        <w:rPr>
          <w:rFonts w:ascii="Times New Roman" w:hAnsi="Times New Roman" w:cs="Times New Roman"/>
          <w:sz w:val="24"/>
          <w:szCs w:val="24"/>
        </w:rPr>
        <w:t>ASP-based</w:t>
      </w:r>
      <w:r w:rsidR="005C5954" w:rsidRPr="00A5352A">
        <w:rPr>
          <w:rFonts w:ascii="Times New Roman" w:hAnsi="Times New Roman" w:cs="Times New Roman"/>
          <w:sz w:val="24"/>
          <w:szCs w:val="24"/>
        </w:rPr>
        <w:t xml:space="preserve"> </w:t>
      </w:r>
      <w:r w:rsidR="00732D71" w:rsidRPr="00A5352A">
        <w:rPr>
          <w:rFonts w:ascii="Times New Roman" w:hAnsi="Times New Roman" w:cs="Times New Roman"/>
          <w:sz w:val="24"/>
          <w:szCs w:val="24"/>
        </w:rPr>
        <w:t>payment amounts</w:t>
      </w:r>
      <w:r w:rsidR="00A016ED">
        <w:rPr>
          <w:rFonts w:ascii="Times New Roman" w:hAnsi="Times New Roman" w:cs="Times New Roman"/>
          <w:sz w:val="24"/>
          <w:szCs w:val="24"/>
        </w:rPr>
        <w:t xml:space="preserve"> that appear in the </w:t>
      </w:r>
      <w:r w:rsidR="008644F1">
        <w:rPr>
          <w:rFonts w:ascii="Times New Roman" w:hAnsi="Times New Roman" w:cs="Times New Roman"/>
          <w:sz w:val="24"/>
          <w:szCs w:val="24"/>
        </w:rPr>
        <w:t xml:space="preserve">data </w:t>
      </w:r>
      <w:r w:rsidR="002643BB">
        <w:rPr>
          <w:rFonts w:ascii="Times New Roman" w:hAnsi="Times New Roman" w:cs="Times New Roman"/>
          <w:sz w:val="24"/>
          <w:szCs w:val="24"/>
        </w:rPr>
        <w:t xml:space="preserve">include the statutory 6 percent add on and </w:t>
      </w:r>
      <w:r w:rsidR="00A016ED">
        <w:rPr>
          <w:rFonts w:ascii="Times New Roman" w:hAnsi="Times New Roman" w:cs="Times New Roman"/>
          <w:sz w:val="24"/>
          <w:szCs w:val="24"/>
        </w:rPr>
        <w:t xml:space="preserve">are obtained from </w:t>
      </w:r>
      <w:r w:rsidR="00732D71" w:rsidRPr="00A5352A">
        <w:rPr>
          <w:rFonts w:ascii="Times New Roman" w:hAnsi="Times New Roman" w:cs="Times New Roman"/>
          <w:sz w:val="24"/>
          <w:szCs w:val="24"/>
        </w:rPr>
        <w:t>the ASP</w:t>
      </w:r>
      <w:r w:rsidR="00A016ED">
        <w:rPr>
          <w:rFonts w:ascii="Times New Roman" w:hAnsi="Times New Roman" w:cs="Times New Roman"/>
          <w:sz w:val="24"/>
          <w:szCs w:val="24"/>
        </w:rPr>
        <w:t xml:space="preserve"> Drug Pricing files</w:t>
      </w:r>
      <w:r w:rsidR="002643BB">
        <w:rPr>
          <w:rFonts w:ascii="Times New Roman" w:hAnsi="Times New Roman" w:cs="Times New Roman"/>
          <w:sz w:val="24"/>
          <w:szCs w:val="24"/>
        </w:rPr>
        <w:t>,</w:t>
      </w:r>
      <w:r w:rsidR="00732D71" w:rsidRPr="00A5352A">
        <w:rPr>
          <w:rFonts w:ascii="Times New Roman" w:hAnsi="Times New Roman" w:cs="Times New Roman"/>
          <w:sz w:val="24"/>
          <w:szCs w:val="24"/>
        </w:rPr>
        <w:t xml:space="preserve"> </w:t>
      </w:r>
      <w:r w:rsidR="002643BB">
        <w:rPr>
          <w:rFonts w:ascii="Times New Roman" w:hAnsi="Times New Roman" w:cs="Times New Roman"/>
          <w:sz w:val="24"/>
          <w:szCs w:val="24"/>
        </w:rPr>
        <w:t>which are updated quarterly with sales</w:t>
      </w:r>
      <w:r w:rsidR="00732D71" w:rsidRPr="00A5352A">
        <w:rPr>
          <w:rFonts w:ascii="Times New Roman" w:hAnsi="Times New Roman" w:cs="Times New Roman"/>
          <w:sz w:val="24"/>
          <w:szCs w:val="24"/>
        </w:rPr>
        <w:t xml:space="preserve"> data </w:t>
      </w:r>
      <w:r w:rsidR="002643BB">
        <w:rPr>
          <w:rFonts w:ascii="Times New Roman" w:hAnsi="Times New Roman" w:cs="Times New Roman"/>
          <w:sz w:val="24"/>
          <w:szCs w:val="24"/>
        </w:rPr>
        <w:t xml:space="preserve">that is </w:t>
      </w:r>
      <w:r w:rsidR="00732D71" w:rsidRPr="00A5352A">
        <w:rPr>
          <w:rFonts w:ascii="Times New Roman" w:hAnsi="Times New Roman" w:cs="Times New Roman"/>
          <w:sz w:val="24"/>
          <w:szCs w:val="24"/>
        </w:rPr>
        <w:t>submitted by drug manufacturers.</w:t>
      </w:r>
      <w:r w:rsidR="00732D71">
        <w:rPr>
          <w:rFonts w:ascii="Times New Roman" w:hAnsi="Times New Roman" w:cs="Times New Roman"/>
          <w:sz w:val="24"/>
          <w:szCs w:val="24"/>
        </w:rPr>
        <w:t xml:space="preserve"> </w:t>
      </w:r>
      <w:r w:rsidR="00A26A00">
        <w:rPr>
          <w:rFonts w:ascii="Times New Roman" w:hAnsi="Times New Roman" w:cs="Times New Roman"/>
          <w:sz w:val="24"/>
          <w:szCs w:val="24"/>
        </w:rPr>
        <w:t>Although m</w:t>
      </w:r>
      <w:r w:rsidR="00A26A00" w:rsidRPr="00A26A00">
        <w:rPr>
          <w:rFonts w:ascii="Times New Roman" w:hAnsi="Times New Roman" w:cs="Times New Roman"/>
          <w:sz w:val="24"/>
          <w:szCs w:val="24"/>
        </w:rPr>
        <w:t>ost Part B drug payments are based on the ASP</w:t>
      </w:r>
      <w:r w:rsidR="00A26A00">
        <w:rPr>
          <w:rFonts w:ascii="Times New Roman" w:hAnsi="Times New Roman" w:cs="Times New Roman"/>
          <w:sz w:val="24"/>
          <w:szCs w:val="24"/>
        </w:rPr>
        <w:t xml:space="preserve">, the Part B </w:t>
      </w:r>
      <w:r w:rsidR="008644F1">
        <w:rPr>
          <w:rFonts w:ascii="Times New Roman" w:hAnsi="Times New Roman" w:cs="Times New Roman"/>
          <w:sz w:val="24"/>
          <w:szCs w:val="24"/>
        </w:rPr>
        <w:t xml:space="preserve">data’s </w:t>
      </w:r>
      <w:r w:rsidR="00732D71" w:rsidRPr="00732D71">
        <w:rPr>
          <w:rFonts w:ascii="Times New Roman" w:hAnsi="Times New Roman" w:cs="Times New Roman"/>
          <w:sz w:val="24"/>
          <w:szCs w:val="24"/>
        </w:rPr>
        <w:t>ASP</w:t>
      </w:r>
      <w:r w:rsidR="005C5954">
        <w:rPr>
          <w:rFonts w:ascii="Times New Roman" w:hAnsi="Times New Roman" w:cs="Times New Roman"/>
          <w:sz w:val="24"/>
          <w:szCs w:val="24"/>
        </w:rPr>
        <w:t xml:space="preserve"> </w:t>
      </w:r>
      <w:r w:rsidR="00732D71">
        <w:rPr>
          <w:rFonts w:ascii="Times New Roman" w:hAnsi="Times New Roman" w:cs="Times New Roman"/>
          <w:sz w:val="24"/>
          <w:szCs w:val="24"/>
        </w:rPr>
        <w:t xml:space="preserve">may </w:t>
      </w:r>
      <w:r w:rsidR="002643BB">
        <w:rPr>
          <w:rFonts w:ascii="Times New Roman" w:hAnsi="Times New Roman" w:cs="Times New Roman"/>
          <w:sz w:val="24"/>
          <w:szCs w:val="24"/>
        </w:rPr>
        <w:t xml:space="preserve">reflect </w:t>
      </w:r>
      <w:r w:rsidR="00A26A00">
        <w:rPr>
          <w:rFonts w:ascii="Times New Roman" w:hAnsi="Times New Roman" w:cs="Times New Roman"/>
          <w:sz w:val="24"/>
          <w:szCs w:val="24"/>
        </w:rPr>
        <w:t>other</w:t>
      </w:r>
      <w:r w:rsidR="00732D71" w:rsidRPr="00732D71">
        <w:rPr>
          <w:rFonts w:ascii="Times New Roman" w:hAnsi="Times New Roman" w:cs="Times New Roman"/>
          <w:sz w:val="24"/>
          <w:szCs w:val="24"/>
        </w:rPr>
        <w:t xml:space="preserve"> applicable Part B payment amount</w:t>
      </w:r>
      <w:r w:rsidR="00A26A00">
        <w:rPr>
          <w:rFonts w:ascii="Times New Roman" w:hAnsi="Times New Roman" w:cs="Times New Roman"/>
          <w:sz w:val="24"/>
          <w:szCs w:val="24"/>
        </w:rPr>
        <w:t>s</w:t>
      </w:r>
      <w:r w:rsidR="005C5954">
        <w:rPr>
          <w:rFonts w:ascii="Times New Roman" w:hAnsi="Times New Roman" w:cs="Times New Roman"/>
          <w:sz w:val="24"/>
          <w:szCs w:val="24"/>
        </w:rPr>
        <w:t xml:space="preserve"> </w:t>
      </w:r>
      <w:r w:rsidR="002643BB">
        <w:rPr>
          <w:rFonts w:ascii="Times New Roman" w:hAnsi="Times New Roman" w:cs="Times New Roman"/>
          <w:sz w:val="24"/>
          <w:szCs w:val="24"/>
        </w:rPr>
        <w:t>that are</w:t>
      </w:r>
      <w:r w:rsidR="005C5954">
        <w:rPr>
          <w:rFonts w:ascii="Times New Roman" w:hAnsi="Times New Roman" w:cs="Times New Roman"/>
          <w:sz w:val="24"/>
          <w:szCs w:val="24"/>
        </w:rPr>
        <w:t xml:space="preserve"> authorized by law</w:t>
      </w:r>
      <w:r w:rsidR="00732D71">
        <w:rPr>
          <w:rFonts w:ascii="Times New Roman" w:hAnsi="Times New Roman" w:cs="Times New Roman"/>
          <w:sz w:val="24"/>
          <w:szCs w:val="24"/>
        </w:rPr>
        <w:t xml:space="preserve">. </w:t>
      </w:r>
      <w:r w:rsidR="003F3794">
        <w:rPr>
          <w:rFonts w:ascii="Times New Roman" w:hAnsi="Times New Roman" w:cs="Times New Roman"/>
          <w:sz w:val="24"/>
          <w:szCs w:val="24"/>
        </w:rPr>
        <w:t>For example,</w:t>
      </w:r>
      <w:r w:rsidR="005C5954">
        <w:rPr>
          <w:rFonts w:ascii="Times New Roman" w:hAnsi="Times New Roman" w:cs="Times New Roman"/>
          <w:sz w:val="24"/>
          <w:szCs w:val="24"/>
        </w:rPr>
        <w:t xml:space="preserve"> the statu</w:t>
      </w:r>
      <w:r w:rsidR="00A26A00">
        <w:rPr>
          <w:rFonts w:ascii="Times New Roman" w:hAnsi="Times New Roman" w:cs="Times New Roman"/>
          <w:sz w:val="24"/>
          <w:szCs w:val="24"/>
        </w:rPr>
        <w:t>t</w:t>
      </w:r>
      <w:r w:rsidR="005C5954">
        <w:rPr>
          <w:rFonts w:ascii="Times New Roman" w:hAnsi="Times New Roman" w:cs="Times New Roman"/>
          <w:sz w:val="24"/>
          <w:szCs w:val="24"/>
        </w:rPr>
        <w:t>e requires that payments for</w:t>
      </w:r>
      <w:r w:rsidR="003F3794">
        <w:rPr>
          <w:rFonts w:ascii="Times New Roman" w:hAnsi="Times New Roman" w:cs="Times New Roman"/>
          <w:sz w:val="24"/>
          <w:szCs w:val="24"/>
        </w:rPr>
        <w:t xml:space="preserve"> some Part B drugs, such as influenza vaccines, </w:t>
      </w:r>
      <w:r w:rsidR="00A26A00">
        <w:rPr>
          <w:rFonts w:ascii="Times New Roman" w:hAnsi="Times New Roman" w:cs="Times New Roman"/>
          <w:sz w:val="24"/>
          <w:szCs w:val="24"/>
        </w:rPr>
        <w:t xml:space="preserve">be </w:t>
      </w:r>
      <w:r w:rsidR="002643BB">
        <w:rPr>
          <w:rFonts w:ascii="Times New Roman" w:hAnsi="Times New Roman" w:cs="Times New Roman"/>
          <w:sz w:val="24"/>
          <w:szCs w:val="24"/>
        </w:rPr>
        <w:t>based on the Average Wholesale Price (AWP)</w:t>
      </w:r>
      <w:r w:rsidR="003F3794">
        <w:rPr>
          <w:rFonts w:ascii="Times New Roman" w:hAnsi="Times New Roman" w:cs="Times New Roman"/>
          <w:sz w:val="24"/>
          <w:szCs w:val="24"/>
        </w:rPr>
        <w:t xml:space="preserve">. </w:t>
      </w:r>
    </w:p>
    <w:p w14:paraId="3995B446" w14:textId="77777777" w:rsidR="00BC52AF" w:rsidRDefault="00BC52AF" w:rsidP="00BC52AF">
      <w:pPr>
        <w:rPr>
          <w:rFonts w:ascii="Times New Roman" w:hAnsi="Times New Roman" w:cs="Times New Roman"/>
          <w:b/>
          <w:sz w:val="24"/>
          <w:szCs w:val="24"/>
        </w:rPr>
      </w:pPr>
      <w:r w:rsidRPr="00255D91">
        <w:rPr>
          <w:rFonts w:ascii="Times New Roman" w:hAnsi="Times New Roman" w:cs="Times New Roman"/>
          <w:b/>
          <w:sz w:val="24"/>
          <w:szCs w:val="24"/>
        </w:rPr>
        <w:t>Outlier Flags</w:t>
      </w:r>
    </w:p>
    <w:p w14:paraId="3F31B7BF" w14:textId="1029C37F" w:rsidR="00BC52AF" w:rsidRDefault="00BC52AF" w:rsidP="00B84923">
      <w:pPr>
        <w:autoSpaceDE w:val="0"/>
        <w:autoSpaceDN w:val="0"/>
        <w:spacing w:after="0" w:line="240" w:lineRule="auto"/>
        <w:rPr>
          <w:rFonts w:ascii="Times New Roman" w:hAnsi="Times New Roman" w:cs="Times New Roman"/>
          <w:sz w:val="24"/>
          <w:szCs w:val="24"/>
        </w:rPr>
      </w:pPr>
      <w:r w:rsidRPr="001964C2">
        <w:rPr>
          <w:rFonts w:ascii="Times New Roman" w:hAnsi="Times New Roman" w:cs="Times New Roman"/>
          <w:sz w:val="24"/>
          <w:szCs w:val="24"/>
        </w:rPr>
        <w:t>Average Spending per Dosage Unit</w:t>
      </w:r>
      <w:r>
        <w:rPr>
          <w:rFonts w:ascii="Times New Roman" w:hAnsi="Times New Roman" w:cs="Times New Roman"/>
          <w:sz w:val="24"/>
          <w:szCs w:val="24"/>
        </w:rPr>
        <w:t xml:space="preserve"> is a key measure in the </w:t>
      </w:r>
      <w:r w:rsidR="008644F1" w:rsidRPr="008644F1">
        <w:rPr>
          <w:rFonts w:ascii="Times New Roman" w:hAnsi="Times New Roman" w:cs="Times New Roman"/>
          <w:sz w:val="24"/>
          <w:szCs w:val="24"/>
        </w:rPr>
        <w:t>Medicare Part B Spending by Drug dataset</w:t>
      </w:r>
      <w:r w:rsidRPr="001964C2">
        <w:rPr>
          <w:rFonts w:ascii="Times New Roman" w:hAnsi="Times New Roman" w:cs="Times New Roman"/>
          <w:sz w:val="24"/>
          <w:szCs w:val="24"/>
        </w:rPr>
        <w:t xml:space="preserve">.  </w:t>
      </w:r>
      <w:r w:rsidR="00B84923">
        <w:rPr>
          <w:rFonts w:ascii="Times New Roman" w:hAnsi="Times New Roman"/>
          <w:sz w:val="24"/>
          <w:szCs w:val="24"/>
        </w:rPr>
        <w:t>Incorrect dosage unit values reported on a small percentage of records may result in a mi</w:t>
      </w:r>
      <w:r w:rsidR="00DB21D6">
        <w:rPr>
          <w:rFonts w:ascii="Times New Roman" w:hAnsi="Times New Roman"/>
          <w:sz w:val="24"/>
          <w:szCs w:val="24"/>
        </w:rPr>
        <w:t>srepresentation of the overall “</w:t>
      </w:r>
      <w:r w:rsidR="00B84923">
        <w:rPr>
          <w:rFonts w:ascii="Times New Roman" w:hAnsi="Times New Roman"/>
          <w:sz w:val="24"/>
          <w:szCs w:val="24"/>
        </w:rPr>
        <w:t>Average Spending per Dosage Unit</w:t>
      </w:r>
      <w:r w:rsidR="00DB21D6">
        <w:rPr>
          <w:rFonts w:ascii="Times New Roman" w:hAnsi="Times New Roman"/>
          <w:sz w:val="24"/>
          <w:szCs w:val="24"/>
        </w:rPr>
        <w:t>”</w:t>
      </w:r>
      <w:r w:rsidR="00B84923">
        <w:rPr>
          <w:rFonts w:ascii="Times New Roman" w:hAnsi="Times New Roman"/>
          <w:sz w:val="24"/>
          <w:szCs w:val="24"/>
        </w:rPr>
        <w:t xml:space="preserve"> and </w:t>
      </w:r>
      <w:r w:rsidR="00DB21D6">
        <w:rPr>
          <w:rFonts w:ascii="Times New Roman" w:hAnsi="Times New Roman"/>
          <w:sz w:val="24"/>
          <w:szCs w:val="24"/>
        </w:rPr>
        <w:t>“</w:t>
      </w:r>
      <w:r w:rsidR="00B84923">
        <w:rPr>
          <w:rFonts w:ascii="Times New Roman" w:hAnsi="Times New Roman"/>
          <w:sz w:val="24"/>
          <w:szCs w:val="24"/>
        </w:rPr>
        <w:t>Change in A</w:t>
      </w:r>
      <w:r w:rsidR="00DB21D6">
        <w:rPr>
          <w:rFonts w:ascii="Times New Roman" w:hAnsi="Times New Roman"/>
          <w:sz w:val="24"/>
          <w:szCs w:val="24"/>
        </w:rPr>
        <w:t>verage Spending per Dosage Unit”</w:t>
      </w:r>
      <w:r w:rsidR="00B84923">
        <w:rPr>
          <w:rFonts w:ascii="Times New Roman" w:hAnsi="Times New Roman"/>
          <w:sz w:val="24"/>
          <w:szCs w:val="24"/>
        </w:rPr>
        <w:t xml:space="preserve">. </w:t>
      </w:r>
      <w:r>
        <w:rPr>
          <w:rFonts w:ascii="Times New Roman" w:hAnsi="Times New Roman" w:cs="Times New Roman"/>
          <w:sz w:val="24"/>
          <w:szCs w:val="24"/>
        </w:rPr>
        <w:t xml:space="preserve">To address this concern, </w:t>
      </w:r>
      <w:r w:rsidRPr="001964C2">
        <w:rPr>
          <w:rFonts w:ascii="Times New Roman" w:hAnsi="Times New Roman" w:cs="Times New Roman"/>
          <w:sz w:val="24"/>
          <w:szCs w:val="24"/>
        </w:rPr>
        <w:t xml:space="preserve">potentially anomalous </w:t>
      </w:r>
      <w:r>
        <w:rPr>
          <w:rFonts w:ascii="Times New Roman" w:hAnsi="Times New Roman" w:cs="Times New Roman"/>
          <w:sz w:val="24"/>
          <w:szCs w:val="24"/>
        </w:rPr>
        <w:t>drugs</w:t>
      </w:r>
      <w:r w:rsidRPr="001964C2">
        <w:rPr>
          <w:rFonts w:ascii="Times New Roman" w:hAnsi="Times New Roman" w:cs="Times New Roman"/>
          <w:sz w:val="24"/>
          <w:szCs w:val="24"/>
        </w:rPr>
        <w:t xml:space="preserve"> are </w:t>
      </w:r>
      <w:r>
        <w:rPr>
          <w:rFonts w:ascii="Times New Roman" w:hAnsi="Times New Roman" w:cs="Times New Roman"/>
          <w:sz w:val="24"/>
          <w:szCs w:val="24"/>
        </w:rPr>
        <w:t>identified</w:t>
      </w:r>
      <w:r w:rsidRPr="001964C2">
        <w:rPr>
          <w:rFonts w:ascii="Times New Roman" w:hAnsi="Times New Roman" w:cs="Times New Roman"/>
          <w:sz w:val="24"/>
          <w:szCs w:val="24"/>
        </w:rPr>
        <w:t xml:space="preserve"> as outliers so that users can exercise caution when interpreting results.  </w:t>
      </w:r>
    </w:p>
    <w:p w14:paraId="7162FDD0" w14:textId="77777777" w:rsidR="00BC52AF" w:rsidRDefault="00BC52AF" w:rsidP="00BC52AF">
      <w:pPr>
        <w:spacing w:after="0" w:line="256" w:lineRule="auto"/>
        <w:textAlignment w:val="top"/>
        <w:rPr>
          <w:rFonts w:ascii="Times New Roman" w:hAnsi="Times New Roman" w:cs="Times New Roman"/>
          <w:sz w:val="24"/>
          <w:szCs w:val="24"/>
        </w:rPr>
      </w:pPr>
    </w:p>
    <w:p w14:paraId="23F04AAA" w14:textId="77777777" w:rsidR="003B3160" w:rsidRPr="003B3160" w:rsidRDefault="003B3160" w:rsidP="003B3160">
      <w:pPr>
        <w:spacing w:line="252" w:lineRule="auto"/>
        <w:textAlignment w:val="top"/>
        <w:rPr>
          <w:rFonts w:ascii="Times New Roman" w:hAnsi="Times New Roman" w:cs="Times New Roman"/>
          <w:sz w:val="24"/>
          <w:szCs w:val="24"/>
        </w:rPr>
      </w:pPr>
      <w:r w:rsidRPr="003B3160">
        <w:rPr>
          <w:rFonts w:ascii="Times New Roman" w:hAnsi="Times New Roman" w:cs="Times New Roman"/>
          <w:sz w:val="24"/>
          <w:szCs w:val="24"/>
        </w:rPr>
        <w:t xml:space="preserve">In the full underlying data file, potentially anomalous drugs are identified using a yearly outlier flag variable, which is set to “1” when a drug’s Average Spending per Dosage Unit is substantially impacted by outlier records in a given year.  </w:t>
      </w:r>
    </w:p>
    <w:p w14:paraId="62BF2505" w14:textId="4BCBCC14" w:rsidR="00BC52AF" w:rsidRDefault="00BC52AF" w:rsidP="00BC52AF">
      <w:pPr>
        <w:spacing w:after="0" w:line="256" w:lineRule="auto"/>
        <w:textAlignment w:val="top"/>
        <w:rPr>
          <w:rFonts w:ascii="Times New Roman" w:hAnsi="Times New Roman" w:cs="Times New Roman"/>
          <w:sz w:val="24"/>
          <w:szCs w:val="24"/>
        </w:rPr>
      </w:pPr>
      <w:r>
        <w:rPr>
          <w:rFonts w:ascii="Times New Roman" w:hAnsi="Times New Roman" w:cs="Times New Roman"/>
          <w:sz w:val="24"/>
          <w:szCs w:val="24"/>
        </w:rPr>
        <w:t xml:space="preserve">There are three methods by which drugs are identified as outliers </w:t>
      </w:r>
      <w:r w:rsidRPr="00BC52AF">
        <w:rPr>
          <w:rFonts w:ascii="Times New Roman" w:hAnsi="Times New Roman" w:cs="Times New Roman"/>
          <w:sz w:val="24"/>
          <w:szCs w:val="24"/>
        </w:rPr>
        <w:t xml:space="preserve">within the </w:t>
      </w:r>
      <w:r w:rsidR="008644F1" w:rsidRPr="008644F1">
        <w:rPr>
          <w:rFonts w:ascii="Times New Roman" w:hAnsi="Times New Roman" w:cs="Times New Roman"/>
          <w:sz w:val="24"/>
          <w:szCs w:val="24"/>
        </w:rPr>
        <w:t>Medicare Part B Spending by Drug dataset</w:t>
      </w:r>
      <w:r>
        <w:rPr>
          <w:rFonts w:ascii="Times New Roman" w:hAnsi="Times New Roman" w:cs="Times New Roman"/>
          <w:sz w:val="24"/>
          <w:szCs w:val="24"/>
        </w:rPr>
        <w:t>:</w:t>
      </w:r>
    </w:p>
    <w:p w14:paraId="0217D8D5" w14:textId="77777777" w:rsidR="00BC52AF" w:rsidRPr="00BC52AF" w:rsidRDefault="00BC52AF" w:rsidP="00BC52AF">
      <w:pPr>
        <w:spacing w:after="0" w:line="256" w:lineRule="auto"/>
        <w:textAlignment w:val="top"/>
        <w:rPr>
          <w:rFonts w:ascii="Times New Roman" w:hAnsi="Times New Roman" w:cs="Times New Roman"/>
          <w:sz w:val="28"/>
          <w:szCs w:val="24"/>
        </w:rPr>
      </w:pPr>
    </w:p>
    <w:p w14:paraId="59FC149F" w14:textId="66671F15" w:rsidR="00BC52AF" w:rsidRPr="00BC52AF" w:rsidRDefault="00BC52AF" w:rsidP="00BC52AF">
      <w:pPr>
        <w:pStyle w:val="ListParagraph"/>
        <w:numPr>
          <w:ilvl w:val="0"/>
          <w:numId w:val="10"/>
        </w:numPr>
        <w:spacing w:after="0" w:line="256" w:lineRule="auto"/>
        <w:textAlignment w:val="top"/>
        <w:rPr>
          <w:rFonts w:ascii="Times New Roman" w:hAnsi="Times New Roman" w:cs="Times New Roman"/>
          <w:sz w:val="28"/>
          <w:szCs w:val="24"/>
        </w:rPr>
      </w:pPr>
      <w:r w:rsidRPr="00BC52AF">
        <w:rPr>
          <w:rFonts w:ascii="Times New Roman" w:eastAsia="Calibri" w:hAnsi="Times New Roman" w:cs="Times New Roman"/>
          <w:sz w:val="24"/>
        </w:rPr>
        <w:t>1.5 IQR Outlier Identification</w:t>
      </w:r>
    </w:p>
    <w:p w14:paraId="36AFEF81" w14:textId="15317989" w:rsidR="00BC52AF" w:rsidRDefault="00BC52AF" w:rsidP="00BC52AF">
      <w:pPr>
        <w:pStyle w:val="ListParagraph"/>
        <w:numPr>
          <w:ilvl w:val="1"/>
          <w:numId w:val="6"/>
        </w:numPr>
        <w:spacing w:after="0" w:line="259" w:lineRule="auto"/>
        <w:textAlignment w:val="top"/>
        <w:rPr>
          <w:rFonts w:ascii="Times New Roman" w:hAnsi="Times New Roman" w:cs="Times New Roman"/>
          <w:sz w:val="24"/>
          <w:szCs w:val="24"/>
        </w:rPr>
      </w:pPr>
      <w:r w:rsidRPr="00BC52AF">
        <w:rPr>
          <w:rFonts w:ascii="Times New Roman" w:hAnsi="Times New Roman" w:cs="Times New Roman"/>
          <w:sz w:val="24"/>
          <w:szCs w:val="24"/>
        </w:rPr>
        <w:t xml:space="preserve">For each </w:t>
      </w:r>
      <w:r w:rsidR="008644F1">
        <w:rPr>
          <w:rFonts w:ascii="Times New Roman" w:hAnsi="Times New Roman" w:cs="Times New Roman"/>
          <w:sz w:val="24"/>
          <w:szCs w:val="24"/>
        </w:rPr>
        <w:t xml:space="preserve">Medicare </w:t>
      </w:r>
      <w:r w:rsidRPr="00BC52AF">
        <w:rPr>
          <w:rFonts w:ascii="Times New Roman" w:hAnsi="Times New Roman" w:cs="Times New Roman"/>
          <w:sz w:val="24"/>
          <w:szCs w:val="24"/>
        </w:rPr>
        <w:t xml:space="preserve">Part B Drug (HCPCS), lower </w:t>
      </w:r>
      <w:r w:rsidRPr="001964C2">
        <w:rPr>
          <w:rFonts w:ascii="Times New Roman" w:hAnsi="Times New Roman" w:cs="Times New Roman"/>
          <w:sz w:val="24"/>
          <w:szCs w:val="24"/>
        </w:rPr>
        <w:t>and upper bounds for average cost per dosage unit are defined as</w:t>
      </w:r>
      <w:r>
        <w:rPr>
          <w:rFonts w:ascii="Times New Roman" w:hAnsi="Times New Roman" w:cs="Times New Roman"/>
          <w:sz w:val="24"/>
          <w:szCs w:val="24"/>
        </w:rPr>
        <w:t>:</w:t>
      </w:r>
    </w:p>
    <w:p w14:paraId="1683F63E" w14:textId="77777777" w:rsidR="00BC52AF" w:rsidRDefault="00BC52AF" w:rsidP="00BC52AF">
      <w:pPr>
        <w:pStyle w:val="ListParagraph"/>
        <w:numPr>
          <w:ilvl w:val="2"/>
          <w:numId w:val="6"/>
        </w:numPr>
        <w:spacing w:after="0" w:line="259" w:lineRule="auto"/>
        <w:textAlignment w:val="top"/>
        <w:rPr>
          <w:rFonts w:ascii="Times New Roman" w:hAnsi="Times New Roman" w:cs="Times New Roman"/>
          <w:sz w:val="24"/>
          <w:szCs w:val="24"/>
        </w:rPr>
      </w:pPr>
      <w:r>
        <w:rPr>
          <w:rFonts w:ascii="Times New Roman" w:hAnsi="Times New Roman" w:cs="Times New Roman"/>
          <w:sz w:val="24"/>
          <w:szCs w:val="24"/>
        </w:rPr>
        <w:t xml:space="preserve">Lower Bound:  </w:t>
      </w:r>
      <w:r w:rsidRPr="001964C2">
        <w:rPr>
          <w:rFonts w:ascii="Times New Roman" w:hAnsi="Times New Roman" w:cs="Times New Roman"/>
          <w:sz w:val="24"/>
          <w:szCs w:val="24"/>
        </w:rPr>
        <w:t>25th perce</w:t>
      </w:r>
      <w:r>
        <w:rPr>
          <w:rFonts w:ascii="Times New Roman" w:hAnsi="Times New Roman" w:cs="Times New Roman"/>
          <w:sz w:val="24"/>
          <w:szCs w:val="24"/>
        </w:rPr>
        <w:t>ntile – 1.5*Interquartile Range</w:t>
      </w:r>
    </w:p>
    <w:p w14:paraId="5F8A5BD9" w14:textId="77777777" w:rsidR="00BC52AF" w:rsidRPr="001964C2" w:rsidRDefault="00BC52AF" w:rsidP="00BC52AF">
      <w:pPr>
        <w:pStyle w:val="ListParagraph"/>
        <w:numPr>
          <w:ilvl w:val="2"/>
          <w:numId w:val="6"/>
        </w:numPr>
        <w:spacing w:after="0" w:line="259" w:lineRule="auto"/>
        <w:textAlignment w:val="top"/>
        <w:rPr>
          <w:rFonts w:ascii="Times New Roman" w:hAnsi="Times New Roman" w:cs="Times New Roman"/>
          <w:sz w:val="24"/>
          <w:szCs w:val="24"/>
        </w:rPr>
      </w:pPr>
      <w:r>
        <w:rPr>
          <w:rFonts w:ascii="Times New Roman" w:hAnsi="Times New Roman" w:cs="Times New Roman"/>
          <w:sz w:val="24"/>
          <w:szCs w:val="24"/>
        </w:rPr>
        <w:t xml:space="preserve">Upper Bound: </w:t>
      </w:r>
      <w:r w:rsidRPr="001964C2">
        <w:rPr>
          <w:rFonts w:ascii="Times New Roman" w:hAnsi="Times New Roman" w:cs="Times New Roman"/>
          <w:sz w:val="24"/>
          <w:szCs w:val="24"/>
        </w:rPr>
        <w:t xml:space="preserve"> 75th percen</w:t>
      </w:r>
      <w:r>
        <w:rPr>
          <w:rFonts w:ascii="Times New Roman" w:hAnsi="Times New Roman" w:cs="Times New Roman"/>
          <w:sz w:val="24"/>
          <w:szCs w:val="24"/>
        </w:rPr>
        <w:t>tile + 1.5*Interquartile range</w:t>
      </w:r>
    </w:p>
    <w:p w14:paraId="59F27DEE" w14:textId="7A4CEF46" w:rsidR="00BC52AF" w:rsidRPr="001964C2" w:rsidRDefault="00BC52AF" w:rsidP="00BC52AF">
      <w:pPr>
        <w:pStyle w:val="ListParagraph"/>
        <w:numPr>
          <w:ilvl w:val="1"/>
          <w:numId w:val="6"/>
        </w:numPr>
        <w:spacing w:after="0" w:line="259" w:lineRule="auto"/>
        <w:textAlignment w:val="top"/>
        <w:rPr>
          <w:rFonts w:ascii="Times New Roman" w:hAnsi="Times New Roman" w:cs="Times New Roman"/>
          <w:sz w:val="24"/>
          <w:szCs w:val="24"/>
        </w:rPr>
      </w:pPr>
      <w:r w:rsidRPr="00BC52AF">
        <w:rPr>
          <w:rFonts w:ascii="Times New Roman" w:hAnsi="Times New Roman" w:cs="Times New Roman"/>
          <w:sz w:val="24"/>
          <w:szCs w:val="24"/>
        </w:rPr>
        <w:t xml:space="preserve">Claim lines </w:t>
      </w:r>
      <w:r w:rsidRPr="001964C2">
        <w:rPr>
          <w:rFonts w:ascii="Times New Roman" w:hAnsi="Times New Roman" w:cs="Times New Roman"/>
          <w:sz w:val="24"/>
          <w:szCs w:val="24"/>
        </w:rPr>
        <w:t xml:space="preserve">that fall outside of these bounds are flagged.  Additionally, </w:t>
      </w:r>
      <w:r w:rsidRPr="00BC52AF">
        <w:rPr>
          <w:rFonts w:ascii="Times New Roman" w:hAnsi="Times New Roman" w:cs="Times New Roman"/>
          <w:sz w:val="24"/>
          <w:szCs w:val="24"/>
        </w:rPr>
        <w:t xml:space="preserve">claim lines </w:t>
      </w:r>
      <w:r w:rsidRPr="001964C2">
        <w:rPr>
          <w:rFonts w:ascii="Times New Roman" w:hAnsi="Times New Roman" w:cs="Times New Roman"/>
          <w:sz w:val="24"/>
          <w:szCs w:val="24"/>
        </w:rPr>
        <w:t xml:space="preserve">associated with </w:t>
      </w:r>
      <w:r>
        <w:rPr>
          <w:rFonts w:ascii="Times New Roman" w:hAnsi="Times New Roman" w:cs="Times New Roman"/>
          <w:sz w:val="24"/>
          <w:szCs w:val="24"/>
        </w:rPr>
        <w:t>HCPCS</w:t>
      </w:r>
      <w:r w:rsidRPr="001964C2">
        <w:rPr>
          <w:rFonts w:ascii="Times New Roman" w:hAnsi="Times New Roman" w:cs="Times New Roman"/>
          <w:sz w:val="24"/>
          <w:szCs w:val="24"/>
        </w:rPr>
        <w:t xml:space="preserve">s for which there are fewer than 30 </w:t>
      </w:r>
      <w:r>
        <w:rPr>
          <w:rFonts w:ascii="Times New Roman" w:hAnsi="Times New Roman" w:cs="Times New Roman"/>
          <w:sz w:val="24"/>
          <w:szCs w:val="24"/>
        </w:rPr>
        <w:t>claim lines</w:t>
      </w:r>
      <w:r w:rsidRPr="001964C2">
        <w:rPr>
          <w:rFonts w:ascii="Times New Roman" w:hAnsi="Times New Roman" w:cs="Times New Roman"/>
          <w:sz w:val="24"/>
          <w:szCs w:val="24"/>
        </w:rPr>
        <w:t xml:space="preserve"> in total are flagged.</w:t>
      </w:r>
    </w:p>
    <w:p w14:paraId="46D5F518" w14:textId="51E37D54" w:rsidR="00BC52AF" w:rsidRDefault="00BC52AF" w:rsidP="00BC52AF">
      <w:pPr>
        <w:pStyle w:val="ListParagraph"/>
        <w:numPr>
          <w:ilvl w:val="1"/>
          <w:numId w:val="6"/>
        </w:numPr>
        <w:spacing w:after="0" w:line="259" w:lineRule="auto"/>
        <w:textAlignment w:val="top"/>
        <w:rPr>
          <w:rFonts w:ascii="Times New Roman" w:hAnsi="Times New Roman" w:cs="Times New Roman"/>
          <w:sz w:val="24"/>
          <w:szCs w:val="24"/>
        </w:rPr>
      </w:pPr>
      <w:r w:rsidRPr="00BC52AF">
        <w:rPr>
          <w:rFonts w:ascii="Times New Roman" w:hAnsi="Times New Roman" w:cs="Times New Roman"/>
          <w:sz w:val="24"/>
          <w:szCs w:val="24"/>
        </w:rPr>
        <w:t xml:space="preserve">Average Spend per dosage unit are calculated with and without flagged claim lines; if these values differ by over 10% and $1, </w:t>
      </w:r>
      <w:r w:rsidRPr="001964C2">
        <w:rPr>
          <w:rFonts w:ascii="Times New Roman" w:hAnsi="Times New Roman" w:cs="Times New Roman"/>
          <w:sz w:val="24"/>
          <w:szCs w:val="24"/>
        </w:rPr>
        <w:t>the drug is identified as an outlier.</w:t>
      </w:r>
    </w:p>
    <w:p w14:paraId="658D0859" w14:textId="77777777" w:rsidR="00BC52AF" w:rsidRPr="001964C2" w:rsidRDefault="00BC52AF" w:rsidP="00BC52AF">
      <w:pPr>
        <w:pStyle w:val="ListParagraph"/>
        <w:spacing w:after="0" w:line="259" w:lineRule="auto"/>
        <w:ind w:left="1710"/>
        <w:textAlignment w:val="top"/>
        <w:rPr>
          <w:rFonts w:ascii="Times New Roman" w:hAnsi="Times New Roman" w:cs="Times New Roman"/>
          <w:sz w:val="24"/>
          <w:szCs w:val="24"/>
        </w:rPr>
      </w:pPr>
    </w:p>
    <w:p w14:paraId="674BB145" w14:textId="77777777" w:rsidR="00BC52AF" w:rsidRPr="00BC52AF" w:rsidRDefault="00BC52AF" w:rsidP="00BC52AF">
      <w:pPr>
        <w:pStyle w:val="ListParagraph"/>
        <w:numPr>
          <w:ilvl w:val="0"/>
          <w:numId w:val="10"/>
        </w:numPr>
        <w:spacing w:after="0" w:line="259" w:lineRule="auto"/>
        <w:textAlignment w:val="top"/>
        <w:rPr>
          <w:rFonts w:ascii="Times New Roman" w:eastAsia="Calibri" w:hAnsi="Times New Roman" w:cs="Times New Roman"/>
          <w:sz w:val="24"/>
        </w:rPr>
      </w:pPr>
      <w:r w:rsidRPr="00BC52AF">
        <w:rPr>
          <w:rFonts w:ascii="Times New Roman" w:eastAsia="Calibri" w:hAnsi="Times New Roman" w:cs="Times New Roman"/>
          <w:sz w:val="24"/>
        </w:rPr>
        <w:lastRenderedPageBreak/>
        <w:t>Physician vs. Outpatient Outlier Identification</w:t>
      </w:r>
    </w:p>
    <w:p w14:paraId="5DDCA222" w14:textId="72F3FAC0" w:rsidR="00BC52AF" w:rsidRPr="00BC52AF" w:rsidRDefault="008644F1" w:rsidP="00BC52AF">
      <w:pPr>
        <w:pStyle w:val="ListParagraph"/>
        <w:numPr>
          <w:ilvl w:val="1"/>
          <w:numId w:val="11"/>
        </w:numPr>
        <w:spacing w:after="0" w:line="259" w:lineRule="auto"/>
        <w:textAlignment w:val="top"/>
        <w:rPr>
          <w:rFonts w:ascii="Times New Roman" w:eastAsia="Calibri" w:hAnsi="Times New Roman" w:cs="Times New Roman"/>
          <w:sz w:val="24"/>
        </w:rPr>
      </w:pPr>
      <w:r>
        <w:rPr>
          <w:rFonts w:ascii="Times New Roman" w:eastAsia="Calibri" w:hAnsi="Times New Roman" w:cs="Times New Roman"/>
          <w:sz w:val="24"/>
        </w:rPr>
        <w:t xml:space="preserve">Medicare </w:t>
      </w:r>
      <w:r w:rsidR="00BC52AF" w:rsidRPr="00BC52AF">
        <w:rPr>
          <w:rFonts w:ascii="Times New Roman" w:eastAsia="Calibri" w:hAnsi="Times New Roman" w:cs="Times New Roman"/>
          <w:sz w:val="24"/>
        </w:rPr>
        <w:t>Part B Drugs are comprised of both physician and outpatient claims.  In some cases, bill</w:t>
      </w:r>
      <w:r w:rsidR="003B3160">
        <w:rPr>
          <w:rFonts w:ascii="Times New Roman" w:eastAsia="Calibri" w:hAnsi="Times New Roman" w:cs="Times New Roman"/>
          <w:sz w:val="24"/>
        </w:rPr>
        <w:t>ing</w:t>
      </w:r>
      <w:r w:rsidR="00BC52AF" w:rsidRPr="00BC52AF">
        <w:rPr>
          <w:rFonts w:ascii="Times New Roman" w:eastAsia="Calibri" w:hAnsi="Times New Roman" w:cs="Times New Roman"/>
          <w:sz w:val="24"/>
        </w:rPr>
        <w:t xml:space="preserve"> unit</w:t>
      </w:r>
      <w:r w:rsidR="003B3160">
        <w:rPr>
          <w:rFonts w:ascii="Times New Roman" w:eastAsia="Calibri" w:hAnsi="Times New Roman" w:cs="Times New Roman"/>
          <w:sz w:val="24"/>
        </w:rPr>
        <w:t>s</w:t>
      </w:r>
      <w:r w:rsidR="00BC52AF" w:rsidRPr="00BC52AF">
        <w:rPr>
          <w:rFonts w:ascii="Times New Roman" w:eastAsia="Calibri" w:hAnsi="Times New Roman" w:cs="Times New Roman"/>
          <w:sz w:val="24"/>
        </w:rPr>
        <w:t xml:space="preserve"> may differ between settings.</w:t>
      </w:r>
    </w:p>
    <w:p w14:paraId="7444D075" w14:textId="77777777" w:rsidR="00BC52AF" w:rsidRDefault="00BC52AF" w:rsidP="00BC52AF">
      <w:pPr>
        <w:pStyle w:val="ListParagraph"/>
        <w:numPr>
          <w:ilvl w:val="1"/>
          <w:numId w:val="11"/>
        </w:numPr>
        <w:spacing w:after="0" w:line="259" w:lineRule="auto"/>
        <w:textAlignment w:val="top"/>
        <w:rPr>
          <w:rFonts w:ascii="Times New Roman" w:eastAsia="Calibri" w:hAnsi="Times New Roman" w:cs="Times New Roman"/>
          <w:sz w:val="24"/>
        </w:rPr>
      </w:pPr>
      <w:r w:rsidRPr="00BC52AF">
        <w:rPr>
          <w:rFonts w:ascii="Times New Roman" w:eastAsia="Calibri" w:hAnsi="Times New Roman" w:cs="Times New Roman"/>
          <w:sz w:val="24"/>
        </w:rPr>
        <w:t xml:space="preserve">If </w:t>
      </w:r>
      <w:r w:rsidRPr="00BC52AF">
        <w:rPr>
          <w:rFonts w:ascii="Times New Roman" w:eastAsia="Calibri" w:hAnsi="Times New Roman" w:cs="Times New Roman"/>
          <w:sz w:val="24"/>
          <w:u w:val="single"/>
        </w:rPr>
        <w:t>both</w:t>
      </w:r>
      <w:r w:rsidRPr="00BC52AF">
        <w:rPr>
          <w:rFonts w:ascii="Times New Roman" w:eastAsia="Calibri" w:hAnsi="Times New Roman" w:cs="Times New Roman"/>
          <w:sz w:val="24"/>
        </w:rPr>
        <w:t xml:space="preserve"> the average physician </w:t>
      </w:r>
      <w:proofErr w:type="gramStart"/>
      <w:r w:rsidRPr="00BC52AF">
        <w:rPr>
          <w:rFonts w:ascii="Times New Roman" w:eastAsia="Calibri" w:hAnsi="Times New Roman" w:cs="Times New Roman"/>
          <w:sz w:val="24"/>
        </w:rPr>
        <w:t>spend</w:t>
      </w:r>
      <w:proofErr w:type="gramEnd"/>
      <w:r w:rsidRPr="00BC52AF">
        <w:rPr>
          <w:rFonts w:ascii="Times New Roman" w:eastAsia="Calibri" w:hAnsi="Times New Roman" w:cs="Times New Roman"/>
          <w:sz w:val="24"/>
        </w:rPr>
        <w:t xml:space="preserve"> per dosage unit </w:t>
      </w:r>
      <w:r w:rsidRPr="003B3160">
        <w:rPr>
          <w:rFonts w:ascii="Times New Roman" w:eastAsia="Calibri" w:hAnsi="Times New Roman" w:cs="Times New Roman"/>
          <w:sz w:val="24"/>
          <w:u w:val="single"/>
        </w:rPr>
        <w:t>and</w:t>
      </w:r>
      <w:r w:rsidRPr="00BC52AF">
        <w:rPr>
          <w:rFonts w:ascii="Times New Roman" w:eastAsia="Calibri" w:hAnsi="Times New Roman" w:cs="Times New Roman"/>
          <w:sz w:val="24"/>
        </w:rPr>
        <w:t xml:space="preserve"> average outpatient spend per dosage unit differ from the overall average spend per dosage unit by &gt; 10% </w:t>
      </w:r>
      <w:r w:rsidRPr="00BC52AF">
        <w:rPr>
          <w:rFonts w:ascii="Times New Roman" w:eastAsia="Calibri" w:hAnsi="Times New Roman" w:cs="Times New Roman"/>
          <w:sz w:val="24"/>
          <w:u w:val="single"/>
        </w:rPr>
        <w:t>and</w:t>
      </w:r>
      <w:r w:rsidRPr="00BC52AF">
        <w:rPr>
          <w:rFonts w:ascii="Times New Roman" w:eastAsia="Calibri" w:hAnsi="Times New Roman" w:cs="Times New Roman"/>
          <w:sz w:val="24"/>
        </w:rPr>
        <w:t xml:space="preserve"> $1, the drug is identified as an outlier.</w:t>
      </w:r>
    </w:p>
    <w:p w14:paraId="6E8626B4" w14:textId="77777777" w:rsidR="00BC52AF" w:rsidRPr="00BC52AF" w:rsidRDefault="00BC52AF" w:rsidP="00BC52AF">
      <w:pPr>
        <w:pStyle w:val="ListParagraph"/>
        <w:spacing w:after="0" w:line="259" w:lineRule="auto"/>
        <w:ind w:left="1710"/>
        <w:textAlignment w:val="top"/>
        <w:rPr>
          <w:rFonts w:ascii="Times New Roman" w:eastAsia="Calibri" w:hAnsi="Times New Roman" w:cs="Times New Roman"/>
          <w:sz w:val="24"/>
        </w:rPr>
      </w:pPr>
    </w:p>
    <w:p w14:paraId="0EFE1E1B" w14:textId="77777777" w:rsidR="00BC52AF" w:rsidRPr="00BC52AF" w:rsidRDefault="00BC52AF" w:rsidP="00BC52AF">
      <w:pPr>
        <w:pStyle w:val="ListParagraph"/>
        <w:numPr>
          <w:ilvl w:val="0"/>
          <w:numId w:val="10"/>
        </w:numPr>
        <w:spacing w:after="0" w:line="259" w:lineRule="auto"/>
        <w:textAlignment w:val="top"/>
        <w:rPr>
          <w:rFonts w:ascii="Times New Roman" w:eastAsia="Calibri" w:hAnsi="Times New Roman" w:cs="Times New Roman"/>
          <w:sz w:val="24"/>
        </w:rPr>
      </w:pPr>
      <w:r w:rsidRPr="00BC52AF">
        <w:rPr>
          <w:rFonts w:ascii="Times New Roman" w:eastAsia="Calibri" w:hAnsi="Times New Roman" w:cs="Times New Roman"/>
          <w:sz w:val="24"/>
        </w:rPr>
        <w:t>Low Record Count Identification</w:t>
      </w:r>
    </w:p>
    <w:p w14:paraId="2F6F3BFD" w14:textId="55185092" w:rsidR="00BC52AF" w:rsidRPr="00BC52AF" w:rsidRDefault="00BC52AF" w:rsidP="00BC52AF">
      <w:pPr>
        <w:pStyle w:val="ListParagraph"/>
        <w:numPr>
          <w:ilvl w:val="1"/>
          <w:numId w:val="12"/>
        </w:numPr>
        <w:spacing w:after="0" w:line="259" w:lineRule="auto"/>
        <w:textAlignment w:val="top"/>
        <w:rPr>
          <w:rFonts w:ascii="Times New Roman" w:eastAsia="Calibri" w:hAnsi="Times New Roman" w:cs="Times New Roman"/>
          <w:sz w:val="24"/>
        </w:rPr>
      </w:pPr>
      <w:r w:rsidRPr="00BC52AF">
        <w:rPr>
          <w:rFonts w:ascii="Times New Roman" w:eastAsia="Calibri" w:hAnsi="Times New Roman" w:cs="Times New Roman"/>
          <w:sz w:val="24"/>
        </w:rPr>
        <w:t xml:space="preserve">Methods 1 and 2 require robust distributions of data to identify outliers (i.e. </w:t>
      </w:r>
      <w:r w:rsidR="003B3160">
        <w:rPr>
          <w:rFonts w:ascii="Times New Roman" w:eastAsia="Calibri" w:hAnsi="Times New Roman" w:cs="Times New Roman"/>
          <w:sz w:val="24"/>
        </w:rPr>
        <w:t>observations</w:t>
      </w:r>
      <w:r w:rsidRPr="00BC52AF">
        <w:rPr>
          <w:rFonts w:ascii="Times New Roman" w:eastAsia="Calibri" w:hAnsi="Times New Roman" w:cs="Times New Roman"/>
          <w:sz w:val="24"/>
        </w:rPr>
        <w:t xml:space="preserve"> outside of an established norm). In cases where a drug has fewer than 30 observations, it is flagged since there is not enough data to identify outliers.</w:t>
      </w:r>
    </w:p>
    <w:p w14:paraId="5A42391B" w14:textId="77777777" w:rsidR="00BC52AF" w:rsidRPr="00E90695" w:rsidRDefault="00BC52AF">
      <w:pPr>
        <w:rPr>
          <w:rFonts w:ascii="Times New Roman" w:hAnsi="Times New Roman" w:cs="Times New Roman"/>
          <w:sz w:val="24"/>
          <w:szCs w:val="24"/>
        </w:rPr>
      </w:pPr>
    </w:p>
    <w:p w14:paraId="78AB20A3" w14:textId="72E9FEB8" w:rsidR="00677B1E" w:rsidRPr="00BC57C6" w:rsidRDefault="00252711" w:rsidP="00252711">
      <w:pPr>
        <w:rPr>
          <w:rFonts w:ascii="Times New Roman" w:hAnsi="Times New Roman" w:cs="Times New Roman"/>
          <w:b/>
          <w:sz w:val="24"/>
          <w:szCs w:val="24"/>
        </w:rPr>
      </w:pPr>
      <w:r w:rsidRPr="00BC57C6">
        <w:rPr>
          <w:rFonts w:ascii="Times New Roman" w:hAnsi="Times New Roman" w:cs="Times New Roman"/>
          <w:sz w:val="24"/>
          <w:szCs w:val="24"/>
        </w:rPr>
        <w:t>CMS is obligated by the federal Privacy Act, 5 U.S.C. Section. 552a and the HIPAA Privacy Rule, 45 C.F.R Parts 160 and 164, to protect the privacy of individual beneficiaries and other persons</w:t>
      </w:r>
      <w:r>
        <w:rPr>
          <w:rFonts w:ascii="Times New Roman" w:hAnsi="Times New Roman" w:cs="Times New Roman"/>
          <w:sz w:val="24"/>
          <w:szCs w:val="24"/>
        </w:rPr>
        <w:t xml:space="preserve">. </w:t>
      </w:r>
      <w:r w:rsidRPr="00BC57C6">
        <w:rPr>
          <w:rFonts w:ascii="Times New Roman" w:hAnsi="Times New Roman" w:cs="Times New Roman"/>
          <w:sz w:val="24"/>
          <w:szCs w:val="24"/>
        </w:rPr>
        <w:t xml:space="preserve">All direct identifiers have been removed from this data file.  </w:t>
      </w:r>
    </w:p>
    <w:sectPr w:rsidR="00677B1E" w:rsidRPr="00BC5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64A19" w14:textId="77777777" w:rsidR="0091499D" w:rsidRDefault="0091499D" w:rsidP="00DE7B5A">
      <w:pPr>
        <w:spacing w:after="0" w:line="240" w:lineRule="auto"/>
      </w:pPr>
      <w:r>
        <w:separator/>
      </w:r>
    </w:p>
  </w:endnote>
  <w:endnote w:type="continuationSeparator" w:id="0">
    <w:p w14:paraId="747B8DE0" w14:textId="77777777" w:rsidR="0091499D" w:rsidRDefault="0091499D" w:rsidP="00DE7B5A">
      <w:pPr>
        <w:spacing w:after="0" w:line="240" w:lineRule="auto"/>
      </w:pPr>
      <w:r>
        <w:continuationSeparator/>
      </w:r>
    </w:p>
  </w:endnote>
  <w:endnote w:type="continuationNotice" w:id="1">
    <w:p w14:paraId="425850D4" w14:textId="77777777" w:rsidR="0091499D" w:rsidRDefault="009149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D5CAF" w14:textId="77777777" w:rsidR="0091499D" w:rsidRDefault="0091499D" w:rsidP="00DE7B5A">
      <w:pPr>
        <w:spacing w:after="0" w:line="240" w:lineRule="auto"/>
      </w:pPr>
      <w:r>
        <w:separator/>
      </w:r>
    </w:p>
  </w:footnote>
  <w:footnote w:type="continuationSeparator" w:id="0">
    <w:p w14:paraId="406891CE" w14:textId="77777777" w:rsidR="0091499D" w:rsidRDefault="0091499D" w:rsidP="00DE7B5A">
      <w:pPr>
        <w:spacing w:after="0" w:line="240" w:lineRule="auto"/>
      </w:pPr>
      <w:r>
        <w:continuationSeparator/>
      </w:r>
    </w:p>
  </w:footnote>
  <w:footnote w:type="continuationNotice" w:id="1">
    <w:p w14:paraId="6B2C1345" w14:textId="77777777" w:rsidR="0091499D" w:rsidRDefault="0091499D">
      <w:pPr>
        <w:spacing w:after="0" w:line="240" w:lineRule="auto"/>
      </w:pPr>
    </w:p>
  </w:footnote>
  <w:footnote w:id="2">
    <w:p w14:paraId="543836C6" w14:textId="5DD46147" w:rsidR="003F3794" w:rsidRDefault="003F3794" w:rsidP="003F3794">
      <w:pPr>
        <w:pStyle w:val="FootnoteText"/>
      </w:pPr>
      <w:r>
        <w:rPr>
          <w:rStyle w:val="FootnoteReference"/>
        </w:rPr>
        <w:footnoteRef/>
      </w:r>
      <w:r>
        <w:t xml:space="preserve"> </w:t>
      </w:r>
      <w:r w:rsidR="008644F1">
        <w:t xml:space="preserve">Medicare </w:t>
      </w:r>
      <w:r w:rsidRPr="00150602">
        <w:t xml:space="preserve">Part B drug </w:t>
      </w:r>
      <w:r w:rsidR="00B5242A">
        <w:t xml:space="preserve">pricing on the quarterly files </w:t>
      </w:r>
      <w:r w:rsidRPr="00150602">
        <w:t>may not be available for a variety of reasons; for example, because the drug that is described by the HCPCS code is no longer available, the HCPCS code has been updated</w:t>
      </w:r>
      <w:r w:rsidR="00E83EDC">
        <w:t xml:space="preserve"> or </w:t>
      </w:r>
      <w:r w:rsidRPr="00150602">
        <w:t xml:space="preserve">replaced, </w:t>
      </w:r>
      <w:r w:rsidR="00E83EDC">
        <w:t>etc</w:t>
      </w:r>
      <w:r w:rsidRPr="0015060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A67"/>
    <w:multiLevelType w:val="hybridMultilevel"/>
    <w:tmpl w:val="B2CCF048"/>
    <w:lvl w:ilvl="0" w:tplc="04090011">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25745"/>
    <w:multiLevelType w:val="hybridMultilevel"/>
    <w:tmpl w:val="F4F4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CCC"/>
    <w:multiLevelType w:val="hybridMultilevel"/>
    <w:tmpl w:val="45AE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711EF"/>
    <w:multiLevelType w:val="hybridMultilevel"/>
    <w:tmpl w:val="9AD20E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71897"/>
    <w:multiLevelType w:val="hybridMultilevel"/>
    <w:tmpl w:val="1BA03B8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92895"/>
    <w:multiLevelType w:val="hybridMultilevel"/>
    <w:tmpl w:val="9AD20ECC"/>
    <w:lvl w:ilvl="0" w:tplc="04090011">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F1FAC"/>
    <w:multiLevelType w:val="hybridMultilevel"/>
    <w:tmpl w:val="8D00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55CBF"/>
    <w:multiLevelType w:val="hybridMultilevel"/>
    <w:tmpl w:val="BA6403F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F1313F5"/>
    <w:multiLevelType w:val="hybridMultilevel"/>
    <w:tmpl w:val="9AD20E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E7B7D"/>
    <w:multiLevelType w:val="hybridMultilevel"/>
    <w:tmpl w:val="994E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B2300"/>
    <w:multiLevelType w:val="hybridMultilevel"/>
    <w:tmpl w:val="C420942C"/>
    <w:lvl w:ilvl="0" w:tplc="04090011">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CD4AA2"/>
    <w:multiLevelType w:val="hybridMultilevel"/>
    <w:tmpl w:val="6A2C9E3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1"/>
  </w:num>
  <w:num w:numId="5">
    <w:abstractNumId w:val="2"/>
  </w:num>
  <w:num w:numId="6">
    <w:abstractNumId w:val="5"/>
  </w:num>
  <w:num w:numId="7">
    <w:abstractNumId w:val="8"/>
  </w:num>
  <w:num w:numId="8">
    <w:abstractNumId w:val="3"/>
  </w:num>
  <w:num w:numId="9">
    <w:abstractNumId w:val="9"/>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418"/>
    <w:rsid w:val="000274E2"/>
    <w:rsid w:val="00042FA2"/>
    <w:rsid w:val="00044877"/>
    <w:rsid w:val="00051E2F"/>
    <w:rsid w:val="0007375C"/>
    <w:rsid w:val="000B78BD"/>
    <w:rsid w:val="000C7EF2"/>
    <w:rsid w:val="000E0F20"/>
    <w:rsid w:val="00150602"/>
    <w:rsid w:val="0015072C"/>
    <w:rsid w:val="001718AD"/>
    <w:rsid w:val="001964E1"/>
    <w:rsid w:val="001D0F82"/>
    <w:rsid w:val="00226CD4"/>
    <w:rsid w:val="00252711"/>
    <w:rsid w:val="002643BB"/>
    <w:rsid w:val="00271DBF"/>
    <w:rsid w:val="00274D3D"/>
    <w:rsid w:val="00275299"/>
    <w:rsid w:val="00275A9C"/>
    <w:rsid w:val="00277588"/>
    <w:rsid w:val="002C063D"/>
    <w:rsid w:val="002D68D4"/>
    <w:rsid w:val="002F4DFC"/>
    <w:rsid w:val="00306033"/>
    <w:rsid w:val="00314FF3"/>
    <w:rsid w:val="00324C10"/>
    <w:rsid w:val="00326B8B"/>
    <w:rsid w:val="00346425"/>
    <w:rsid w:val="003531DE"/>
    <w:rsid w:val="0038044D"/>
    <w:rsid w:val="00381293"/>
    <w:rsid w:val="00387AAC"/>
    <w:rsid w:val="003B3160"/>
    <w:rsid w:val="003B708F"/>
    <w:rsid w:val="003F3794"/>
    <w:rsid w:val="00433D6C"/>
    <w:rsid w:val="0044415C"/>
    <w:rsid w:val="0044696E"/>
    <w:rsid w:val="00453C59"/>
    <w:rsid w:val="00470AB2"/>
    <w:rsid w:val="0048514B"/>
    <w:rsid w:val="004A7129"/>
    <w:rsid w:val="004B0673"/>
    <w:rsid w:val="004B37C2"/>
    <w:rsid w:val="004C003A"/>
    <w:rsid w:val="004D1E26"/>
    <w:rsid w:val="004D3135"/>
    <w:rsid w:val="004D58D6"/>
    <w:rsid w:val="00564B13"/>
    <w:rsid w:val="00583E9C"/>
    <w:rsid w:val="00586CBB"/>
    <w:rsid w:val="005A397D"/>
    <w:rsid w:val="005B5546"/>
    <w:rsid w:val="005C5954"/>
    <w:rsid w:val="005C6362"/>
    <w:rsid w:val="005C6AF8"/>
    <w:rsid w:val="005F2B52"/>
    <w:rsid w:val="005F51AE"/>
    <w:rsid w:val="00613F22"/>
    <w:rsid w:val="00617468"/>
    <w:rsid w:val="00625D9A"/>
    <w:rsid w:val="00625E2A"/>
    <w:rsid w:val="006275A2"/>
    <w:rsid w:val="00652470"/>
    <w:rsid w:val="00652FC8"/>
    <w:rsid w:val="00653EF2"/>
    <w:rsid w:val="006548CE"/>
    <w:rsid w:val="00677B1E"/>
    <w:rsid w:val="00687501"/>
    <w:rsid w:val="006B08F2"/>
    <w:rsid w:val="00702DAF"/>
    <w:rsid w:val="007078E5"/>
    <w:rsid w:val="007127B1"/>
    <w:rsid w:val="00732D71"/>
    <w:rsid w:val="00741C71"/>
    <w:rsid w:val="00743418"/>
    <w:rsid w:val="00764703"/>
    <w:rsid w:val="00765AEC"/>
    <w:rsid w:val="00797EB8"/>
    <w:rsid w:val="007D412F"/>
    <w:rsid w:val="007E6C15"/>
    <w:rsid w:val="008445AB"/>
    <w:rsid w:val="00862840"/>
    <w:rsid w:val="008644F1"/>
    <w:rsid w:val="008676FC"/>
    <w:rsid w:val="0088520D"/>
    <w:rsid w:val="008864B3"/>
    <w:rsid w:val="009030D4"/>
    <w:rsid w:val="00904EBE"/>
    <w:rsid w:val="0091499D"/>
    <w:rsid w:val="009171D6"/>
    <w:rsid w:val="00976107"/>
    <w:rsid w:val="00985025"/>
    <w:rsid w:val="009A250E"/>
    <w:rsid w:val="009C2032"/>
    <w:rsid w:val="009C7787"/>
    <w:rsid w:val="009D003F"/>
    <w:rsid w:val="009F58B9"/>
    <w:rsid w:val="00A016ED"/>
    <w:rsid w:val="00A22D17"/>
    <w:rsid w:val="00A26A00"/>
    <w:rsid w:val="00A31BD3"/>
    <w:rsid w:val="00A5352A"/>
    <w:rsid w:val="00A825DB"/>
    <w:rsid w:val="00A87481"/>
    <w:rsid w:val="00AD02A7"/>
    <w:rsid w:val="00AD10F4"/>
    <w:rsid w:val="00AE1052"/>
    <w:rsid w:val="00B00CDA"/>
    <w:rsid w:val="00B11430"/>
    <w:rsid w:val="00B40F0B"/>
    <w:rsid w:val="00B5242A"/>
    <w:rsid w:val="00B54B5B"/>
    <w:rsid w:val="00B84923"/>
    <w:rsid w:val="00B87B9E"/>
    <w:rsid w:val="00B911BD"/>
    <w:rsid w:val="00B96123"/>
    <w:rsid w:val="00BA5999"/>
    <w:rsid w:val="00BC52AF"/>
    <w:rsid w:val="00BC57C6"/>
    <w:rsid w:val="00BE01E8"/>
    <w:rsid w:val="00C5599F"/>
    <w:rsid w:val="00C6107B"/>
    <w:rsid w:val="00CB6295"/>
    <w:rsid w:val="00CC0EDF"/>
    <w:rsid w:val="00CE0495"/>
    <w:rsid w:val="00CF3A80"/>
    <w:rsid w:val="00CF3B79"/>
    <w:rsid w:val="00CF4EFA"/>
    <w:rsid w:val="00D125EF"/>
    <w:rsid w:val="00D329FB"/>
    <w:rsid w:val="00D410BF"/>
    <w:rsid w:val="00D43209"/>
    <w:rsid w:val="00D63144"/>
    <w:rsid w:val="00D744E9"/>
    <w:rsid w:val="00DA1E3A"/>
    <w:rsid w:val="00DB21D6"/>
    <w:rsid w:val="00DE7B5A"/>
    <w:rsid w:val="00E13AA1"/>
    <w:rsid w:val="00E8086B"/>
    <w:rsid w:val="00E83EDC"/>
    <w:rsid w:val="00E86E94"/>
    <w:rsid w:val="00E90695"/>
    <w:rsid w:val="00EA5E12"/>
    <w:rsid w:val="00EC177A"/>
    <w:rsid w:val="00ED3602"/>
    <w:rsid w:val="00EE1D01"/>
    <w:rsid w:val="00EE34A5"/>
    <w:rsid w:val="00EE549B"/>
    <w:rsid w:val="00F26E3F"/>
    <w:rsid w:val="00F26EFF"/>
    <w:rsid w:val="00F31C52"/>
    <w:rsid w:val="00F66FC4"/>
    <w:rsid w:val="00F81933"/>
    <w:rsid w:val="00F85A2D"/>
    <w:rsid w:val="00F97514"/>
    <w:rsid w:val="00FA5302"/>
    <w:rsid w:val="00FD3B60"/>
    <w:rsid w:val="00FE1D72"/>
    <w:rsid w:val="00FE3075"/>
    <w:rsid w:val="00FF4B8A"/>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5219459A"/>
  <w15:docId w15:val="{57D77173-FD7B-4F46-9B6E-C0A26982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01"/>
    <w:pPr>
      <w:ind w:left="720"/>
      <w:contextualSpacing/>
    </w:pPr>
  </w:style>
  <w:style w:type="character" w:styleId="CommentReference">
    <w:name w:val="annotation reference"/>
    <w:basedOn w:val="DefaultParagraphFont"/>
    <w:uiPriority w:val="99"/>
    <w:semiHidden/>
    <w:unhideWhenUsed/>
    <w:rsid w:val="009A250E"/>
    <w:rPr>
      <w:sz w:val="16"/>
      <w:szCs w:val="16"/>
    </w:rPr>
  </w:style>
  <w:style w:type="paragraph" w:styleId="CommentText">
    <w:name w:val="annotation text"/>
    <w:basedOn w:val="Normal"/>
    <w:link w:val="CommentTextChar"/>
    <w:uiPriority w:val="99"/>
    <w:semiHidden/>
    <w:unhideWhenUsed/>
    <w:rsid w:val="009A250E"/>
    <w:pPr>
      <w:spacing w:line="240" w:lineRule="auto"/>
    </w:pPr>
    <w:rPr>
      <w:sz w:val="20"/>
      <w:szCs w:val="20"/>
    </w:rPr>
  </w:style>
  <w:style w:type="character" w:customStyle="1" w:styleId="CommentTextChar">
    <w:name w:val="Comment Text Char"/>
    <w:basedOn w:val="DefaultParagraphFont"/>
    <w:link w:val="CommentText"/>
    <w:uiPriority w:val="99"/>
    <w:semiHidden/>
    <w:rsid w:val="009A250E"/>
    <w:rPr>
      <w:sz w:val="20"/>
      <w:szCs w:val="20"/>
    </w:rPr>
  </w:style>
  <w:style w:type="paragraph" w:styleId="CommentSubject">
    <w:name w:val="annotation subject"/>
    <w:basedOn w:val="CommentText"/>
    <w:next w:val="CommentText"/>
    <w:link w:val="CommentSubjectChar"/>
    <w:uiPriority w:val="99"/>
    <w:semiHidden/>
    <w:unhideWhenUsed/>
    <w:rsid w:val="009A250E"/>
    <w:rPr>
      <w:b/>
      <w:bCs/>
    </w:rPr>
  </w:style>
  <w:style w:type="character" w:customStyle="1" w:styleId="CommentSubjectChar">
    <w:name w:val="Comment Subject Char"/>
    <w:basedOn w:val="CommentTextChar"/>
    <w:link w:val="CommentSubject"/>
    <w:uiPriority w:val="99"/>
    <w:semiHidden/>
    <w:rsid w:val="009A250E"/>
    <w:rPr>
      <w:b/>
      <w:bCs/>
      <w:sz w:val="20"/>
      <w:szCs w:val="20"/>
    </w:rPr>
  </w:style>
  <w:style w:type="paragraph" w:styleId="BalloonText">
    <w:name w:val="Balloon Text"/>
    <w:basedOn w:val="Normal"/>
    <w:link w:val="BalloonTextChar"/>
    <w:uiPriority w:val="99"/>
    <w:semiHidden/>
    <w:unhideWhenUsed/>
    <w:rsid w:val="009A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50E"/>
    <w:rPr>
      <w:rFonts w:ascii="Segoe UI" w:hAnsi="Segoe UI" w:cs="Segoe UI"/>
      <w:sz w:val="18"/>
      <w:szCs w:val="18"/>
    </w:rPr>
  </w:style>
  <w:style w:type="paragraph" w:styleId="Header">
    <w:name w:val="header"/>
    <w:basedOn w:val="Normal"/>
    <w:link w:val="HeaderChar"/>
    <w:uiPriority w:val="99"/>
    <w:unhideWhenUsed/>
    <w:rsid w:val="00DE7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B5A"/>
  </w:style>
  <w:style w:type="paragraph" w:styleId="Footer">
    <w:name w:val="footer"/>
    <w:basedOn w:val="Normal"/>
    <w:link w:val="FooterChar"/>
    <w:uiPriority w:val="99"/>
    <w:unhideWhenUsed/>
    <w:rsid w:val="00DE7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B5A"/>
  </w:style>
  <w:style w:type="paragraph" w:styleId="Revision">
    <w:name w:val="Revision"/>
    <w:hidden/>
    <w:uiPriority w:val="99"/>
    <w:semiHidden/>
    <w:rsid w:val="00E8086B"/>
    <w:pPr>
      <w:spacing w:after="0" w:line="240" w:lineRule="auto"/>
    </w:pPr>
  </w:style>
  <w:style w:type="paragraph" w:styleId="FootnoteText">
    <w:name w:val="footnote text"/>
    <w:basedOn w:val="Normal"/>
    <w:link w:val="FootnoteTextChar"/>
    <w:uiPriority w:val="99"/>
    <w:semiHidden/>
    <w:unhideWhenUsed/>
    <w:rsid w:val="001506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602"/>
    <w:rPr>
      <w:sz w:val="20"/>
      <w:szCs w:val="20"/>
    </w:rPr>
  </w:style>
  <w:style w:type="character" w:styleId="FootnoteReference">
    <w:name w:val="footnote reference"/>
    <w:basedOn w:val="DefaultParagraphFont"/>
    <w:uiPriority w:val="99"/>
    <w:semiHidden/>
    <w:unhideWhenUsed/>
    <w:rsid w:val="00150602"/>
    <w:rPr>
      <w:vertAlign w:val="superscript"/>
    </w:rPr>
  </w:style>
  <w:style w:type="character" w:styleId="Hyperlink">
    <w:name w:val="Hyperlink"/>
    <w:basedOn w:val="DefaultParagraphFont"/>
    <w:uiPriority w:val="99"/>
    <w:unhideWhenUsed/>
    <w:rsid w:val="00AD10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8632">
      <w:bodyDiv w:val="1"/>
      <w:marLeft w:val="0"/>
      <w:marRight w:val="0"/>
      <w:marTop w:val="0"/>
      <w:marBottom w:val="0"/>
      <w:divBdr>
        <w:top w:val="none" w:sz="0" w:space="0" w:color="auto"/>
        <w:left w:val="none" w:sz="0" w:space="0" w:color="auto"/>
        <w:bottom w:val="none" w:sz="0" w:space="0" w:color="auto"/>
        <w:right w:val="none" w:sz="0" w:space="0" w:color="auto"/>
      </w:divBdr>
    </w:div>
    <w:div w:id="763955749">
      <w:bodyDiv w:val="1"/>
      <w:marLeft w:val="0"/>
      <w:marRight w:val="0"/>
      <w:marTop w:val="0"/>
      <w:marBottom w:val="0"/>
      <w:divBdr>
        <w:top w:val="none" w:sz="0" w:space="0" w:color="auto"/>
        <w:left w:val="none" w:sz="0" w:space="0" w:color="auto"/>
        <w:bottom w:val="none" w:sz="0" w:space="0" w:color="auto"/>
        <w:right w:val="none" w:sz="0" w:space="0" w:color="auto"/>
      </w:divBdr>
    </w:div>
    <w:div w:id="1031228832">
      <w:bodyDiv w:val="1"/>
      <w:marLeft w:val="0"/>
      <w:marRight w:val="0"/>
      <w:marTop w:val="0"/>
      <w:marBottom w:val="0"/>
      <w:divBdr>
        <w:top w:val="none" w:sz="0" w:space="0" w:color="auto"/>
        <w:left w:val="none" w:sz="0" w:space="0" w:color="auto"/>
        <w:bottom w:val="none" w:sz="0" w:space="0" w:color="auto"/>
        <w:right w:val="none" w:sz="0" w:space="0" w:color="auto"/>
      </w:divBdr>
    </w:div>
    <w:div w:id="1163006056">
      <w:bodyDiv w:val="1"/>
      <w:marLeft w:val="0"/>
      <w:marRight w:val="0"/>
      <w:marTop w:val="0"/>
      <w:marBottom w:val="0"/>
      <w:divBdr>
        <w:top w:val="none" w:sz="0" w:space="0" w:color="auto"/>
        <w:left w:val="none" w:sz="0" w:space="0" w:color="auto"/>
        <w:bottom w:val="none" w:sz="0" w:space="0" w:color="auto"/>
        <w:right w:val="none" w:sz="0" w:space="0" w:color="auto"/>
      </w:divBdr>
    </w:div>
    <w:div w:id="1681275193">
      <w:bodyDiv w:val="1"/>
      <w:marLeft w:val="0"/>
      <w:marRight w:val="0"/>
      <w:marTop w:val="0"/>
      <w:marBottom w:val="0"/>
      <w:divBdr>
        <w:top w:val="none" w:sz="0" w:space="0" w:color="auto"/>
        <w:left w:val="none" w:sz="0" w:space="0" w:color="auto"/>
        <w:bottom w:val="none" w:sz="0" w:space="0" w:color="auto"/>
        <w:right w:val="none" w:sz="0" w:space="0" w:color="auto"/>
      </w:divBdr>
    </w:div>
    <w:div w:id="18016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45335-FA86-4B11-9008-2C9919C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Lochner</dc:creator>
  <cp:keywords/>
  <dc:description/>
  <cp:lastModifiedBy>STEPHANIE BARTEE</cp:lastModifiedBy>
  <cp:revision>6</cp:revision>
  <dcterms:created xsi:type="dcterms:W3CDTF">2021-06-10T12:58:00Z</dcterms:created>
  <dcterms:modified xsi:type="dcterms:W3CDTF">2021-06-14T11:56:00Z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60060537</vt:i4>
  </property>
  <property fmtid="{D5CDD505-2E9C-101B-9397-08002B2CF9AE}" pid="3" name="_NewReviewCycle">
    <vt:lpwstr/>
  </property>
  <property fmtid="{D5CDD505-2E9C-101B-9397-08002B2CF9AE}" pid="4" name="_EmailSubject">
    <vt:lpwstr>Part B drug pricing file</vt:lpwstr>
  </property>
  <property fmtid="{D5CDD505-2E9C-101B-9397-08002B2CF9AE}" pid="5" name="_AuthorEmail">
    <vt:lpwstr>Edmund.Kasaitis@cms.hhs.gov</vt:lpwstr>
  </property>
  <property fmtid="{D5CDD505-2E9C-101B-9397-08002B2CF9AE}" pid="6" name="_AuthorEmailDisplayName">
    <vt:lpwstr>Kasaitis, Edmund E. (CMS/CM)</vt:lpwstr>
  </property>
  <property fmtid="{D5CDD505-2E9C-101B-9397-08002B2CF9AE}" pid="7" name="_PreviousAdHocReviewCycleID">
    <vt:i4>645592152</vt:i4>
  </property>
  <property fmtid="{D5CDD505-2E9C-101B-9397-08002B2CF9AE}" pid="8" name="_ReviewingToolsShownOnce">
    <vt:lpwstr/>
  </property>
</Properties>
</file>