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根据大的商会查询下面的商户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增加商会,增删改查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增加商会下面的商户,增删改查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对商户的属性进行修改,属性包括 所属商会,固定6位id,是否缴纳汇款,是否充值成功,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安全保证:限制IP登录系统,SQL备份,邮件发送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修改记录,记录每一次修改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79085">
    <w:nsid w:val="56C3E66D"/>
    <w:multiLevelType w:val="singleLevel"/>
    <w:tmpl w:val="56C3E66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56790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22755"/>
    <w:rsid w:val="7AE14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2016-02-17T03:20:29Z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