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spacing w:after="120" w:before="400" w:line="240" w:lineRule="auto"/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40"/>
          <w:szCs w:val="40"/>
          <w:rtl w:val="0"/>
        </w:rPr>
        <w:t xml:space="preserve">Universidade Federal do ABC</w:t>
      </w:r>
    </w:p>
    <w:p w:rsidR="00000000" w:rsidDel="00000000" w:rsidP="00000000" w:rsidRDefault="00000000" w:rsidRPr="00000000">
      <w:pPr>
        <w:spacing w:after="120" w:before="400" w:line="240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20" w:before="400" w:line="240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0"/>
          <w:szCs w:val="40"/>
          <w:rtl w:val="0"/>
        </w:rPr>
        <w:t xml:space="preserve">Bacharelado em Ciência da Computação  </w:t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0"/>
          <w:szCs w:val="40"/>
          <w:rtl w:val="0"/>
        </w:rPr>
        <w:t xml:space="preserve">Banco de Dados (MC 3310)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</w:r>
    </w:p>
    <w:p w:rsidR="00000000" w:rsidDel="00000000" w:rsidP="00000000" w:rsidRDefault="00000000" w:rsidRPr="00000000">
      <w:pPr>
        <w:spacing w:after="24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PoGym -  ferramenta auxiliar para batalhas no jogo “Pokémon Go”</w:t>
      </w:r>
    </w:p>
    <w:p w:rsidR="00000000" w:rsidDel="00000000" w:rsidP="00000000" w:rsidRDefault="00000000" w:rsidRPr="00000000">
      <w:pPr>
        <w:spacing w:after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</w:r>
    </w:p>
    <w:p w:rsidR="00000000" w:rsidDel="00000000" w:rsidP="00000000" w:rsidRDefault="00000000" w:rsidRPr="00000000">
      <w:pPr>
        <w:spacing w:after="24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0" w:line="240" w:lineRule="auto"/>
        <w:ind w:left="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4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Felipe Rigo Yoshimura</w:t>
        <w:tab/>
        <w:tab/>
        <w:tab/>
        <w:t xml:space="preserve">RA:11032811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Lenin Cristi</w:t>
        <w:tab/>
        <w:tab/>
        <w:tab/>
        <w:tab/>
        <w:tab/>
        <w:t xml:space="preserve">RA: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21030114</w:t>
      </w:r>
    </w:p>
    <w:p w:rsidR="00000000" w:rsidDel="00000000" w:rsidP="00000000" w:rsidRDefault="00000000" w:rsidRPr="00000000">
      <w:pPr>
        <w:spacing w:after="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Victor Fernandes</w:t>
        <w:tab/>
        <w:tab/>
        <w:tab/>
        <w:tab/>
        <w:t xml:space="preserve">RA: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11043616</w:t>
      </w:r>
    </w:p>
    <w:p w:rsidR="00000000" w:rsidDel="00000000" w:rsidP="00000000" w:rsidRDefault="00000000" w:rsidRPr="00000000">
      <w:pPr>
        <w:spacing w:after="240"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center"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30/11/2016</w:t>
      </w:r>
    </w:p>
    <w:p w:rsidR="00000000" w:rsidDel="00000000" w:rsidP="00000000" w:rsidRDefault="00000000" w:rsidRPr="00000000">
      <w:pPr>
        <w:numPr>
          <w:ilvl w:val="0"/>
          <w:numId w:val="4"/>
        </w:numPr>
        <w:spacing w:after="160" w:before="0" w:line="259" w:lineRule="auto"/>
        <w:ind w:left="720" w:hanging="360"/>
        <w:contextualSpacing w:val="1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Objetivo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vigente projeto tem como objetivo a criação de um banco de dados que contenha informações sobre o jogo “Pokémon GO”, onde será possível fazer variadas consultas para auxiliar o usuário a tomar decisões estratégicas dentro do jogo, entre os objetivos principais estão: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Permitir consultar a listagem de pokemons e seus respectivos ataques para inserção na ferramenta;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Dado o número do pokemon e seus dois ataques, retornar dados sobre os mesmos;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Permitir gerar as tabelas de multiplicadores de vantagem/desvantagem por tipo dados quaisquer dois tipos de um defensor;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spacing w:after="160" w:before="0" w:line="259" w:lineRule="auto"/>
        <w:ind w:left="720" w:hanging="360"/>
        <w:contextualSpacing w:val="1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Modelo Conceitual Ajustado / DER ajustado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Como pode ser observado nas figuras 1 e 2, foram realizadas alterações no modelo conceitual do projeto</w:t>
      </w:r>
    </w:p>
    <w:p w:rsidR="00000000" w:rsidDel="00000000" w:rsidP="00000000" w:rsidRDefault="00000000" w:rsidRPr="00000000">
      <w:pPr>
        <w:spacing w:after="0" w:before="120" w:line="360" w:lineRule="auto"/>
        <w:ind w:hanging="555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6429183" cy="3581717"/>
            <wp:effectExtent b="0" l="0" r="0" t="0"/>
            <wp:docPr descr="Diagrama.jpg" id="37" name="image74.jpg"/>
            <a:graphic>
              <a:graphicData uri="http://schemas.openxmlformats.org/drawingml/2006/picture">
                <pic:pic>
                  <pic:nvPicPr>
                    <pic:cNvPr descr="Diagrama.jpg" id="0" name="image74.jpg"/>
                    <pic:cNvPicPr preferRelativeResize="0"/>
                  </pic:nvPicPr>
                  <pic:blipFill>
                    <a:blip r:embed="rId5"/>
                    <a:srcRect b="0" l="180" r="17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9183" cy="35817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120" w:line="360" w:lineRule="auto"/>
        <w:ind w:hanging="555"/>
        <w:contextualSpacing w:val="0"/>
        <w:jc w:val="center"/>
      </w:pPr>
      <w:r w:rsidDel="00000000" w:rsidR="00000000" w:rsidRPr="00000000">
        <w:rPr>
          <w:rFonts w:ascii="Arial" w:cs="Arial" w:eastAsia="Arial" w:hAnsi="Arial"/>
          <w:rtl w:val="0"/>
        </w:rPr>
        <w:t xml:space="preserve">Figura 1: Diagrama original</w:t>
      </w:r>
    </w:p>
    <w:p w:rsidR="00000000" w:rsidDel="00000000" w:rsidP="00000000" w:rsidRDefault="00000000" w:rsidRPr="00000000">
      <w:pPr>
        <w:spacing w:after="0" w:before="120" w:line="360" w:lineRule="auto"/>
        <w:ind w:hanging="555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6601778" cy="4378431"/>
            <wp:effectExtent b="0" l="0" r="0" t="0"/>
            <wp:docPr descr="Diagram-v11.jpg" id="24" name="image60.jpg"/>
            <a:graphic>
              <a:graphicData uri="http://schemas.openxmlformats.org/drawingml/2006/picture">
                <pic:pic>
                  <pic:nvPicPr>
                    <pic:cNvPr descr="Diagram-v11.jpg" id="0" name="image60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1778" cy="43784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120" w:line="360" w:lineRule="auto"/>
        <w:ind w:hanging="555"/>
        <w:contextualSpacing w:val="0"/>
        <w:jc w:val="center"/>
      </w:pPr>
      <w:r w:rsidDel="00000000" w:rsidR="00000000" w:rsidRPr="00000000">
        <w:rPr>
          <w:rFonts w:ascii="Arial" w:cs="Arial" w:eastAsia="Arial" w:hAnsi="Arial"/>
          <w:rtl w:val="0"/>
        </w:rPr>
        <w:t xml:space="preserve">Figura 2: Diagrama alterado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spacing w:after="0" w:before="0" w:line="259" w:lineRule="auto"/>
        <w:ind w:left="720" w:hanging="360"/>
        <w:contextualSpacing w:val="1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Modelo Relacional</w:t>
      </w:r>
    </w:p>
    <w:p w:rsidR="00000000" w:rsidDel="00000000" w:rsidP="00000000" w:rsidRDefault="00000000" w:rsidRPr="00000000">
      <w:pPr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59" w:lineRule="auto"/>
        <w:ind w:left="0" w:firstLine="0"/>
        <w:contextualSpacing w:val="0"/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0"/>
        </w:rPr>
        <w:t xml:space="preserve">A partir do DER p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ô</w:t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0"/>
        </w:rPr>
        <w:t xml:space="preserve">de-se construir o modelo relacional mostrado abaixo:</w:t>
      </w:r>
    </w:p>
    <w:p w:rsidR="00000000" w:rsidDel="00000000" w:rsidP="00000000" w:rsidRDefault="00000000" w:rsidRPr="00000000">
      <w:pPr>
        <w:spacing w:after="0" w:before="0" w:line="259" w:lineRule="auto"/>
        <w:ind w:left="0" w:firstLine="0"/>
        <w:contextualSpacing w:val="0"/>
      </w:pPr>
      <w:r w:rsidDel="00000000" w:rsidR="00000000" w:rsidRPr="00000000">
        <w:drawing>
          <wp:inline distB="114300" distT="114300" distL="114300" distR="114300">
            <wp:extent cx="6241112" cy="4753293"/>
            <wp:effectExtent b="0" l="0" r="0" t="0"/>
            <wp:docPr descr="mer.png" id="26" name="image63.png"/>
            <a:graphic>
              <a:graphicData uri="http://schemas.openxmlformats.org/drawingml/2006/picture">
                <pic:pic>
                  <pic:nvPicPr>
                    <pic:cNvPr descr="mer.png" id="0" name="image6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1112" cy="47532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59" w:lineRule="auto"/>
        <w:ind w:left="0" w:firstLine="0"/>
        <w:contextualSpacing w:val="0"/>
        <w:jc w:val="center"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Figura 3: Modelo ER</w:t>
      </w:r>
    </w:p>
    <w:p w:rsidR="00000000" w:rsidDel="00000000" w:rsidP="00000000" w:rsidRDefault="00000000" w:rsidRPr="00000000">
      <w:pPr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spacing w:after="0" w:before="0" w:line="259" w:lineRule="auto"/>
        <w:ind w:left="720" w:hanging="360"/>
        <w:contextualSpacing w:val="1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Normalização</w:t>
      </w:r>
    </w:p>
    <w:p w:rsidR="00000000" w:rsidDel="00000000" w:rsidP="00000000" w:rsidRDefault="00000000" w:rsidRPr="00000000">
      <w:pPr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59" w:lineRule="auto"/>
        <w:ind w:left="0" w:firstLine="0"/>
        <w:contextualSpacing w:val="0"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revisão do desenho do DER permitiu eliminar boa parte do trabalho de normalização, vários passos como a verificação de dependência funcional com relação às chaves primárias foram adiantados, mas pode se fazer duas observações como exemplos de destaque na aplicação de regras de normalização:</w:t>
      </w:r>
    </w:p>
    <w:p w:rsidR="00000000" w:rsidDel="00000000" w:rsidP="00000000" w:rsidRDefault="00000000" w:rsidRPr="00000000">
      <w:pPr>
        <w:spacing w:after="0" w:before="0" w:line="259" w:lineRule="auto"/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before="0" w:line="259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tabela “Ataque” possuía um atributo chamado “Tipo de ataque” que poderia assumir dois valores: “Ataque rápido” ou “Ataque carregado” no primeiro diagrama. No segundo, esse campo foi removido para uma entidade separada “Tipo de ataque”;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before="0" w:line="259" w:lineRule="auto"/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tabela “Ataque” possuía atributos utilizados somente em ataques rápidos, atributos utilizados somente em ataques carregados e atributos utilizados nos dois casos, um caso de uso da especialização, que gerou duas subclasses “Ataque rápido” e “Ataque carregado”;</w:t>
      </w:r>
    </w:p>
    <w:p w:rsidR="00000000" w:rsidDel="00000000" w:rsidP="00000000" w:rsidRDefault="00000000" w:rsidRPr="00000000">
      <w:pPr>
        <w:spacing w:after="0" w:before="0" w:line="259" w:lineRule="auto"/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spacing w:after="0" w:before="0" w:line="259" w:lineRule="auto"/>
        <w:ind w:left="720" w:hanging="360"/>
        <w:contextualSpacing w:val="1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Modelo Físico</w:t>
      </w:r>
    </w:p>
    <w:p w:rsidR="00000000" w:rsidDel="00000000" w:rsidP="00000000" w:rsidRDefault="00000000" w:rsidRPr="00000000">
      <w:pPr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0"/>
        </w:rPr>
        <w:t xml:space="preserve">Para a implementação do modelo físico utilizou-se o SGBD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SQL Server, mas também foram gerados na pasta do projeto scripts adaptados para a criação das relações e carga de dados do banco em MySQL, exceto as duas procedures (sp_battle e sp_stab) e a função (fn_stab) utilizadas no projeto.</w:t>
      </w:r>
    </w:p>
    <w:p w:rsidR="00000000" w:rsidDel="00000000" w:rsidP="00000000" w:rsidRDefault="00000000" w:rsidRPr="00000000">
      <w:pPr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Considerações importantes nos scripts SQL Server e MySQL: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0" w:before="0" w:line="259" w:lineRule="auto"/>
        <w:ind w:left="144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MySQL chama o banco de “schema”, no SQL Server essa nomenclatura é um objeto utilizado para organizar objetos dentro do banco. Isso fez necessário remover os nomes de “schema” do script para utilização no MySQL;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0" w:before="0" w:line="259" w:lineRule="auto"/>
        <w:ind w:left="144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MySQL pela questão do “schema” não utiliza chaves “[,]” para delimitar objetos;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0" w:before="0" w:line="259" w:lineRule="auto"/>
        <w:ind w:left="144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Os campos calculados têm criação pouco diferente:</w:t>
      </w:r>
    </w:p>
    <w:p w:rsidR="00000000" w:rsidDel="00000000" w:rsidP="00000000" w:rsidRDefault="00000000" w:rsidRPr="00000000">
      <w:pPr>
        <w:numPr>
          <w:ilvl w:val="1"/>
          <w:numId w:val="2"/>
        </w:numPr>
        <w:spacing w:after="0" w:before="0" w:line="259" w:lineRule="auto"/>
        <w:ind w:left="216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SQL Server</w:t>
      </w:r>
      <w:r w:rsidDel="00000000" w:rsidR="00000000" w:rsidRPr="00000000">
        <w:drawing>
          <wp:inline distB="114300" distT="114300" distL="114300" distR="114300">
            <wp:extent cx="4715828" cy="232880"/>
            <wp:effectExtent b="0" l="0" r="0" t="0"/>
            <wp:docPr id="18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5828" cy="23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2"/>
        </w:numPr>
        <w:spacing w:after="0" w:before="0" w:line="259" w:lineRule="auto"/>
        <w:ind w:left="216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MySQL </w:t>
      </w:r>
      <w:r w:rsidDel="00000000" w:rsidR="00000000" w:rsidRPr="00000000">
        <w:drawing>
          <wp:inline distB="114300" distT="114300" distL="114300" distR="114300">
            <wp:extent cx="4811078" cy="203643"/>
            <wp:effectExtent b="0" l="0" r="0" t="0"/>
            <wp:docPr id="23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1078" cy="2036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(Essa construção para o MySQL só funciona a partir da versão de banco 5.7)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0" w:before="0" w:line="259" w:lineRule="auto"/>
        <w:ind w:left="144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Os tipos de campos não mostraram problemas e foram reconhecidos nas duas plataformas;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0" w:before="0" w:line="259" w:lineRule="auto"/>
        <w:ind w:left="144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As diferenças na criação de chaves e relações também foram mínimas:</w:t>
      </w:r>
    </w:p>
    <w:p w:rsidR="00000000" w:rsidDel="00000000" w:rsidP="00000000" w:rsidRDefault="00000000" w:rsidRPr="00000000">
      <w:pPr>
        <w:numPr>
          <w:ilvl w:val="1"/>
          <w:numId w:val="2"/>
        </w:numPr>
        <w:spacing w:after="0" w:before="0" w:line="259" w:lineRule="auto"/>
        <w:ind w:left="216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Relação “Ataques” no MySQL </w:t>
      </w:r>
      <w:r w:rsidDel="00000000" w:rsidR="00000000" w:rsidRPr="00000000">
        <w:drawing>
          <wp:inline distB="114300" distT="114300" distL="114300" distR="114300">
            <wp:extent cx="4736207" cy="2514282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6207" cy="25142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2"/>
          <w:numId w:val="2"/>
        </w:numPr>
        <w:spacing w:after="0" w:before="0" w:line="259" w:lineRule="auto"/>
        <w:ind w:left="288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Sua Chave estrangeira com a relação “Ataques tipos” </w:t>
      </w:r>
      <w:r w:rsidDel="00000000" w:rsidR="00000000" w:rsidRPr="00000000">
        <w:drawing>
          <wp:inline distB="114300" distT="114300" distL="114300" distR="114300">
            <wp:extent cx="4480242" cy="304482"/>
            <wp:effectExtent b="0" l="0" r="0" t="0"/>
            <wp:docPr id="19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0242" cy="3044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2"/>
        </w:numPr>
        <w:spacing w:after="0" w:before="0" w:line="259" w:lineRule="auto"/>
        <w:ind w:left="216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Relação “Ataques” no SQL Server </w:t>
      </w:r>
      <w:r w:rsidDel="00000000" w:rsidR="00000000" w:rsidRPr="00000000">
        <w:drawing>
          <wp:inline distB="114300" distT="114300" distL="114300" distR="114300">
            <wp:extent cx="4617227" cy="2971482"/>
            <wp:effectExtent b="0" l="0" r="0" t="0"/>
            <wp:docPr id="1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7227" cy="29714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2"/>
          <w:numId w:val="2"/>
        </w:numPr>
        <w:spacing w:after="0" w:before="0" w:line="259" w:lineRule="auto"/>
        <w:ind w:left="288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Sua Chave estrangeira com a relação “Ataques tipos” </w:t>
      </w:r>
      <w:r w:rsidDel="00000000" w:rsidR="00000000" w:rsidRPr="00000000">
        <w:drawing>
          <wp:inline distB="114300" distT="114300" distL="114300" distR="114300">
            <wp:extent cx="4429125" cy="257493"/>
            <wp:effectExtent b="0" l="0" r="0" t="0"/>
            <wp:docPr id="29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574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0" w:before="0" w:line="259" w:lineRule="auto"/>
        <w:ind w:left="144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Foi no SQL Server implementado o “disjoint” entre as tabelas “Ataques rápidos” e “Ataques carregados” com trigger, existia a possibilidade de utilizar o campo chave de “Ataques” junto ao campo chave de “Ataques tipos” como chave composta na relação e adicionar uma restrição no segundo, mas optamos por economizar um atributo nas subclasses e implementar via trigger que checa a existência da chave de “Ataques” na outra relação do disjoint:</w:t>
      </w:r>
    </w:p>
    <w:p w:rsidR="00000000" w:rsidDel="00000000" w:rsidP="00000000" w:rsidRDefault="00000000" w:rsidRPr="00000000">
      <w:pPr>
        <w:numPr>
          <w:ilvl w:val="1"/>
          <w:numId w:val="2"/>
        </w:numPr>
        <w:spacing w:after="0" w:before="0" w:line="259" w:lineRule="auto"/>
        <w:ind w:left="216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Modelo do disjoint</w:t>
        <w:br w:type="textWrapping"/>
        <w:t xml:space="preserve"> </w:t>
      </w:r>
      <w:r w:rsidDel="00000000" w:rsidR="00000000" w:rsidRPr="00000000">
        <w:drawing>
          <wp:inline distB="114300" distT="114300" distL="114300" distR="114300">
            <wp:extent cx="2292310" cy="2661687"/>
            <wp:effectExtent b="0" l="0" r="0" t="0"/>
            <wp:docPr id="31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2310" cy="26616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2"/>
        </w:numPr>
        <w:spacing w:after="0" w:before="0" w:line="259" w:lineRule="auto"/>
        <w:ind w:left="216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Trigger na tabela “Ataque rápido”</w:t>
      </w:r>
      <w:r w:rsidDel="00000000" w:rsidR="00000000" w:rsidRPr="00000000">
        <w:drawing>
          <wp:inline distB="114300" distT="114300" distL="114300" distR="114300">
            <wp:extent cx="4944428" cy="2276006"/>
            <wp:effectExtent b="0" l="0" r="0" t="0"/>
            <wp:docPr id="1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4428" cy="22760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2"/>
        </w:numPr>
        <w:spacing w:after="0" w:before="0" w:line="259" w:lineRule="auto"/>
        <w:ind w:left="216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trigger na tabela “Ataque carregado” é idêntico, mas invertem-se as tabelas na lógica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0" w:before="0" w:line="259" w:lineRule="auto"/>
        <w:ind w:left="144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consulta de batalha agrega os multiplicadores, mas como não tínhamos esta função para uso na linguagem SQL implementada nos bancos, tivemos de utilizar uma construção (EXP+SUM+LOG) para agregar os multiplicadores multiplicando-os </w:t>
      </w:r>
      <w:r w:rsidDel="00000000" w:rsidR="00000000" w:rsidRPr="00000000">
        <w:drawing>
          <wp:inline distB="114300" distT="114300" distL="114300" distR="114300">
            <wp:extent cx="5399730" cy="1066800"/>
            <wp:effectExtent b="0" l="0" r="0" t="0"/>
            <wp:docPr id="27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Esta construção funciona em ambas as plataformas</w:t>
      </w:r>
    </w:p>
    <w:p w:rsidR="00000000" w:rsidDel="00000000" w:rsidP="00000000" w:rsidRDefault="00000000" w:rsidRPr="00000000">
      <w:pPr>
        <w:spacing w:after="0" w:before="0" w:line="259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spacing w:after="0" w:before="0" w:line="259" w:lineRule="auto"/>
        <w:ind w:left="720" w:hanging="360"/>
        <w:contextualSpacing w:val="1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Consultas</w:t>
      </w:r>
    </w:p>
    <w:p w:rsidR="00000000" w:rsidDel="00000000" w:rsidP="00000000" w:rsidRDefault="00000000" w:rsidRPr="00000000">
      <w:pPr>
        <w:numPr>
          <w:ilvl w:val="1"/>
          <w:numId w:val="4"/>
        </w:numPr>
        <w:spacing w:after="0" w:before="0" w:line="259" w:lineRule="auto"/>
        <w:ind w:left="1440" w:hanging="360"/>
        <w:contextualSpacing w:val="1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Select simples para listagem de tipos por sua ordem natural no jogo</w:t>
        <w:br w:type="textWrapping"/>
      </w:r>
      <w:r w:rsidDel="00000000" w:rsidR="00000000" w:rsidRPr="00000000">
        <w:drawing>
          <wp:inline distB="114300" distT="114300" distL="114300" distR="114300">
            <wp:extent cx="4089665" cy="837882"/>
            <wp:effectExtent b="0" l="0" r="0" t="0"/>
            <wp:docPr id="1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9665" cy="8378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  </w:t>
      </w:r>
      <w:r w:rsidDel="00000000" w:rsidR="00000000" w:rsidRPr="00000000">
        <w:drawing>
          <wp:inline distB="114300" distT="114300" distL="114300" distR="114300">
            <wp:extent cx="1258253" cy="2721337"/>
            <wp:effectExtent b="0" l="0" r="0" t="0"/>
            <wp:docPr id="1" name="image02.png"/>
            <a:graphic>
              <a:graphicData uri="http://schemas.openxmlformats.org/drawingml/2006/picture">
                <pic:pic>
                  <pic:nvPicPr>
                    <pic:cNvPr id="0" name="image0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8253" cy="27213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4"/>
        </w:numPr>
        <w:spacing w:after="0" w:before="0" w:line="259" w:lineRule="auto"/>
        <w:ind w:left="1440" w:hanging="360"/>
        <w:contextualSpacing w:val="1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Selects que listam o(s) tipo(s) e ficha de um dado pokemon  </w:t>
      </w:r>
      <w:r w:rsidDel="00000000" w:rsidR="00000000" w:rsidRPr="00000000">
        <w:drawing>
          <wp:inline distB="114300" distT="114300" distL="114300" distR="114300">
            <wp:extent cx="5399730" cy="1409700"/>
            <wp:effectExtent b="0" l="0" r="0" t="0"/>
            <wp:docPr id="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3189399" cy="1580833"/>
            <wp:effectExtent b="0" l="0" r="0" t="0"/>
            <wp:docPr id="30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9399" cy="15808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4"/>
        </w:numPr>
        <w:spacing w:after="0" w:before="0" w:line="259" w:lineRule="auto"/>
        <w:ind w:left="1440" w:hanging="360"/>
        <w:contextualSpacing w:val="1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Select que mostra a relação da tabela tipos  pra ela própria com o atributo de relação denominado 'multiplicador'</w:t>
      </w:r>
      <w:r w:rsidDel="00000000" w:rsidR="00000000" w:rsidRPr="00000000">
        <w:drawing>
          <wp:inline distB="114300" distT="114300" distL="114300" distR="114300">
            <wp:extent cx="5399730" cy="1054100"/>
            <wp:effectExtent b="0" l="0" r="0" t="0"/>
            <wp:docPr id="16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2966069" cy="4171633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6069" cy="41716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4"/>
        </w:numPr>
        <w:spacing w:after="0" w:before="0" w:line="259" w:lineRule="auto"/>
        <w:ind w:left="1440" w:hanging="360"/>
        <w:contextualSpacing w:val="1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Selects que listam o(s) tipo(s) e ataques possíveis de um dado pokemon</w:t>
      </w:r>
      <w:r w:rsidDel="00000000" w:rsidR="00000000" w:rsidRPr="00000000">
        <w:drawing>
          <wp:inline distB="114300" distT="114300" distL="114300" distR="114300">
            <wp:extent cx="5399730" cy="3949700"/>
            <wp:effectExtent b="0" l="0" r="0" t="0"/>
            <wp:docPr descr="select.jpg" id="22" name="image58.jpg"/>
            <a:graphic>
              <a:graphicData uri="http://schemas.openxmlformats.org/drawingml/2006/picture">
                <pic:pic>
                  <pic:nvPicPr>
                    <pic:cNvPr descr="select.jpg" id="0" name="image58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5210388" cy="2095183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388" cy="20951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4"/>
        </w:numPr>
        <w:spacing w:after="0" w:before="0" w:line="259" w:lineRule="auto"/>
        <w:ind w:left="1440" w:hanging="360"/>
        <w:contextualSpacing w:val="1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Select que combina os dois tipos de um pokemon SE DEFENDENDO e gera a tabela de multiplicadores (tabela do site gamepress)</w:t>
      </w:r>
      <w:r w:rsidDel="00000000" w:rsidR="00000000" w:rsidRPr="00000000">
        <w:drawing>
          <wp:inline distB="114300" distT="114300" distL="114300" distR="114300">
            <wp:extent cx="5399730" cy="1422400"/>
            <wp:effectExtent b="0" l="0" r="0" t="0"/>
            <wp:docPr id="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1977161" cy="2609533"/>
            <wp:effectExtent b="0" l="0" r="0" t="0"/>
            <wp:docPr id="21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7161" cy="26095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4"/>
        </w:numPr>
        <w:spacing w:after="0" w:before="0" w:line="259" w:lineRule="auto"/>
        <w:ind w:left="1440" w:hanging="360"/>
        <w:contextualSpacing w:val="1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Select que combina os dois tipos de um pokemon ATACANDO e gera a tabela de multiplicadores </w:t>
      </w:r>
      <w:r w:rsidDel="00000000" w:rsidR="00000000" w:rsidRPr="00000000">
        <w:drawing>
          <wp:inline distB="114300" distT="114300" distL="114300" distR="114300">
            <wp:extent cx="5399730" cy="1435100"/>
            <wp:effectExtent b="0" l="0" r="0" t="0"/>
            <wp:docPr id="32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1962970" cy="2209483"/>
            <wp:effectExtent b="0" l="0" r="0" t="0"/>
            <wp:docPr id="1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2970" cy="22094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4"/>
        </w:numPr>
        <w:spacing w:after="0" w:before="0" w:line="259" w:lineRule="auto"/>
        <w:ind w:left="1440" w:hanging="360"/>
        <w:contextualSpacing w:val="1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Selects que listam a tabela de ataques e UMA de suas disjuntas com registros ordenados do maior ao menor dano</w:t>
      </w:r>
      <w:r w:rsidDel="00000000" w:rsidR="00000000" w:rsidRPr="00000000">
        <w:drawing>
          <wp:inline distB="114300" distT="114300" distL="114300" distR="114300">
            <wp:extent cx="5399730" cy="647700"/>
            <wp:effectExtent b="0" l="0" r="0" t="0"/>
            <wp:docPr id="1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3448352" cy="3504883"/>
            <wp:effectExtent b="0" l="0" r="0" t="0"/>
            <wp:docPr id="36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8352" cy="35048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5399730" cy="914400"/>
            <wp:effectExtent b="0" l="0" r="0" t="0"/>
            <wp:docPr id="1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4353878" cy="3203073"/>
            <wp:effectExtent b="0" l="0" r="0" t="0"/>
            <wp:docPr id="20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3878" cy="32030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4"/>
        </w:numPr>
        <w:spacing w:after="0" w:before="0" w:line="259" w:lineRule="auto"/>
        <w:ind w:left="1440" w:hanging="360"/>
        <w:contextualSpacing w:val="1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Select que lista a tabela de ataques JUNTO a suas disjuntas com registros ordenados por nome </w:t>
      </w:r>
      <w:r w:rsidDel="00000000" w:rsidR="00000000" w:rsidRPr="00000000">
        <w:drawing>
          <wp:inline distB="114300" distT="114300" distL="114300" distR="114300">
            <wp:extent cx="5399730" cy="1003300"/>
            <wp:effectExtent b="0" l="0" r="0" t="0"/>
            <wp:docPr id="34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5097270" cy="4485958"/>
            <wp:effectExtent b="0" l="0" r="0" t="0"/>
            <wp:docPr id="33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7270" cy="44859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4"/>
        </w:numPr>
        <w:spacing w:after="0" w:before="0" w:line="259" w:lineRule="auto"/>
        <w:ind w:left="1440" w:hanging="360"/>
        <w:contextualSpacing w:val="1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Inserção de registro de ataque nas tabelas attacks_quick e attacks_charge para demostrar o disjoint entre elas</w:t>
      </w:r>
      <w:r w:rsidDel="00000000" w:rsidR="00000000" w:rsidRPr="00000000">
        <w:drawing>
          <wp:inline distB="114300" distT="114300" distL="114300" distR="114300">
            <wp:extent cx="5399730" cy="952500"/>
            <wp:effectExtent b="0" l="0" r="0" t="0"/>
            <wp:docPr id="38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4487228" cy="783484"/>
            <wp:effectExtent b="0" l="0" r="0" t="0"/>
            <wp:docPr id="35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7228" cy="7834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4464212" cy="818833"/>
            <wp:effectExtent b="0" l="0" r="0" t="0"/>
            <wp:docPr id="28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4212" cy="8188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4"/>
        </w:numPr>
        <w:spacing w:after="0" w:before="0" w:line="259" w:lineRule="auto"/>
        <w:ind w:left="1440" w:hanging="360"/>
        <w:contextualSpacing w:val="1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Execução da procedure de batalha para gerar a tabela de multiplicadores</w:t>
      </w:r>
      <w:r w:rsidDel="00000000" w:rsidR="00000000" w:rsidRPr="00000000">
        <w:drawing>
          <wp:inline distB="114300" distT="114300" distL="114300" distR="114300">
            <wp:extent cx="4208026" cy="1009333"/>
            <wp:effectExtent b="0" l="0" r="0" t="0"/>
            <wp:docPr id="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8026" cy="10093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1715453" cy="3177140"/>
            <wp:effectExtent b="0" l="0" r="0" t="0"/>
            <wp:docPr id="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5453" cy="3177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4"/>
        </w:numPr>
        <w:spacing w:after="0" w:before="0" w:line="259" w:lineRule="auto"/>
        <w:ind w:left="1440" w:hanging="360"/>
        <w:contextualSpacing w:val="1"/>
        <w:rPr>
          <w:rFonts w:ascii="Arial" w:cs="Arial" w:eastAsia="Arial" w:hAnsi="Arial"/>
          <w:b w:val="1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Execução da procedure de verificação de bônus STAB</w:t>
      </w:r>
      <w:r w:rsidDel="00000000" w:rsidR="00000000" w:rsidRPr="00000000">
        <w:drawing>
          <wp:inline distB="114300" distT="114300" distL="114300" distR="114300">
            <wp:extent cx="4849178" cy="1334165"/>
            <wp:effectExtent b="0" l="0" r="0" t="0"/>
            <wp:docPr id="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9178" cy="1334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1448753" cy="761388"/>
            <wp:effectExtent b="0" l="0" r="0" t="0"/>
            <wp:docPr id="17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8753" cy="761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spacing w:after="0" w:before="0" w:line="259" w:lineRule="auto"/>
        <w:ind w:left="720" w:hanging="360"/>
        <w:contextualSpacing w:val="1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Conclusão</w:t>
      </w:r>
    </w:p>
    <w:p w:rsidR="00000000" w:rsidDel="00000000" w:rsidP="00000000" w:rsidRDefault="00000000" w:rsidRPr="00000000">
      <w:pPr>
        <w:spacing w:after="0" w:before="0" w:line="259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 ferramenta de consumo e apresentação dos dados foi feita utilizando a tecnologia ASP.NET MVC 5.2.3 da plataforma .NET 4.6.1 da microsoft, a linguagem utilizada foi C# , o acesso a dados utiliza tecnologia Entity Framework 6.1.3, um serializador/deserializador JSON Newtonsoft.JSON 9.0.1 e finalmente a apresentação utiliza saída HTML5/CSS3 pura com os frameworks Bootstrap 3.3.7 e jQuery 3.1.1. O Bootstrap a partir da versão 3 é mobile-first.</w:t>
      </w:r>
    </w:p>
    <w:p w:rsidR="00000000" w:rsidDel="00000000" w:rsidP="00000000" w:rsidRDefault="00000000" w:rsidRPr="00000000">
      <w:pPr>
        <w:spacing w:after="160" w:before="0" w:line="259" w:lineRule="auto"/>
        <w:ind w:left="720" w:firstLine="0"/>
        <w:contextualSpacing w:val="0"/>
      </w:pPr>
      <w:r w:rsidDel="00000000" w:rsidR="00000000" w:rsidRPr="00000000">
        <w:drawing>
          <wp:inline distB="114300" distT="114300" distL="114300" distR="114300">
            <wp:extent cx="5872661" cy="2848292"/>
            <wp:effectExtent b="0" l="0" r="0" t="0"/>
            <wp:docPr id="25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2661" cy="28482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before="0" w:line="259" w:lineRule="auto"/>
        <w:ind w:left="720" w:firstLine="0"/>
        <w:contextualSpacing w:val="0"/>
        <w:jc w:val="center"/>
      </w:pPr>
      <w:r w:rsidDel="00000000" w:rsidR="00000000" w:rsidRPr="00000000">
        <w:rPr>
          <w:sz w:val="24"/>
          <w:szCs w:val="24"/>
          <w:rtl w:val="0"/>
        </w:rPr>
        <w:t xml:space="preserve">Figura 4: Ferramenta em execução</w:t>
      </w:r>
      <w:r w:rsidDel="00000000" w:rsidR="00000000" w:rsidRPr="00000000">
        <w:rPr>
          <w:rtl w:val="0"/>
        </w:rPr>
      </w:r>
    </w:p>
    <w:sectPr>
      <w:pgSz w:h="16838" w:w="11906"/>
      <w:pgMar w:bottom="1417" w:top="1417" w:left="1701" w:right="1701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Georgia"/>
  <w:font w:name="Times New Roman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firstLine="360"/>
      </w:pPr>
      <w:rPr/>
    </w:lvl>
    <w:lvl w:ilvl="1">
      <w:start w:val="1"/>
      <w:numFmt w:val="lowerLetter"/>
      <w:lvlText w:val="%2."/>
      <w:lvlJc w:val="left"/>
      <w:pPr>
        <w:ind w:left="1440" w:firstLine="1080"/>
      </w:pPr>
      <w:rPr/>
    </w:lvl>
    <w:lvl w:ilvl="2">
      <w:start w:val="1"/>
      <w:numFmt w:val="lowerRoman"/>
      <w:lvlText w:val="%3."/>
      <w:lvlJc w:val="right"/>
      <w:pPr>
        <w:ind w:left="2160" w:firstLine="1980"/>
      </w:pPr>
      <w:rPr/>
    </w:lvl>
    <w:lvl w:ilvl="3">
      <w:start w:val="1"/>
      <w:numFmt w:val="decimal"/>
      <w:lvlText w:val="%4."/>
      <w:lvlJc w:val="left"/>
      <w:pPr>
        <w:ind w:left="2880" w:firstLine="2520"/>
      </w:pPr>
      <w:rPr/>
    </w:lvl>
    <w:lvl w:ilvl="4">
      <w:start w:val="1"/>
      <w:numFmt w:val="lowerLetter"/>
      <w:lvlText w:val="%5."/>
      <w:lvlJc w:val="left"/>
      <w:pPr>
        <w:ind w:left="3600" w:firstLine="3240"/>
      </w:pPr>
      <w:rPr/>
    </w:lvl>
    <w:lvl w:ilvl="5">
      <w:start w:val="1"/>
      <w:numFmt w:val="lowerRoman"/>
      <w:lvlText w:val="%6."/>
      <w:lvlJc w:val="right"/>
      <w:pPr>
        <w:ind w:left="4320" w:firstLine="4140"/>
      </w:pPr>
      <w:rPr/>
    </w:lvl>
    <w:lvl w:ilvl="6">
      <w:start w:val="1"/>
      <w:numFmt w:val="decimal"/>
      <w:lvlText w:val="%7."/>
      <w:lvlJc w:val="left"/>
      <w:pPr>
        <w:ind w:left="5040" w:firstLine="4680"/>
      </w:pPr>
      <w:rPr/>
    </w:lvl>
    <w:lvl w:ilvl="7">
      <w:start w:val="1"/>
      <w:numFmt w:val="lowerLetter"/>
      <w:lvlText w:val="%8."/>
      <w:lvlJc w:val="left"/>
      <w:pPr>
        <w:ind w:left="5760" w:firstLine="5400"/>
      </w:pPr>
      <w:rPr/>
    </w:lvl>
    <w:lvl w:ilvl="8">
      <w:start w:val="1"/>
      <w:numFmt w:val="lowerRoman"/>
      <w:lvlText w:val="%9."/>
      <w:lvlJc w:val="right"/>
      <w:pPr>
        <w:ind w:left="6480" w:firstLine="630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160" w:before="0" w:line="259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  <w:contextualSpacing w:val="1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  <w:contextualSpacing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  <w:contextualSpacing w:val="1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  <w:contextualSpacing w:val="1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  <w:contextualSpacing w:val="1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  <w:contextualSpacing w:val="1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  <w:contextualSpacing w:val="1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  <w:contextualSpacing w:val="1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4.png"/><Relationship Id="rId20" Type="http://schemas.openxmlformats.org/officeDocument/2006/relationships/image" Target="media/image67.png"/><Relationship Id="rId42" Type="http://schemas.openxmlformats.org/officeDocument/2006/relationships/image" Target="media/image61.png"/><Relationship Id="rId41" Type="http://schemas.openxmlformats.org/officeDocument/2006/relationships/image" Target="media/image41.png"/><Relationship Id="rId22" Type="http://schemas.openxmlformats.org/officeDocument/2006/relationships/image" Target="media/image10.png"/><Relationship Id="rId21" Type="http://schemas.openxmlformats.org/officeDocument/2006/relationships/image" Target="media/image39.png"/><Relationship Id="rId24" Type="http://schemas.openxmlformats.org/officeDocument/2006/relationships/image" Target="media/image12.png"/><Relationship Id="rId23" Type="http://schemas.openxmlformats.org/officeDocument/2006/relationships/image" Target="media/image58.jp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59.png"/><Relationship Id="rId26" Type="http://schemas.openxmlformats.org/officeDocument/2006/relationships/image" Target="media/image50.png"/><Relationship Id="rId25" Type="http://schemas.openxmlformats.org/officeDocument/2006/relationships/image" Target="media/image25.png"/><Relationship Id="rId28" Type="http://schemas.openxmlformats.org/officeDocument/2006/relationships/image" Target="media/image34.png"/><Relationship Id="rId27" Type="http://schemas.openxmlformats.org/officeDocument/2006/relationships/image" Target="media/image69.png"/><Relationship Id="rId5" Type="http://schemas.openxmlformats.org/officeDocument/2006/relationships/image" Target="media/image74.jpg"/><Relationship Id="rId6" Type="http://schemas.openxmlformats.org/officeDocument/2006/relationships/image" Target="media/image60.jpg"/><Relationship Id="rId29" Type="http://schemas.openxmlformats.org/officeDocument/2006/relationships/image" Target="media/image36.png"/><Relationship Id="rId7" Type="http://schemas.openxmlformats.org/officeDocument/2006/relationships/image" Target="media/image63.png"/><Relationship Id="rId8" Type="http://schemas.openxmlformats.org/officeDocument/2006/relationships/image" Target="media/image42.png"/><Relationship Id="rId31" Type="http://schemas.openxmlformats.org/officeDocument/2006/relationships/image" Target="media/image33.png"/><Relationship Id="rId30" Type="http://schemas.openxmlformats.org/officeDocument/2006/relationships/image" Target="media/image73.png"/><Relationship Id="rId11" Type="http://schemas.openxmlformats.org/officeDocument/2006/relationships/image" Target="media/image43.png"/><Relationship Id="rId33" Type="http://schemas.openxmlformats.org/officeDocument/2006/relationships/image" Target="media/image71.png"/><Relationship Id="rId10" Type="http://schemas.openxmlformats.org/officeDocument/2006/relationships/image" Target="media/image17.png"/><Relationship Id="rId32" Type="http://schemas.openxmlformats.org/officeDocument/2006/relationships/image" Target="media/image46.png"/><Relationship Id="rId13" Type="http://schemas.openxmlformats.org/officeDocument/2006/relationships/image" Target="media/image66.png"/><Relationship Id="rId35" Type="http://schemas.openxmlformats.org/officeDocument/2006/relationships/image" Target="media/image75.png"/><Relationship Id="rId12" Type="http://schemas.openxmlformats.org/officeDocument/2006/relationships/image" Target="media/image28.png"/><Relationship Id="rId34" Type="http://schemas.openxmlformats.org/officeDocument/2006/relationships/image" Target="media/image70.png"/><Relationship Id="rId15" Type="http://schemas.openxmlformats.org/officeDocument/2006/relationships/image" Target="media/image30.png"/><Relationship Id="rId37" Type="http://schemas.openxmlformats.org/officeDocument/2006/relationships/image" Target="media/image65.png"/><Relationship Id="rId14" Type="http://schemas.openxmlformats.org/officeDocument/2006/relationships/image" Target="media/image68.png"/><Relationship Id="rId36" Type="http://schemas.openxmlformats.org/officeDocument/2006/relationships/image" Target="media/image72.png"/><Relationship Id="rId17" Type="http://schemas.openxmlformats.org/officeDocument/2006/relationships/image" Target="media/image37.png"/><Relationship Id="rId39" Type="http://schemas.openxmlformats.org/officeDocument/2006/relationships/image" Target="media/image22.png"/><Relationship Id="rId16" Type="http://schemas.openxmlformats.org/officeDocument/2006/relationships/image" Target="media/image64.png"/><Relationship Id="rId38" Type="http://schemas.openxmlformats.org/officeDocument/2006/relationships/image" Target="media/image20.png"/><Relationship Id="rId19" Type="http://schemas.openxmlformats.org/officeDocument/2006/relationships/image" Target="media/image27.png"/><Relationship Id="rId18" Type="http://schemas.openxmlformats.org/officeDocument/2006/relationships/image" Target="media/image02.png"/></Relationships>
</file>