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DC63" w14:textId="77777777" w:rsidR="00E61061" w:rsidRDefault="00000000">
      <w:pPr>
        <w:spacing w:after="60"/>
      </w:pPr>
      <w:r>
        <w:rPr>
          <w:b/>
          <w:bCs/>
          <w:color w:val="1F3864"/>
          <w:sz w:val="44"/>
          <w:szCs w:val="44"/>
        </w:rPr>
        <w:t xml:space="preserve">Política de Crédito — </w:t>
      </w:r>
      <w:proofErr w:type="spellStart"/>
      <w:r>
        <w:rPr>
          <w:b/>
          <w:bCs/>
          <w:color w:val="1F3864"/>
          <w:sz w:val="44"/>
          <w:szCs w:val="44"/>
        </w:rPr>
        <w:t>AutoCred</w:t>
      </w:r>
      <w:proofErr w:type="spellEnd"/>
    </w:p>
    <w:p w14:paraId="459FB56E" w14:textId="77777777" w:rsidR="00E61061" w:rsidRDefault="00000000">
      <w:pPr>
        <w:pBdr>
          <w:bottom w:val="single" w:sz="12" w:space="8" w:color="1F3864"/>
        </w:pBdr>
        <w:spacing w:after="240"/>
      </w:pPr>
      <w:r>
        <w:rPr>
          <w:b w:val="0"/>
          <w:i w:val="0"/>
        </w:rPr>
        <w:t>Grupo ___ · Desafio de Risco de Crédito · setembro de 2026</w:t>
      </w:r>
    </w:p>
    <w:p w14:paraId="6CF34E17" w14:textId="77777777" w:rsidR="00E61061" w:rsidRDefault="00000000">
      <w:pPr>
        <w:pStyle w:val="Ttulo1"/>
        <w:spacing w:before="360" w:after="160"/>
      </w:pPr>
      <w:r>
        <w:rPr>
          <w:b/>
          <w:bCs/>
          <w:color w:val="1F3864"/>
          <w:sz w:val="30"/>
          <w:szCs w:val="30"/>
        </w:rPr>
        <w:t>1. Resumo executivo</w:t>
      </w:r>
    </w:p>
    <w:p w14:paraId="4D07C5DC" w14:textId="77777777" w:rsidR="00E61061" w:rsidRDefault="00000000">
      <w:pPr>
        <w:spacing w:after="120" w:line="276" w:lineRule="auto"/>
      </w:pPr>
      <w:r>
        <w:rPr>
          <w:b w:val="0"/>
          <w:i w:val="0"/>
        </w:rPr>
        <w:t>Propomos aprovar as faixas de score 5 a 10 — 2.642 das 5.000 propostas, 52,8% — com taxa de 2,27% a 2,82% ao mês, o prazo que o cliente pediu e entrada mínima de 21% nas faixas 5 e 6. A carteira projetada origina R$ 67,4 mi, com inadimplência de 5,93% e ROI anualizado de 15,7%.</w:t>
      </w:r>
    </w:p>
    <w:p w14:paraId="4D07C5DC" w14:textId="77777777" w:rsidR="00E61061" w:rsidRDefault="00000000">
      <w:pPr>
        <w:spacing w:after="120" w:line="276" w:lineRule="auto"/>
      </w:pPr>
      <w:r>
        <w:rPr>
          <w:b w:val="0"/>
          <w:i w:val="0"/>
        </w:rPr>
        <w:t>Ela não foi escolhida por maximizar esse ROI, e sim por sobreviver ao cenário com que decidimos — aceite pessimista e PD 20% acima da prevista ao mesmo tempo —, onde ainda cumpre os quatro guardrails: R$ 42,8 mi, 7,67% de inadimplência e ROI de 14,8%. A regra de maior ROI da nossa busca projeta 21,6% e quebra guardrail nesse teste.</w:t>
      </w:r>
    </w:p>
    <w:p w14:paraId="656C00FB" w14:textId="77777777" w:rsidR="00E61061" w:rsidRDefault="00000000">
      <w:pPr>
        <w:pStyle w:val="Ttulo1"/>
        <w:spacing w:before="360" w:after="160"/>
      </w:pPr>
      <w:r>
        <w:rPr>
          <w:b/>
          <w:bCs/>
          <w:color w:val="1F3864"/>
          <w:sz w:val="30"/>
          <w:szCs w:val="30"/>
        </w:rPr>
        <w:t>2. O modelo de probabilidade de default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6"/>
        <w:gridCol w:w="7012"/>
      </w:tblGrid>
      <w:tr w:rsidR="00E61061" w14:paraId="129675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3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E9B6F" w14:textId="77777777" w:rsidR="00E61061" w:rsidRDefault="00000000">
            <w:r>
              <w:rPr>
                <w:b/>
                <w:bCs/>
                <w:color w:val="FFFFFF"/>
                <w:sz w:val="18"/>
                <w:szCs w:val="19"/>
              </w:rPr>
              <w:t>Item</w:t>
            </w:r>
          </w:p>
        </w:tc>
        <w:tc>
          <w:tcPr>
            <w:tcW w:w="701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DF3FF" w14:textId="77777777" w:rsidR="00E61061" w:rsidRDefault="00000000">
            <w:pPr>
              <w:jc w:val="center"/>
            </w:pPr>
            <w:r>
              <w:rPr>
                <w:b w:val="0"/>
                <w:i w:val="0"/>
                <w:sz w:val="18"/>
              </w:rPr>
              <w:t>O que fizemos</w:t>
            </w:r>
          </w:p>
        </w:tc>
      </w:tr>
      <w:tr w:rsidR="00E61061" w14:paraId="203F9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48143" w14:textId="77777777" w:rsidR="00E61061" w:rsidRDefault="00000000">
            <w:r>
              <w:rPr>
                <w:b/>
                <w:bCs/>
                <w:sz w:val="18"/>
                <w:szCs w:val="19"/>
              </w:rPr>
              <w:t>Modelo escolhido</w:t>
            </w:r>
          </w:p>
        </w:tc>
        <w:tc>
          <w:tcPr>
            <w:tcW w:w="7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FC1ED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Gradient boosting em árvores (HistGradientBoosting) com regularização forte: 4 folhas por árvore, aprendizado 0,03, mínimo de 50 casos por folha, L2 = 1,0. Calibração: sigmoid (Platt) cv=5. Seed 42.</w:t>
            </w:r>
          </w:p>
        </w:tc>
      </w:tr>
      <w:tr w:rsidR="00E61061" w14:paraId="1E62F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6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452E6" w14:textId="77777777" w:rsidR="00E61061" w:rsidRDefault="00000000">
            <w:r>
              <w:rPr>
                <w:b/>
                <w:bCs/>
                <w:sz w:val="18"/>
                <w:szCs w:val="19"/>
              </w:rPr>
              <w:t>Variáveis utilizadas</w:t>
            </w:r>
          </w:p>
        </w:tc>
        <w:tc>
          <w:tcPr>
            <w:tcW w:w="7013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D1388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17: doze do proponente e do bem (idade, ocupação, renda, tempo de emprego, residência, score de bureau, restrições, consultas, avalista, canal, idade do veículo, valor do bem), quatro da operação (valor financiado, entrada, LTV, prazo) e o comprometimento de renda (parcela ÷ renda), que sozinho vale +0,013 de AuROC out-of-time. Outras sete derivadas foram testadas; nenhuma entrou.</w:t>
            </w:r>
          </w:p>
        </w:tc>
      </w:tr>
      <w:tr w:rsidR="00E61061" w14:paraId="14A4F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231A7" w14:textId="77777777" w:rsidR="00E61061" w:rsidRDefault="00000000">
            <w:r>
              <w:rPr>
                <w:b/>
                <w:bCs/>
                <w:sz w:val="18"/>
                <w:szCs w:val="19"/>
              </w:rPr>
              <w:t>Variáveis descartadas, e por quê</w:t>
            </w:r>
          </w:p>
        </w:tc>
        <w:tc>
          <w:tcPr>
            <w:tcW w:w="7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7C748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As seis marcadas como indisponíveis na concessão pelo dicionário são vazamento: descrevem o que aconteceu depois de conceder. id_contrato e data_originacao são identificação. ano_modelo saiu por PSI de 1,39 entre A e C — artefato de calendário, com 31,8% da Base C fora do domínio do treino; remover não muda o AuROC. taxa_juros_am e parcela_mensal são decisão nossa na Base C, não informação do cliente.</w:t>
            </w:r>
          </w:p>
        </w:tc>
      </w:tr>
      <w:tr w:rsidR="00E61061" w14:paraId="52B9A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6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10C56" w14:textId="77777777" w:rsidR="00E61061" w:rsidRDefault="00000000">
            <w:r>
              <w:rPr>
                <w:b/>
                <w:bCs/>
                <w:sz w:val="18"/>
                <w:szCs w:val="19"/>
              </w:rPr>
              <w:t>Tratamento de valores ausentes</w:t>
            </w:r>
          </w:p>
        </w:tc>
        <w:tc>
          <w:tcPr>
            <w:tcW w:w="7013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2F4E3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Nenhuma imputação. Ausentes estáveis nas três bases: tempo de emprego 11,7%, renda 7,6%, score de bureau 3,4%. O modelo aprende em cada corte para que lado mandar o ausente, e faltar renda já é informação. Imputar pela mediana custou 0,0012 de AuROC. Todo o pré-processamento vive num Pipeline ajustado só no treino.</w:t>
            </w:r>
          </w:p>
        </w:tc>
      </w:tr>
      <w:tr w:rsidR="00E61061" w14:paraId="53234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8F63F" w14:textId="77777777" w:rsidR="00E61061" w:rsidRDefault="00000000">
            <w:r>
              <w:rPr>
                <w:b/>
                <w:bCs/>
                <w:sz w:val="18"/>
                <w:szCs w:val="19"/>
              </w:rPr>
              <w:t>Estratégia de validação</w:t>
            </w:r>
          </w:p>
        </w:tc>
        <w:tc>
          <w:tcPr>
            <w:tcW w:w="7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AEF3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Separação temporal, nunca aleatória: treino em 2022-2023 (6.670 contratos), teste out-of-time em 2024 (3.330). Cinco candidatos sob o mesmo corte. A validação cruzada de 5 folds roda dentro do treino; o out-of-time não participa de escolha nenhuma.</w:t>
            </w:r>
          </w:p>
        </w:tc>
      </w:tr>
      <w:tr w:rsidR="00E61061" w14:paraId="3C81B8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6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7ADD7" w14:textId="7A0EEA12" w:rsidR="00E61061" w:rsidRDefault="008A5A64">
            <w:r>
              <w:rPr>
                <w:b/>
                <w:bCs/>
                <w:sz w:val="18"/>
                <w:szCs w:val="19"/>
              </w:rPr>
              <w:t>AuROC</w:t>
            </w:r>
            <w:r w:rsidR="00000000">
              <w:rPr>
                <w:b/>
                <w:bCs/>
                <w:sz w:val="18"/>
                <w:szCs w:val="19"/>
              </w:rPr>
              <w:t xml:space="preserve"> em treino / validação / teste out-</w:t>
            </w:r>
            <w:proofErr w:type="spellStart"/>
            <w:r w:rsidR="00000000">
              <w:rPr>
                <w:b/>
                <w:bCs/>
                <w:sz w:val="18"/>
                <w:szCs w:val="19"/>
              </w:rPr>
              <w:t>of</w:t>
            </w:r>
            <w:proofErr w:type="spellEnd"/>
            <w:r w:rsidR="00000000">
              <w:rPr>
                <w:b/>
                <w:bCs/>
                <w:sz w:val="18"/>
                <w:szCs w:val="19"/>
              </w:rPr>
              <w:t>-time</w:t>
            </w:r>
          </w:p>
        </w:tc>
        <w:tc>
          <w:tcPr>
            <w:tcW w:w="7013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4D810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0,812 / 0,725 ± 0,020 / 0,741</w:t>
            </w:r>
          </w:p>
        </w:tc>
      </w:tr>
      <w:tr w:rsidR="00E61061" w14:paraId="25EB7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3726F" w14:textId="77777777" w:rsidR="00E61061" w:rsidRDefault="00000000">
            <w:r>
              <w:rPr>
                <w:b/>
                <w:bCs/>
                <w:sz w:val="18"/>
                <w:szCs w:val="19"/>
              </w:rPr>
              <w:t>KS no teste out-</w:t>
            </w:r>
            <w:proofErr w:type="spellStart"/>
            <w:r>
              <w:rPr>
                <w:b/>
                <w:bCs/>
                <w:sz w:val="18"/>
                <w:szCs w:val="19"/>
              </w:rPr>
              <w:t>of</w:t>
            </w:r>
            <w:proofErr w:type="spellEnd"/>
            <w:r>
              <w:rPr>
                <w:b/>
                <w:bCs/>
                <w:sz w:val="18"/>
                <w:szCs w:val="19"/>
              </w:rPr>
              <w:t>-time</w:t>
            </w:r>
          </w:p>
        </w:tc>
        <w:tc>
          <w:tcPr>
            <w:tcW w:w="7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9EF3A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0,376</w:t>
            </w:r>
          </w:p>
        </w:tc>
      </w:tr>
    </w:tbl>
    <w:p w14:paraId="55E5529F" w14:textId="77777777" w:rsidR="00E61061" w:rsidRDefault="00000000">
      <w:pPr>
        <w:spacing w:after="120" w:line="276" w:lineRule="auto"/>
      </w:pPr>
      <w:r>
        <w:rPr>
          <w:b w:val="0"/>
          <w:i w:val="0"/>
        </w:rPr>
        <w:t>A Random Forest empatou em out-of-time (0,735), mas marcava 0,921 no treino — queda de 0,186 contra 0,071 do escolhido. Escolhemos o de menor queda, não o de maior AuROC: a distância entre treino e out-of-time é a única medida de quanto da performance é real. O mesmo algoritmo sem regularização faz 0,998 no treino e 0,710 fora dele.</w:t>
      </w:r>
    </w:p>
    <w:p w14:paraId="599F72F4" w14:textId="77777777" w:rsidR="00E61061" w:rsidRDefault="00000000">
      <w:pPr>
        <w:pStyle w:val="Ttulo1"/>
        <w:spacing w:before="360" w:after="160"/>
      </w:pPr>
      <w:r>
        <w:rPr>
          <w:b/>
          <w:bCs/>
          <w:color w:val="1F3864"/>
          <w:sz w:val="30"/>
          <w:szCs w:val="30"/>
        </w:rPr>
        <w:t>3. Construção do score de 1 a 10</w:t>
      </w:r>
    </w:p>
    <w:p w14:paraId="5509E8A2" w14:textId="77777777" w:rsidR="00E61061" w:rsidRDefault="00000000">
      <w:pPr>
        <w:spacing w:after="120" w:line="276" w:lineRule="auto"/>
      </w:pPr>
      <w:proofErr w:type="spellStart"/>
      <w:proofErr w:type="spellEnd"/>
      <w:proofErr w:type="spellStart"/>
      <w:proofErr w:type="spellEnd"/>
      <w:r>
        <w:rPr>
          <w:b w:val="0"/>
          <w:i w:val="0"/>
        </w:rPr>
        <w:t>Por cortes fixos de PD, congelados no código e calculados uma única vez sobre a PD out-of-fold da Base A. Não por quantis recalculados na aplicação: quantil reaplicado à Base C poria 20% das propostas na faixa 10 por construção, mesmo que a carteira inteira fosse pior. A faixa deixaria de significar risco e passaria a significar posição na fila — e a tabela, que promete uma taxa por faixa, viraria promessa sobre a fila.</w:t>
      </w:r>
    </w:p>
    <w:p w14:paraId="5509E8A2" w14:textId="77777777" w:rsidR="00E61061" w:rsidRDefault="00000000">
      <w:pPr>
        <w:spacing w:after="120" w:line="276" w:lineRule="auto"/>
      </w:pPr>
      <w:proofErr w:type="spellStart"/>
      <w:proofErr w:type="spellEnd"/>
      <w:proofErr w:type="spellStart"/>
      <w:proofErr w:type="spellEnd"/>
      <w:r>
        <w:rPr>
          <w:b w:val="0"/>
          <w:i w:val="0"/>
        </w:rPr>
        <w:t>Os percentis são desiguais de propósito (20, 36, 50, 62, 72, 80, 87, 93 e 97): a decisão acontece na cauda ruim, e abrir faixas no meio da distribuição não muda decisão nenhuma. As faixas 1 a 4 são 20% da base de desenvolvimento e 47,2% das propostas da Base C — a diferença entre carteira aprovada e mar aberto, já visível no score. Discretizar custa 0,0029 de AuROC (0,7326 na PD contínua contra 0,7297 na faixa), com 0 inversões materiais e 7 pares de faixas vizinhas cujos intervalos de confiança se tocam.</w:t>
      </w:r>
    </w:p>
    <w:p w14:paraId="2B2D750A" w14:textId="77777777" w:rsidR="00E61061" w:rsidRDefault="00000000">
      <w:pPr>
        <w:pStyle w:val="Ttulo1"/>
        <w:spacing w:before="360" w:after="160"/>
      </w:pPr>
      <w:r>
        <w:rPr>
          <w:b/>
          <w:bCs/>
          <w:color w:val="1F3864"/>
          <w:sz w:val="30"/>
          <w:szCs w:val="30"/>
        </w:rPr>
        <w:t>4. A tabela de política</w:t>
      </w:r>
    </w:p>
    <w:p w14:paraId="09EFC08D" w14:textId="77777777" w:rsidR="00E61061" w:rsidRDefault="00000000">
      <w:pPr>
        <w:spacing w:after="120" w:line="276" w:lineRule="auto"/>
      </w:pPr>
      <w:r>
        <w:rPr>
          <w:b w:val="0"/>
          <w:i w:val="0"/>
        </w:rPr>
        <w:t xml:space="preserve">A faixa de PD é a </w:t>
      </w:r>
      <w:r>
        <w:rPr>
          <w:b/>
          <w:i w:val="0"/>
        </w:rPr>
        <w:t>regra</w:t>
      </w:r>
      <w:r>
        <w:rPr>
          <w:b w:val="0"/>
          <w:i w:val="0"/>
        </w:rPr>
        <w:t xml:space="preserve"> que atribui o score, não uma descrição do que saiu: aplicá-la à coluna pd de submissao_politica.csv reproduz score_1a10 linha a linha. O intervalo é fechado embaixo — PD igual a um corte cai na faixa pior.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152"/>
        <w:gridCol w:w="1036"/>
        <w:gridCol w:w="1224"/>
        <w:gridCol w:w="1368"/>
        <w:gridCol w:w="1368"/>
        <w:gridCol w:w="1440"/>
      </w:tblGrid>
      <w:tr w:rsidR="00E61061" w14:paraId="29D47D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2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A9260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9"/>
              </w:rPr>
              <w:t>Score</w:t>
            </w:r>
          </w:p>
        </w:tc>
        <w:tc>
          <w:tcPr>
            <w:tcW w:w="14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E4CB6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9"/>
              </w:rPr>
              <w:t>Faixa de PD</w:t>
            </w:r>
          </w:p>
        </w:tc>
        <w:tc>
          <w:tcPr>
            <w:tcW w:w="1152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1A1CF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9"/>
              </w:rPr>
              <w:t>Decisão</w:t>
            </w:r>
          </w:p>
        </w:tc>
        <w:tc>
          <w:tcPr>
            <w:tcW w:w="1037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944D0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9"/>
              </w:rPr>
              <w:t>Taxa a.m.</w:t>
            </w:r>
          </w:p>
        </w:tc>
        <w:tc>
          <w:tcPr>
            <w:tcW w:w="122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1A566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9"/>
              </w:rPr>
              <w:t>Prazo máx.</w:t>
            </w:r>
          </w:p>
        </w:tc>
        <w:tc>
          <w:tcPr>
            <w:tcW w:w="136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2F89F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9"/>
              </w:rPr>
              <w:t>Entrada mín.</w:t>
            </w:r>
          </w:p>
        </w:tc>
        <w:tc>
          <w:tcPr>
            <w:tcW w:w="136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8B8F0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9"/>
              </w:rPr>
              <w:t>Perda esperada</w:t>
            </w:r>
          </w:p>
        </w:tc>
        <w:tc>
          <w:tcPr>
            <w:tcW w:w="14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BAC79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9"/>
              </w:rPr>
              <w:t>ROI esperado</w:t>
            </w:r>
          </w:p>
        </w:tc>
      </w:tr>
      <w:tr w:rsidR="00E61061" w14:paraId="666F4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67557" w14:textId="77777777" w:rsidR="00E61061" w:rsidRDefault="00000000">
            <w:pPr>
              <w:jc w:val="center"/>
            </w:pPr>
            <w:r>
              <w:rPr>
                <w:b/>
                <w:bCs/>
                <w:sz w:val="18"/>
                <w:szCs w:val="19"/>
              </w:rPr>
              <w:t>10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06A10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&lt; 3,69%</w:t>
            </w:r>
          </w:p>
        </w:tc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1D162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APROVAR</w:t>
            </w:r>
          </w:p>
        </w:tc>
        <w:tc>
          <w:tcPr>
            <w:tcW w:w="10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9A2F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2,27%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9C108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o pedido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F4671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a do cliente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E4487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2,1%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7C2F6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15,1%</w:t>
            </w:r>
          </w:p>
        </w:tc>
      </w:tr>
      <w:tr w:rsidR="00E61061" w14:paraId="69FAB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372F5" w14:textId="77777777" w:rsidR="00E61061" w:rsidRDefault="00000000">
            <w:pPr>
              <w:jc w:val="center"/>
            </w:pPr>
            <w:r>
              <w:rPr>
                <w:b/>
                <w:bCs/>
                <w:sz w:val="18"/>
                <w:szCs w:val="19"/>
              </w:rPr>
              <w:t>9</w:t>
            </w:r>
          </w:p>
        </w:tc>
        <w:tc>
          <w:tcPr>
            <w:tcW w:w="144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DF800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3,69%–4,48%</w:t>
            </w:r>
          </w:p>
        </w:tc>
        <w:tc>
          <w:tcPr>
            <w:tcW w:w="1152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FC70F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APROVAR</w:t>
            </w:r>
          </w:p>
        </w:tc>
        <w:tc>
          <w:tcPr>
            <w:tcW w:w="1037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440A0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2,36%</w:t>
            </w:r>
          </w:p>
        </w:tc>
        <w:tc>
          <w:tcPr>
            <w:tcW w:w="1224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FFA1E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o pedido</w:t>
            </w:r>
          </w:p>
        </w:tc>
        <w:tc>
          <w:tcPr>
            <w:tcW w:w="1368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B0906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a do cliente</w:t>
            </w:r>
          </w:p>
        </w:tc>
        <w:tc>
          <w:tcPr>
            <w:tcW w:w="1368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5E087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2,8%</w:t>
            </w:r>
          </w:p>
        </w:tc>
        <w:tc>
          <w:tcPr>
            <w:tcW w:w="144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38179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15,4%</w:t>
            </w:r>
          </w:p>
        </w:tc>
      </w:tr>
      <w:tr w:rsidR="00E61061" w14:paraId="365F8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9A9F4" w14:textId="77777777" w:rsidR="00E61061" w:rsidRDefault="00000000">
            <w:pPr>
              <w:jc w:val="center"/>
            </w:pPr>
            <w:r>
              <w:rPr>
                <w:b/>
                <w:bCs/>
                <w:sz w:val="18"/>
                <w:szCs w:val="19"/>
              </w:rPr>
              <w:t>8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9CD15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4,48%–5,42%</w:t>
            </w:r>
          </w:p>
        </w:tc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777F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APROVAR</w:t>
            </w:r>
          </w:p>
        </w:tc>
        <w:tc>
          <w:tcPr>
            <w:tcW w:w="10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06F3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2,47%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D5A83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o pedido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6434F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a do cliente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100DF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3,5%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B3650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15,8%</w:t>
            </w:r>
          </w:p>
        </w:tc>
      </w:tr>
      <w:tr w:rsidR="00E61061" w14:paraId="69E05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C4F41" w14:textId="77777777" w:rsidR="00E61061" w:rsidRDefault="00000000">
            <w:pPr>
              <w:jc w:val="center"/>
            </w:pPr>
            <w:r>
              <w:rPr>
                <w:b/>
                <w:bCs/>
                <w:sz w:val="18"/>
                <w:szCs w:val="19"/>
              </w:rPr>
              <w:t>7</w:t>
            </w:r>
          </w:p>
        </w:tc>
        <w:tc>
          <w:tcPr>
            <w:tcW w:w="144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91C85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5,42%–6,63%</w:t>
            </w:r>
          </w:p>
        </w:tc>
        <w:tc>
          <w:tcPr>
            <w:tcW w:w="1152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80517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APROVAR</w:t>
            </w:r>
          </w:p>
        </w:tc>
        <w:tc>
          <w:tcPr>
            <w:tcW w:w="1037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816F9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2,56%</w:t>
            </w:r>
          </w:p>
        </w:tc>
        <w:tc>
          <w:tcPr>
            <w:tcW w:w="1224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64391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o pedido</w:t>
            </w:r>
          </w:p>
        </w:tc>
        <w:tc>
          <w:tcPr>
            <w:tcW w:w="1368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B0E47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a do cliente</w:t>
            </w:r>
          </w:p>
        </w:tc>
        <w:tc>
          <w:tcPr>
            <w:tcW w:w="1368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FBC9F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4,4%</w:t>
            </w:r>
          </w:p>
        </w:tc>
        <w:tc>
          <w:tcPr>
            <w:tcW w:w="144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3D8C7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16,0%</w:t>
            </w:r>
          </w:p>
        </w:tc>
      </w:tr>
      <w:tr w:rsidR="00E61061" w14:paraId="4A079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70CAD" w14:textId="77777777" w:rsidR="00E61061" w:rsidRDefault="00000000">
            <w:pPr>
              <w:jc w:val="center"/>
            </w:pPr>
            <w:r>
              <w:rPr>
                <w:b/>
                <w:bCs/>
                <w:sz w:val="18"/>
                <w:szCs w:val="19"/>
              </w:rPr>
              <w:t>6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E32CD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6,63%–8,39%</w:t>
            </w:r>
          </w:p>
        </w:tc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F8FCD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APROVAR</w:t>
            </w:r>
          </w:p>
        </w:tc>
        <w:tc>
          <w:tcPr>
            <w:tcW w:w="10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CA78E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2,65%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4C4A3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o pedido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50B8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21%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D82D4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5,4%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0CCA5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16,3%</w:t>
            </w:r>
          </w:p>
        </w:tc>
      </w:tr>
      <w:tr w:rsidR="00E61061" w14:paraId="7B3A7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813A6" w14:textId="77777777" w:rsidR="00E61061" w:rsidRDefault="00000000">
            <w:pPr>
              <w:jc w:val="center"/>
            </w:pPr>
            <w:r>
              <w:rPr>
                <w:b/>
                <w:bCs/>
                <w:sz w:val="18"/>
                <w:szCs w:val="19"/>
              </w:rPr>
              <w:lastRenderedPageBreak/>
              <w:t>5</w:t>
            </w:r>
          </w:p>
        </w:tc>
        <w:tc>
          <w:tcPr>
            <w:tcW w:w="144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67ED4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8,39%–10,67%</w:t>
            </w:r>
          </w:p>
        </w:tc>
        <w:tc>
          <w:tcPr>
            <w:tcW w:w="1152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C5559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APROVAR</w:t>
            </w:r>
          </w:p>
        </w:tc>
        <w:tc>
          <w:tcPr>
            <w:tcW w:w="1037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2F200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2,82%</w:t>
            </w:r>
          </w:p>
        </w:tc>
        <w:tc>
          <w:tcPr>
            <w:tcW w:w="1224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ACC76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o pedido</w:t>
            </w:r>
          </w:p>
        </w:tc>
        <w:tc>
          <w:tcPr>
            <w:tcW w:w="1368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271E7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21%</w:t>
            </w:r>
          </w:p>
        </w:tc>
        <w:tc>
          <w:tcPr>
            <w:tcW w:w="1368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89D1D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6,9%</w:t>
            </w:r>
          </w:p>
        </w:tc>
        <w:tc>
          <w:tcPr>
            <w:tcW w:w="144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00E1E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16,7%</w:t>
            </w:r>
          </w:p>
        </w:tc>
      </w:tr>
      <w:tr w:rsidR="00E61061" w14:paraId="31D17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7354B" w14:textId="77777777" w:rsidR="00E61061" w:rsidRDefault="00000000">
            <w:pPr>
              <w:jc w:val="center"/>
            </w:pPr>
            <w:r>
              <w:rPr>
                <w:b/>
                <w:bCs/>
                <w:sz w:val="18"/>
                <w:szCs w:val="19"/>
              </w:rPr>
              <w:t>4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42A14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10,67%–14,28%</w:t>
            </w:r>
          </w:p>
        </w:tc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F2513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NEGAR</w:t>
            </w:r>
          </w:p>
        </w:tc>
        <w:tc>
          <w:tcPr>
            <w:tcW w:w="10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DFB48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DC788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8619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130D1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9,1%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AA38F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 w:rsidR="00E61061" w14:paraId="4F80B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F9265" w14:textId="77777777" w:rsidR="00E61061" w:rsidRDefault="00000000">
            <w:pPr>
              <w:jc w:val="center"/>
            </w:pPr>
            <w:r>
              <w:rPr>
                <w:b/>
                <w:bCs/>
                <w:sz w:val="18"/>
                <w:szCs w:val="19"/>
              </w:rPr>
              <w:t>3</w:t>
            </w:r>
          </w:p>
        </w:tc>
        <w:tc>
          <w:tcPr>
            <w:tcW w:w="144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FFB85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14,28%–20,96%</w:t>
            </w:r>
          </w:p>
        </w:tc>
        <w:tc>
          <w:tcPr>
            <w:tcW w:w="1152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0D417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NEGAR</w:t>
            </w:r>
          </w:p>
        </w:tc>
        <w:tc>
          <w:tcPr>
            <w:tcW w:w="1037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47B9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w="1224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8E74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w="1368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EB090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w="1368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5588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13,0%</w:t>
            </w:r>
          </w:p>
        </w:tc>
        <w:tc>
          <w:tcPr>
            <w:tcW w:w="144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63EB6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 w:rsidR="00E61061" w14:paraId="367D4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62EB" w14:textId="77777777" w:rsidR="00E61061" w:rsidRDefault="00000000">
            <w:pPr>
              <w:jc w:val="center"/>
            </w:pPr>
            <w:r>
              <w:rPr>
                <w:b/>
                <w:bCs/>
                <w:sz w:val="18"/>
                <w:szCs w:val="19"/>
              </w:rPr>
              <w:t>2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087FF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20,96%–30,17%</w:t>
            </w:r>
          </w:p>
        </w:tc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0512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NEGAR</w:t>
            </w:r>
          </w:p>
        </w:tc>
        <w:tc>
          <w:tcPr>
            <w:tcW w:w="10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56FAA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9846E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A483B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1B1DC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18,5%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12821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 w:rsidR="00E61061" w14:paraId="700B3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A5F4F" w14:textId="77777777" w:rsidR="00E61061" w:rsidRDefault="00000000">
            <w:pPr>
              <w:jc w:val="center"/>
            </w:pPr>
            <w:r>
              <w:rPr>
                <w:b/>
                <w:bCs/>
                <w:sz w:val="18"/>
                <w:szCs w:val="19"/>
              </w:rPr>
              <w:t>1</w:t>
            </w:r>
          </w:p>
        </w:tc>
        <w:tc>
          <w:tcPr>
            <w:tcW w:w="144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756C1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≥ 30,17%</w:t>
            </w:r>
          </w:p>
        </w:tc>
        <w:tc>
          <w:tcPr>
            <w:tcW w:w="1152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80A18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NEGAR</w:t>
            </w:r>
          </w:p>
        </w:tc>
        <w:tc>
          <w:tcPr>
            <w:tcW w:w="1037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82EB6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w="1224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4B67D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w="1368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99FFE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w="1368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B129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32,7%</w:t>
            </w:r>
          </w:p>
        </w:tc>
        <w:tc>
          <w:tcPr>
            <w:tcW w:w="144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83C39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 w14:paraId="6050BC4C" w14:textId="77777777" w:rsidR="00E61061" w:rsidRDefault="00000000">
      <w:pPr>
        <w:spacing w:after="60" w:line="276" w:lineRule="auto"/>
      </w:pPr>
      <w:r>
        <w:rPr>
          <w:b w:val="0"/>
          <w:i w:val="0"/>
        </w:rPr>
        <w:t xml:space="preserve">Perda esperada = PD × EAD × LGD </w:t>
      </w:r>
      <w:r>
        <w:rPr>
          <w:b/>
          <w:i w:val="0"/>
        </w:rPr>
        <w:t>nas condições que o cliente pediu</w:t>
      </w:r>
      <w:r>
        <w:rPr>
          <w:b w:val="0"/>
          <w:i w:val="0"/>
        </w:rPr>
        <w:t>, em percentual do valor financiado: é a régua que compara faixa aprovada com faixa negada na mesma coluna. O ROI é o da faixa no cenário central e reproduz-se da própria linha. O prazo ofertado é o que o cliente pediu, até o teto de 60 meses.</w:t>
      </w:r>
    </w:p>
    <w:p w14:paraId="1454A1E1" w14:textId="77777777" w:rsidR="00E61061" w:rsidRDefault="00000000">
      <w:pPr>
        <w:pStyle w:val="Ttulo1"/>
        <w:spacing w:before="360" w:after="160"/>
      </w:pPr>
      <w:r>
        <w:rPr>
          <w:b/>
          <w:bCs/>
          <w:color w:val="1F3864"/>
          <w:sz w:val="30"/>
          <w:szCs w:val="30"/>
        </w:rPr>
        <w:t>5. Racional da precificação</w:t>
      </w:r>
    </w:p>
    <w:p w14:paraId="0DD2E84B" w14:textId="77777777" w:rsidR="00E61061" w:rsidRDefault="00000000">
      <w:pPr>
        <w:spacing w:after="120" w:line="276" w:lineRule="auto"/>
      </w:pPr>
      <w:r>
        <w:rPr>
          <w:b w:val="0"/>
          <w:i w:val="0"/>
        </w:rPr>
        <w:t>A cobertura, ao longo de todo o contrato e em percentual do volume financiado: a faixa 10 recebe 55,8% de juros esperados contra 2,4% de perda; a faixa 5, 65,3% contra 7,6%. Toda faixa aprovada cobre a própria perda com folga larga — o que aperta não é a perda, é o prazo: o ROI divide essa margem pelo prazo médio de 41,8 meses, e é aí que 53,5% viram 15,1% ao ano.</w:t>
      </w:r>
    </w:p>
    <w:p w14:paraId="0DD2E84B" w14:textId="77777777" w:rsidR="00E61061" w:rsidRDefault="00000000">
      <w:pPr>
        <w:spacing w:after="120" w:line="276" w:lineRule="auto"/>
      </w:pPr>
      <w:r>
        <w:rPr>
          <w:b w:val="0"/>
          <w:i w:val="0"/>
        </w:rPr>
        <w:t xml:space="preserve">Sobre o aceite, a parte mais frágil deste documento: modelamos a probabilidade de o cliente fechar por dois canais que ele de fato sente — o aumento da parcela e a entrada adicional em meses de renda —, em três cenários. O aceite médio projetado é 70,7% no central e 44,8% no pessimista. </w:t>
      </w:r>
      <w:r>
        <w:rPr>
          <w:b/>
          <w:i w:val="0"/>
        </w:rPr>
        <w:t>Nenhuma das três bases contém uma única proposta recusada pelo cliente.</w:t>
      </w:r>
      <w:r>
        <w:rPr>
          <w:b w:val="0"/>
          <w:i w:val="0"/>
        </w:rPr>
        <w:t xml:space="preserve"> A direção vem do enunciado; a intensidade é construção nossa. Por isso decidimos no cenário pessimista.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2"/>
        <w:gridCol w:w="2808"/>
        <w:gridCol w:w="5428"/>
      </w:tblGrid>
      <w:tr w:rsidR="00E61061" w14:paraId="20ED96D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12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CE4F3" w14:textId="77777777" w:rsidR="00E61061" w:rsidRDefault="00000000">
            <w:r>
              <w:rPr>
                <w:b/>
                <w:bCs/>
                <w:color w:val="FFFFFF"/>
                <w:sz w:val="18"/>
                <w:szCs w:val="19"/>
              </w:rPr>
              <w:t>Alavanca</w:t>
            </w:r>
          </w:p>
        </w:tc>
        <w:tc>
          <w:tcPr>
            <w:tcW w:w="280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80CE0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9"/>
              </w:rPr>
              <w:t>Decisão do grupo</w:t>
            </w:r>
          </w:p>
        </w:tc>
        <w:tc>
          <w:tcPr>
            <w:tcW w:w="542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DBF9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9"/>
              </w:rPr>
              <w:t>Justificativa</w:t>
            </w:r>
          </w:p>
        </w:tc>
      </w:tr>
      <w:tr w:rsidR="00E61061" w14:paraId="2E732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025C5" w14:textId="77777777" w:rsidR="00E61061" w:rsidRDefault="00000000">
            <w:r>
              <w:rPr>
                <w:b/>
                <w:bCs/>
                <w:sz w:val="18"/>
                <w:szCs w:val="19"/>
              </w:rPr>
              <w:t>Ponto de corte</w:t>
            </w:r>
          </w:p>
        </w:tc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5DFD7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Aprovar da faixa 5 para cima — PD até 10,67%</w:t>
            </w:r>
          </w:p>
        </w:tc>
        <w:tc>
          <w:tcPr>
            <w:tcW w:w="54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91CD1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As faixas 1 e 2 não têm preço viável: mesmo no teto de CET a faixa 1 entrega 9,4% de ROI, porque o termo (1 − PD) corta 43% dos juros antes de qualquer taxa. As faixas 3 e 4 têm preço e ainda assim foram negadas: incluir a faixa 4 leva a inadimplência a 8,55% no cenário adverso. Subir o corte até a faixa 6 deixa o volume em R$ 39,7 mi, abaixo do piso. A faixa 5 é o único corte que sobrevive aos dois lados.</w:t>
            </w:r>
          </w:p>
        </w:tc>
      </w:tr>
      <w:tr w:rsidR="00E61061" w14:paraId="10638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2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C1768" w14:textId="77777777" w:rsidR="00E61061" w:rsidRDefault="00000000">
            <w:r>
              <w:rPr>
                <w:b/>
                <w:bCs/>
                <w:sz w:val="18"/>
                <w:szCs w:val="19"/>
              </w:rPr>
              <w:t>Taxa por faixa</w:t>
            </w:r>
          </w:p>
        </w:tc>
        <w:tc>
          <w:tcPr>
            <w:tcW w:w="2808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999E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De 2,27% a 2,82% ao mês, resolvida por bisseção para um alvo de ROI de 15% mais 4% de inclinação em direção às faixas piores</w:t>
            </w:r>
          </w:p>
        </w:tc>
        <w:tc>
          <w:tcPr>
            <w:tcW w:w="5429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1C03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A taxa não foi escolhida, foi resolvida: buscamos a que entrega o alvo sobre o risco já reduzido pelas alavancas anteriores. Há realimentação — taxa maior desacelera a amortização, aumenta o saldo no mês do default e aumenta a perda —, por isso a conta é uma bisseção e não uma margem somada à perda. A inclinação faz quem é mais arriscado pagar o próprio custo e ainda um prêmio de entrada.</w:t>
            </w:r>
          </w:p>
        </w:tc>
      </w:tr>
      <w:tr w:rsidR="00E61061" w14:paraId="21DA1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78418" w14:textId="77777777" w:rsidR="00E61061" w:rsidRDefault="00000000">
            <w:r>
              <w:rPr>
                <w:b/>
                <w:bCs/>
                <w:sz w:val="18"/>
                <w:szCs w:val="19"/>
              </w:rPr>
              <w:t>Prazo máximo</w:t>
            </w:r>
          </w:p>
        </w:tc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3802E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60 meses, mas o prazo ofertado é sempre o pedido — nunca alongado</w:t>
            </w:r>
          </w:p>
        </w:tc>
        <w:tc>
          <w:tcPr>
            <w:tcW w:w="54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96164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A fórmula de ROI premia prazo longo duas vezes: mais juros no numerador e diluição de uma perda única por um denominador maior. Como a PD é medida em 12 meses fixos, a fórmula cobra zero pelo risco de alongar. Alongar compraria ROI na planilha e risco na carteira: na Base A o default vai de 6,44% em 24 meses a 11,62% em 60. Encurtar segue disponível.</w:t>
            </w:r>
          </w:p>
        </w:tc>
      </w:tr>
      <w:tr w:rsidR="00E61061" w14:paraId="545FF1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2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E19BD" w14:textId="77777777" w:rsidR="00E61061" w:rsidRDefault="00000000">
            <w:r>
              <w:rPr>
                <w:b/>
                <w:bCs/>
                <w:sz w:val="18"/>
                <w:szCs w:val="19"/>
              </w:rPr>
              <w:t>Entrada mínima</w:t>
            </w:r>
          </w:p>
        </w:tc>
        <w:tc>
          <w:tcPr>
            <w:tcW w:w="2808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E4AA4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21% nas faixas 5 e 6; nenhuma exigência adicional da faixa 7 para cima</w:t>
            </w:r>
          </w:p>
        </w:tc>
        <w:tc>
          <w:tcPr>
            <w:tcW w:w="5429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24D65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21% e não 20% porque a fronteira das tabelas de EAD e LGD é fechada por baixo: LTV de exatamente 0,80 cai na faixa pior. Exigir 21% garante LTV abaixo de 80% e derruba EAD e LGD nas duas faixas aprovadas em que a perda pesa. Da faixa 7 para cima custaria aceite sem comprar redução que se pagasse. A entrada mediana pedida nas faixas 5 e 6 é 18,6%: a exigência morde em mais da metade delas.</w:t>
            </w:r>
          </w:p>
        </w:tc>
      </w:tr>
    </w:tbl>
    <w:p w14:paraId="7FAEBBD6" w14:textId="77777777" w:rsidR="00E61061" w:rsidRDefault="00000000">
      <w:pPr>
        <w:pStyle w:val="Ttulo1"/>
        <w:spacing w:before="360" w:after="160"/>
      </w:pPr>
      <w:r>
        <w:rPr>
          <w:b/>
          <w:bCs/>
          <w:color w:val="1F3864"/>
          <w:sz w:val="30"/>
          <w:szCs w:val="30"/>
        </w:rPr>
        <w:t>6. Resultado projetado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2"/>
        <w:gridCol w:w="4752"/>
        <w:gridCol w:w="2764"/>
      </w:tblGrid>
      <w:tr w:rsidR="00E61061" w14:paraId="691113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32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47B2A" w14:textId="77777777" w:rsidR="00E61061" w:rsidRDefault="00000000">
            <w:r>
              <w:rPr>
                <w:b/>
                <w:bCs/>
                <w:color w:val="FFFFFF"/>
                <w:sz w:val="18"/>
                <w:szCs w:val="19"/>
              </w:rPr>
              <w:t>Indicador</w:t>
            </w:r>
          </w:p>
        </w:tc>
        <w:tc>
          <w:tcPr>
            <w:tcW w:w="4752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5E089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9"/>
              </w:rPr>
              <w:t>Projeção do grupo</w:t>
            </w:r>
          </w:p>
        </w:tc>
        <w:tc>
          <w:tcPr>
            <w:tcW w:w="276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3BF5C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9"/>
              </w:rPr>
              <w:t>Guard-</w:t>
            </w:r>
            <w:proofErr w:type="spellStart"/>
            <w:r>
              <w:rPr>
                <w:b/>
                <w:bCs/>
                <w:color w:val="FFFFFF"/>
                <w:sz w:val="18"/>
                <w:szCs w:val="19"/>
              </w:rPr>
              <w:t>rail</w:t>
            </w:r>
            <w:proofErr w:type="spellEnd"/>
          </w:p>
        </w:tc>
      </w:tr>
      <w:tr w:rsidR="00E61061" w14:paraId="6D50E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B53A3" w14:textId="77777777" w:rsidR="00E61061" w:rsidRDefault="00000000">
            <w:r>
              <w:rPr>
                <w:b/>
                <w:bCs/>
                <w:sz w:val="18"/>
                <w:szCs w:val="19"/>
              </w:rPr>
              <w:t>Taxa de aprovação</w:t>
            </w:r>
          </w:p>
        </w:tc>
        <w:tc>
          <w:tcPr>
            <w:tcW w:w="4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47D90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52,8% — 2.642 de 5.000 propostas</w:t>
            </w:r>
          </w:p>
        </w:tc>
        <w:tc>
          <w:tcPr>
            <w:tcW w:w="27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E5FD" w14:textId="77777777" w:rsidR="00E61061" w:rsidRDefault="00000000">
            <w:pPr>
              <w:jc w:val="center"/>
            </w:pPr>
            <w:r>
              <w:rPr>
                <w:b w:val="0"/>
                <w:i w:val="0"/>
                <w:sz w:val="18"/>
              </w:rPr>
              <w:t>mínimo de 35%</w:t>
            </w:r>
          </w:p>
        </w:tc>
      </w:tr>
      <w:tr w:rsidR="00E61061" w14:paraId="0E60F1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2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D2BD8" w14:textId="77777777" w:rsidR="00E61061" w:rsidRDefault="00000000">
            <w:r>
              <w:rPr>
                <w:b/>
                <w:bCs/>
                <w:sz w:val="18"/>
                <w:szCs w:val="19"/>
              </w:rPr>
              <w:t>Volume originado</w:t>
            </w:r>
          </w:p>
        </w:tc>
        <w:tc>
          <w:tcPr>
            <w:tcW w:w="4752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7EF96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R$ 67,4 mi no cenário central; R$ 42,8 mi no adverso</w:t>
            </w:r>
          </w:p>
        </w:tc>
        <w:tc>
          <w:tcPr>
            <w:tcW w:w="2765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F1978" w14:textId="77777777" w:rsidR="00E61061" w:rsidRDefault="00000000">
            <w:pPr>
              <w:jc w:val="center"/>
            </w:pPr>
            <w:r>
              <w:rPr>
                <w:b w:val="0"/>
                <w:i w:val="0"/>
                <w:sz w:val="18"/>
              </w:rPr>
              <w:t>mínimo de R$ 40 milhões</w:t>
            </w:r>
          </w:p>
        </w:tc>
      </w:tr>
      <w:tr w:rsidR="00E61061" w14:paraId="38357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CA9D7" w14:textId="77777777" w:rsidR="00E61061" w:rsidRDefault="00000000">
            <w:r>
              <w:rPr>
                <w:b/>
                <w:bCs/>
                <w:sz w:val="18"/>
                <w:szCs w:val="19"/>
              </w:rPr>
              <w:t>Inadimplência da carteira</w:t>
            </w:r>
          </w:p>
        </w:tc>
        <w:tc>
          <w:tcPr>
            <w:tcW w:w="4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C72C0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5,93% no cenário central; 7,67% no adverso</w:t>
            </w:r>
          </w:p>
        </w:tc>
        <w:tc>
          <w:tcPr>
            <w:tcW w:w="27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FAD3" w14:textId="77777777" w:rsidR="00E61061" w:rsidRDefault="00000000">
            <w:pPr>
              <w:jc w:val="center"/>
            </w:pPr>
            <w:r>
              <w:rPr>
                <w:b w:val="0"/>
                <w:i w:val="0"/>
                <w:sz w:val="18"/>
              </w:rPr>
              <w:t>máximo de 8%</w:t>
            </w:r>
          </w:p>
        </w:tc>
      </w:tr>
      <w:tr w:rsidR="00E61061" w14:paraId="25CB8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2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D130B" w14:textId="77777777" w:rsidR="00E61061" w:rsidRDefault="00000000">
            <w:r>
              <w:rPr>
                <w:b/>
                <w:bCs/>
                <w:sz w:val="18"/>
                <w:szCs w:val="19"/>
              </w:rPr>
              <w:t>Taxa média ao mês</w:t>
            </w:r>
          </w:p>
        </w:tc>
        <w:tc>
          <w:tcPr>
            <w:tcW w:w="4752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08B7A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2,46% — máxima de 2,82%, na faixa 5</w:t>
            </w:r>
          </w:p>
        </w:tc>
        <w:tc>
          <w:tcPr>
            <w:tcW w:w="2765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3922C" w14:textId="77777777" w:rsidR="00E61061" w:rsidRDefault="00000000">
            <w:pPr>
              <w:jc w:val="center"/>
            </w:pPr>
            <w:r>
              <w:rPr>
                <w:b w:val="0"/>
                <w:i w:val="0"/>
                <w:sz w:val="18"/>
              </w:rPr>
              <w:t>teto de 3,5%</w:t>
            </w:r>
          </w:p>
        </w:tc>
      </w:tr>
      <w:tr w:rsidR="00E61061" w14:paraId="1BCBF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DA0F0" w14:textId="77777777" w:rsidR="00E61061" w:rsidRDefault="00000000">
            <w:r>
              <w:rPr>
                <w:b/>
                <w:bCs/>
                <w:sz w:val="18"/>
                <w:szCs w:val="19"/>
              </w:rPr>
              <w:t>ROI anualizado</w:t>
            </w:r>
          </w:p>
        </w:tc>
        <w:tc>
          <w:tcPr>
            <w:tcW w:w="47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3C0D8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15,7% no cenário central; 14,8% no adverso</w:t>
            </w:r>
          </w:p>
        </w:tc>
        <w:tc>
          <w:tcPr>
            <w:tcW w:w="27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A1E60" w14:textId="77777777" w:rsidR="00E61061" w:rsidRDefault="00000000">
            <w:pPr>
              <w:jc w:val="center"/>
            </w:pPr>
            <w:r>
              <w:rPr>
                <w:b w:val="0"/>
                <w:i w:val="0"/>
                <w:sz w:val="18"/>
              </w:rPr>
              <w:t>meta acima de 15%</w:t>
            </w:r>
          </w:p>
        </w:tc>
      </w:tr>
    </w:tbl>
    <w:p w14:paraId="6D68EB36" w14:textId="77777777" w:rsidR="00E61061" w:rsidRDefault="00000000">
      <w:pPr>
        <w:spacing w:after="120" w:line="276" w:lineRule="auto"/>
      </w:pPr>
      <w:r>
        <w:rPr>
          <w:b w:val="0"/>
          <w:i w:val="0"/>
        </w:rPr>
        <w:t xml:space="preserve">Uma ressalva, dita com todas as letras: no cenário adverso o ROI fica em 14,8%, </w:t>
      </w:r>
      <w:r>
        <w:rPr>
          <w:b/>
          <w:i w:val="0"/>
        </w:rPr>
        <w:t>abaixo dos 15%</w:t>
      </w:r>
      <w:r>
        <w:rPr>
          <w:b w:val="0"/>
          <w:i w:val="0"/>
        </w:rPr>
        <w:t xml:space="preserve"> pedidos pelo conselho. Aceitamos isso porque a distância entre 15,7% e 14,8% é menor que o erro do modelo de aceite que produziu os dois, e porque três dos quatro guardrails cortam a nota pela metade quando quebram. Preferimos a política que cumpre os quatro limites no pior caso à que projeta mais no caso bom.</w:t>
      </w:r>
    </w:p>
    <w:p w14:paraId="7BF8D63A" w14:textId="77777777" w:rsidR="00E61061" w:rsidRDefault="00000000">
      <w:pPr>
        <w:pStyle w:val="Ttulo1"/>
        <w:spacing w:before="360" w:after="160"/>
      </w:pPr>
      <w:r>
        <w:rPr>
          <w:b/>
          <w:bCs/>
          <w:color w:val="1F3864"/>
          <w:sz w:val="30"/>
          <w:szCs w:val="30"/>
        </w:rPr>
        <w:t>7. Riscos e limitações</w:t>
      </w:r>
    </w:p>
    <w:p w14:paraId="143F5E0B" w14:textId="77777777" w:rsidR="00E61061" w:rsidRDefault="00000000">
      <w:pPr>
        <w:spacing w:after="120" w:line="276" w:lineRule="auto"/>
      </w:pPr>
      <w:r>
        <w:rPr>
          <w:b w:val="0"/>
          <w:i w:val="0"/>
        </w:rPr>
        <w:t>Quatro, em ordem de gravidade.</w:t>
      </w:r>
    </w:p>
    <w:p w14:paraId="5E077FEB" w14:textId="77777777" w:rsidR="00E61061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i w:val="0"/>
        </w:rPr>
        <w:t>O nível da PD em mar aberto é o que pode derrubar esta política.</w:t>
      </w:r>
      <w:r>
        <w:rPr>
          <w:b w:val="0"/>
          <w:i w:val="0"/>
        </w:rPr>
        <w:t xml:space="preserve"> Se a PD real vier 40% acima da prevista, a inadimplência vai a 8,30% no cenário central e 8,95% no pessimista, e o guardrail de 8% quebra nos dois — só o otimista, com 7,72%, aguenta. A 20% acima ainda cabe, e foi para ×1,2 que dimensionamos a margem. Nenhum dado do projeto identifica o nível verdadeiro: a recomendação é recalibrar a PD na primeira safra fechada, antes de descer o corte.</w:t>
      </w:r>
    </w:p>
    <w:p w14:paraId="60C355DA" w14:textId="77777777" w:rsidR="00E61061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i w:val="0"/>
        </w:rPr>
        <w:t>Viés de aprovados.</w:t>
      </w:r>
      <w:r>
        <w:rPr>
          <w:b w:val="0"/>
          <w:i w:val="0"/>
        </w:rPr>
        <w:t xml:space="preserve"> As Bases A e B só contêm contratos que a política antiga aprovou; a Base C é mar aberto. O PSI da PD entre A e C é 0,473, deslocamento severo pelo critério usual de 0,25. Parte é composição real — a Base C traz perfis que a AutoCred recusava —, parte pode ser extrapolação do modelo, e essa parte não conseguimos separar. Não aplicamos inferência de rejeitados: sem uma proposta recusada rotulada, qualquer método seria suposição vestida de técnica.</w:t>
      </w:r>
    </w:p>
    <w:p w14:paraId="60C355DA" w14:textId="77777777" w:rsidR="00E61061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i w:val="0"/>
        </w:rPr>
        <w:t>O modelo de aceite é nosso.</w:t>
      </w:r>
      <w:r>
        <w:rPr>
          <w:b w:val="0"/>
          <w:i w:val="0"/>
        </w:rPr>
        <w:t xml:space="preserve"> Conhecemos a direção dos três efeitos — taxa maior, entrada maior e prazo menor reduzem o aceite — e não a intensidade. Os três cenários cobrem uma faixa ampla de propósito, e decidimos no pior deles.</w:t>
      </w:r>
    </w:p>
    <w:p w14:paraId="60C355DA" w14:textId="77777777" w:rsidR="00E61061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i w:val="0"/>
        </w:rPr>
        <w:t>Deriva de safra.</w:t>
      </w:r>
      <w:r>
        <w:rPr>
          <w:b w:val="0"/>
          <w:i w:val="0"/>
        </w:rPr>
        <w:t xml:space="preserve"> O default na Base A é 8,67% em 2022, 8,94% em 2023 e 7,18% em 2024. A queda de 2024 não tem explicação nos dados: melhora da política antiga ou mudança de mix. Se for mix, 2025 não herda a melhora. Validamos fora do tempo e perdemos 0,071 de AuROC na travessia — a melhor evidência que temos não cobre 2025.</w:t>
      </w:r>
    </w:p>
    <w:p w14:paraId="14221BB3" w14:textId="77777777" w:rsidR="00E61061" w:rsidRDefault="00000000">
      <w:pPr>
        <w:pStyle w:val="Ttulo1"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8. Divisão do trabalho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8"/>
        <w:gridCol w:w="6580"/>
      </w:tblGrid>
      <w:tr w:rsidR="00E61061" w14:paraId="40C206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D6576" w14:textId="77777777" w:rsidR="00E61061" w:rsidRDefault="00000000">
            <w:r>
              <w:rPr>
                <w:b/>
                <w:bCs/>
                <w:color w:val="FFFFFF"/>
                <w:sz w:val="18"/>
                <w:szCs w:val="19"/>
              </w:rPr>
              <w:t>Papel</w:t>
            </w:r>
          </w:p>
        </w:tc>
        <w:tc>
          <w:tcPr>
            <w:tcW w:w="6581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4BFC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9"/>
              </w:rPr>
              <w:t>Integrante</w:t>
            </w:r>
          </w:p>
        </w:tc>
      </w:tr>
      <w:tr w:rsidR="00E61061" w14:paraId="17553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4A41" w14:textId="77777777" w:rsidR="00E61061" w:rsidRDefault="00000000">
            <w:r>
              <w:rPr>
                <w:b/>
                <w:bCs/>
                <w:sz w:val="18"/>
                <w:szCs w:val="19"/>
              </w:rPr>
              <w:t>Modelagem (PD)</w:t>
            </w:r>
          </w:p>
        </w:tc>
        <w:tc>
          <w:tcPr>
            <w:tcW w:w="65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A7F5F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___</w:t>
            </w:r>
          </w:p>
        </w:tc>
      </w:tr>
      <w:tr w:rsidR="00E61061" w14:paraId="43B19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8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3A51" w14:textId="77777777" w:rsidR="00E61061" w:rsidRDefault="00000000">
            <w:r>
              <w:rPr>
                <w:b/>
                <w:bCs/>
                <w:sz w:val="18"/>
                <w:szCs w:val="19"/>
              </w:rPr>
              <w:t>Política e precificação</w:t>
            </w:r>
          </w:p>
        </w:tc>
        <w:tc>
          <w:tcPr>
            <w:tcW w:w="6581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CFAE2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___</w:t>
            </w:r>
          </w:p>
        </w:tc>
      </w:tr>
      <w:tr w:rsidR="00E61061" w14:paraId="5D2D4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63B02" w14:textId="77777777" w:rsidR="00E61061" w:rsidRDefault="00000000">
            <w:r>
              <w:rPr>
                <w:b/>
                <w:bCs/>
                <w:sz w:val="18"/>
                <w:szCs w:val="19"/>
              </w:rPr>
              <w:t>Negócio e defesa</w:t>
            </w:r>
          </w:p>
        </w:tc>
        <w:tc>
          <w:tcPr>
            <w:tcW w:w="65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270C7" w14:textId="77777777" w:rsidR="00E61061" w:rsidRDefault="00E61061">
            <w:pPr>
              <w:jc w:val="center"/>
            </w:pPr>
            <w:r>
              <w:rPr>
                <w:b w:val="0"/>
                <w:i w:val="0"/>
                <w:sz w:val="18"/>
              </w:rPr>
              <w:t>___</w:t>
            </w:r>
          </w:p>
        </w:tc>
      </w:tr>
    </w:tbl>
    <w:p w14:paraId="2DE9F068" w14:textId="77777777" w:rsidR="00B81ADA" w:rsidRDefault="00B81ADA"/>
    <w:sectPr w:rsidR="00B81ADA">
      <w:pgSz w:w="11906" w:h="16838"/>
      <w:pgMar w:top="11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37CA5"/>
    <w:multiLevelType w:val="hybridMultilevel"/>
    <w:tmpl w:val="287C6898"/>
    <w:lvl w:ilvl="0" w:tplc="E7985A36">
      <w:start w:val="1"/>
      <w:numFmt w:val="decimal"/>
      <w:lvlText w:val="%1."/>
      <w:lvlJc w:val="left"/>
      <w:pPr>
        <w:ind w:left="489" w:hanging="316"/>
      </w:pPr>
    </w:lvl>
    <w:lvl w:ilvl="1" w:tplc="5E684BE4">
      <w:numFmt w:val="decimal"/>
      <w:lvlText w:val=""/>
      <w:lvlJc w:val="left"/>
    </w:lvl>
    <w:lvl w:ilvl="2" w:tplc="01BAA060">
      <w:numFmt w:val="decimal"/>
      <w:lvlText w:val=""/>
      <w:lvlJc w:val="left"/>
    </w:lvl>
    <w:lvl w:ilvl="3" w:tplc="0B786ECC">
      <w:numFmt w:val="decimal"/>
      <w:lvlText w:val=""/>
      <w:lvlJc w:val="left"/>
    </w:lvl>
    <w:lvl w:ilvl="4" w:tplc="F5E85562">
      <w:numFmt w:val="decimal"/>
      <w:lvlText w:val=""/>
      <w:lvlJc w:val="left"/>
    </w:lvl>
    <w:lvl w:ilvl="5" w:tplc="E0FCAAA4">
      <w:numFmt w:val="decimal"/>
      <w:lvlText w:val=""/>
      <w:lvlJc w:val="left"/>
    </w:lvl>
    <w:lvl w:ilvl="6" w:tplc="0206E440">
      <w:numFmt w:val="decimal"/>
      <w:lvlText w:val=""/>
      <w:lvlJc w:val="left"/>
    </w:lvl>
    <w:lvl w:ilvl="7" w:tplc="2194AF64">
      <w:numFmt w:val="decimal"/>
      <w:lvlText w:val=""/>
      <w:lvlJc w:val="left"/>
    </w:lvl>
    <w:lvl w:ilvl="8" w:tplc="427AB764">
      <w:numFmt w:val="decimal"/>
      <w:lvlText w:val=""/>
      <w:lvlJc w:val="left"/>
    </w:lvl>
  </w:abstractNum>
  <w:abstractNum w:abstractNumId="1" w15:restartNumberingAfterBreak="0">
    <w:nsid w:val="66D3792E"/>
    <w:multiLevelType w:val="hybridMultilevel"/>
    <w:tmpl w:val="7428B1D0"/>
    <w:lvl w:ilvl="0" w:tplc="00C25E06">
      <w:start w:val="1"/>
      <w:numFmt w:val="bullet"/>
      <w:lvlText w:val="●"/>
      <w:lvlJc w:val="left"/>
      <w:pPr>
        <w:ind w:left="720" w:hanging="360"/>
      </w:pPr>
    </w:lvl>
    <w:lvl w:ilvl="1" w:tplc="7B8E76E4">
      <w:start w:val="1"/>
      <w:numFmt w:val="bullet"/>
      <w:lvlText w:val="○"/>
      <w:lvlJc w:val="left"/>
      <w:pPr>
        <w:ind w:left="1440" w:hanging="360"/>
      </w:pPr>
    </w:lvl>
    <w:lvl w:ilvl="2" w:tplc="80605D06">
      <w:start w:val="1"/>
      <w:numFmt w:val="bullet"/>
      <w:lvlText w:val="■"/>
      <w:lvlJc w:val="left"/>
      <w:pPr>
        <w:ind w:left="2160" w:hanging="360"/>
      </w:pPr>
    </w:lvl>
    <w:lvl w:ilvl="3" w:tplc="489288CA">
      <w:start w:val="1"/>
      <w:numFmt w:val="bullet"/>
      <w:lvlText w:val="●"/>
      <w:lvlJc w:val="left"/>
      <w:pPr>
        <w:ind w:left="2880" w:hanging="360"/>
      </w:pPr>
    </w:lvl>
    <w:lvl w:ilvl="4" w:tplc="29088E7C">
      <w:start w:val="1"/>
      <w:numFmt w:val="bullet"/>
      <w:lvlText w:val="○"/>
      <w:lvlJc w:val="left"/>
      <w:pPr>
        <w:ind w:left="3600" w:hanging="360"/>
      </w:pPr>
    </w:lvl>
    <w:lvl w:ilvl="5" w:tplc="98EC2956">
      <w:start w:val="1"/>
      <w:numFmt w:val="bullet"/>
      <w:lvlText w:val="■"/>
      <w:lvlJc w:val="left"/>
      <w:pPr>
        <w:ind w:left="4320" w:hanging="360"/>
      </w:pPr>
    </w:lvl>
    <w:lvl w:ilvl="6" w:tplc="382EB400">
      <w:start w:val="1"/>
      <w:numFmt w:val="bullet"/>
      <w:lvlText w:val="●"/>
      <w:lvlJc w:val="left"/>
      <w:pPr>
        <w:ind w:left="5040" w:hanging="360"/>
      </w:pPr>
    </w:lvl>
    <w:lvl w:ilvl="7" w:tplc="0B7E3246">
      <w:start w:val="1"/>
      <w:numFmt w:val="bullet"/>
      <w:lvlText w:val="●"/>
      <w:lvlJc w:val="left"/>
      <w:pPr>
        <w:ind w:left="5760" w:hanging="360"/>
      </w:pPr>
    </w:lvl>
    <w:lvl w:ilvl="8" w:tplc="05D883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AF3599"/>
    <w:multiLevelType w:val="hybridMultilevel"/>
    <w:tmpl w:val="EF067D98"/>
    <w:lvl w:ilvl="0" w:tplc="CD9C5764">
      <w:start w:val="1"/>
      <w:numFmt w:val="bullet"/>
      <w:lvlText w:val="•"/>
      <w:lvlJc w:val="left"/>
      <w:pPr>
        <w:ind w:left="431" w:hanging="259"/>
      </w:pPr>
    </w:lvl>
    <w:lvl w:ilvl="1" w:tplc="232CB3E0">
      <w:numFmt w:val="decimal"/>
      <w:lvlText w:val=""/>
      <w:lvlJc w:val="left"/>
    </w:lvl>
    <w:lvl w:ilvl="2" w:tplc="1C16E816">
      <w:numFmt w:val="decimal"/>
      <w:lvlText w:val=""/>
      <w:lvlJc w:val="left"/>
    </w:lvl>
    <w:lvl w:ilvl="3" w:tplc="2B944E2C">
      <w:numFmt w:val="decimal"/>
      <w:lvlText w:val=""/>
      <w:lvlJc w:val="left"/>
    </w:lvl>
    <w:lvl w:ilvl="4" w:tplc="59C08D34">
      <w:numFmt w:val="decimal"/>
      <w:lvlText w:val=""/>
      <w:lvlJc w:val="left"/>
    </w:lvl>
    <w:lvl w:ilvl="5" w:tplc="9B4AF126">
      <w:numFmt w:val="decimal"/>
      <w:lvlText w:val=""/>
      <w:lvlJc w:val="left"/>
    </w:lvl>
    <w:lvl w:ilvl="6" w:tplc="FD2C14DE">
      <w:numFmt w:val="decimal"/>
      <w:lvlText w:val=""/>
      <w:lvlJc w:val="left"/>
    </w:lvl>
    <w:lvl w:ilvl="7" w:tplc="10ACECFE">
      <w:numFmt w:val="decimal"/>
      <w:lvlText w:val=""/>
      <w:lvlJc w:val="left"/>
    </w:lvl>
    <w:lvl w:ilvl="8" w:tplc="5686CF12">
      <w:numFmt w:val="decimal"/>
      <w:lvlText w:val=""/>
      <w:lvlJc w:val="left"/>
    </w:lvl>
  </w:abstractNum>
  <w:num w:numId="1" w16cid:durableId="2092190764">
    <w:abstractNumId w:val="1"/>
    <w:lvlOverride w:ilvl="0">
      <w:startOverride w:val="1"/>
    </w:lvlOverride>
  </w:num>
  <w:num w:numId="2" w16cid:durableId="3488721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061"/>
    <w:rsid w:val="00643FAA"/>
    <w:rsid w:val="008A5A64"/>
    <w:rsid w:val="00B81ADA"/>
    <w:rsid w:val="00E6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A1FE91"/>
  <w15:docId w15:val="{F13C6B80-E705-A543-8060-3A10A3A6D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497</Words>
  <Characters>2274</Characters>
  <Application>Microsoft Office Word</Application>
  <DocSecurity>0</DocSecurity>
  <Lines>206</Lines>
  <Paragraphs>92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AutoCred — Modelo de Documento de Política de Crédito</dc:title>
  <dc:creator>Analítica Educação — Programa Jump</dc:creator>
  <cp:lastModifiedBy>Vinicius Souza</cp:lastModifiedBy>
  <cp:revision>2</cp:revision>
  <dcterms:created xsi:type="dcterms:W3CDTF">2026-09-12T04:30:00Z</dcterms:created>
  <dcterms:modified xsi:type="dcterms:W3CDTF">2026-09-12T13:17:00Z</dcterms:modified>
</cp:coreProperties>
</file>