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6C67" w14:textId="6ECA34F3" w:rsidR="003D4FF6" w:rsidRPr="00295BEF" w:rsidRDefault="006E7C77" w:rsidP="003D4FF6">
      <w:pPr>
        <w:jc w:val="center"/>
        <w:rPr>
          <w:b/>
          <w:bCs/>
        </w:rPr>
      </w:pPr>
      <w:r>
        <w:rPr>
          <w:b/>
          <w:bCs/>
        </w:rPr>
        <w:t xml:space="preserve">Soil Legacy </w:t>
      </w:r>
      <w:r w:rsidR="00D42C18">
        <w:rPr>
          <w:b/>
          <w:bCs/>
        </w:rPr>
        <w:t xml:space="preserve">Effects </w:t>
      </w:r>
      <w:r w:rsidR="003D4FF6" w:rsidRPr="00295BEF">
        <w:rPr>
          <w:b/>
          <w:bCs/>
        </w:rPr>
        <w:t xml:space="preserve">and Arbuscular Mycorrhizal Fungi </w:t>
      </w:r>
      <w:r w:rsidR="0014625A">
        <w:rPr>
          <w:b/>
          <w:bCs/>
        </w:rPr>
        <w:t xml:space="preserve">Throughout an </w:t>
      </w:r>
      <w:r w:rsidR="003D4FF6" w:rsidRPr="00295BEF">
        <w:rPr>
          <w:b/>
          <w:bCs/>
        </w:rPr>
        <w:t>Invasive Plant</w:t>
      </w:r>
      <w:r w:rsidR="0014625A">
        <w:rPr>
          <w:b/>
          <w:bCs/>
        </w:rPr>
        <w:t>’s Range</w:t>
      </w:r>
    </w:p>
    <w:p w14:paraId="3B7967EC" w14:textId="694301A3" w:rsidR="00997C23" w:rsidRDefault="00997C23"/>
    <w:p w14:paraId="4AA2CC97" w14:textId="6A09083B" w:rsidR="003D4FF6" w:rsidRPr="0087659D" w:rsidRDefault="003D4FF6" w:rsidP="003D4FF6">
      <w:pPr>
        <w:jc w:val="center"/>
      </w:pPr>
      <w:r>
        <w:t>Logan Novak</w:t>
      </w:r>
      <w:r>
        <w:rPr>
          <w:vertAlign w:val="superscript"/>
        </w:rPr>
        <w:t>1,2</w:t>
      </w:r>
      <w:r>
        <w:t>, Gregory Mueller</w:t>
      </w:r>
      <w:r>
        <w:rPr>
          <w:vertAlign w:val="superscript"/>
        </w:rPr>
        <w:t>1</w:t>
      </w:r>
      <w:r w:rsidR="0087659D">
        <w:t xml:space="preserve"> &amp; Louise Egerton-Warburton</w:t>
      </w:r>
      <w:r w:rsidR="0087659D">
        <w:rPr>
          <w:vertAlign w:val="superscript"/>
        </w:rPr>
        <w:t>1</w:t>
      </w:r>
    </w:p>
    <w:p w14:paraId="0AA7261A" w14:textId="77777777" w:rsidR="00075413" w:rsidRDefault="00075413" w:rsidP="003D4FF6">
      <w:pPr>
        <w:jc w:val="center"/>
        <w:rPr>
          <w:vertAlign w:val="superscript"/>
        </w:rPr>
      </w:pPr>
    </w:p>
    <w:p w14:paraId="43CCFA01" w14:textId="496D6220" w:rsidR="003D4FF6" w:rsidRDefault="003D4FF6" w:rsidP="003D4FF6">
      <w:pPr>
        <w:jc w:val="center"/>
      </w:pPr>
      <w:r>
        <w:rPr>
          <w:vertAlign w:val="superscript"/>
        </w:rPr>
        <w:t>1</w:t>
      </w:r>
      <w:r>
        <w:t xml:space="preserve">Plant </w:t>
      </w:r>
      <w:r w:rsidR="00075413">
        <w:t>Science and Conservation, Chicago Botanic Garden, Glencoe, IL, USA</w:t>
      </w:r>
    </w:p>
    <w:p w14:paraId="045A45B0" w14:textId="48A1F46B" w:rsidR="00075413" w:rsidRDefault="00075413" w:rsidP="00075413">
      <w:pPr>
        <w:jc w:val="center"/>
      </w:pPr>
      <w:r>
        <w:rPr>
          <w:vertAlign w:val="superscript"/>
        </w:rPr>
        <w:t>2</w:t>
      </w:r>
      <w:r>
        <w:t>Plant Biology and Conservation, Northwestern University, Evanston, IL, USA</w:t>
      </w:r>
    </w:p>
    <w:p w14:paraId="363E76BB" w14:textId="155DB1A3" w:rsidR="000A081F" w:rsidRDefault="000A081F" w:rsidP="00075413">
      <w:pPr>
        <w:jc w:val="center"/>
      </w:pPr>
    </w:p>
    <w:p w14:paraId="46747B8D" w14:textId="689C4804" w:rsidR="000A081F" w:rsidRDefault="000A081F" w:rsidP="00075413">
      <w:pPr>
        <w:jc w:val="center"/>
      </w:pPr>
      <w:r>
        <w:t>Correspond</w:t>
      </w:r>
      <w:r w:rsidR="00DA1217">
        <w:t>ing Author</w:t>
      </w:r>
      <w:r>
        <w:t xml:space="preserve">: Logan Novak; </w:t>
      </w:r>
      <w:hyperlink r:id="rId4" w:history="1">
        <w:r w:rsidRPr="00B7448A">
          <w:rPr>
            <w:rStyle w:val="Hyperlink"/>
          </w:rPr>
          <w:t>logan.novak@uga.edu</w:t>
        </w:r>
      </w:hyperlink>
    </w:p>
    <w:p w14:paraId="52A40A37" w14:textId="7A28B8EB" w:rsidR="000A081F" w:rsidRDefault="000A081F" w:rsidP="00075413">
      <w:pPr>
        <w:jc w:val="center"/>
      </w:pPr>
    </w:p>
    <w:p w14:paraId="074B0084" w14:textId="04448558" w:rsidR="000A081F" w:rsidRDefault="000A081F" w:rsidP="00075413">
      <w:pPr>
        <w:jc w:val="center"/>
      </w:pPr>
      <w:r>
        <w:t xml:space="preserve">Funding Information: </w:t>
      </w:r>
    </w:p>
    <w:p w14:paraId="53BC3E69" w14:textId="07B7D8E6" w:rsidR="000A081F" w:rsidRDefault="000A081F" w:rsidP="00075413">
      <w:pPr>
        <w:jc w:val="center"/>
      </w:pPr>
      <w:r>
        <w:t>Plant Biology and Conservation Program, Northwestern University</w:t>
      </w:r>
    </w:p>
    <w:p w14:paraId="3308B012" w14:textId="2B96C4E8" w:rsidR="006143BB" w:rsidRDefault="006143BB" w:rsidP="00075413">
      <w:pPr>
        <w:jc w:val="center"/>
      </w:pPr>
      <w:r>
        <w:t>Rocky Mountain Biological Lab</w:t>
      </w:r>
    </w:p>
    <w:p w14:paraId="2F7FD793" w14:textId="00219297" w:rsidR="000A081F" w:rsidRDefault="000A081F" w:rsidP="00075413">
      <w:pPr>
        <w:jc w:val="center"/>
      </w:pPr>
      <w:r>
        <w:t xml:space="preserve">Francis Y. </w:t>
      </w:r>
      <w:proofErr w:type="spellStart"/>
      <w:r>
        <w:t>Kwong</w:t>
      </w:r>
      <w:proofErr w:type="spellEnd"/>
      <w:r w:rsidR="006143BB">
        <w:t xml:space="preserve"> Memorial</w:t>
      </w:r>
    </w:p>
    <w:p w14:paraId="23016C0C" w14:textId="56AD7CEE" w:rsidR="006143BB" w:rsidRDefault="006143BB" w:rsidP="00075413">
      <w:pPr>
        <w:jc w:val="center"/>
      </w:pPr>
      <w:r>
        <w:t>Elmhurst Garden Club</w:t>
      </w:r>
    </w:p>
    <w:p w14:paraId="589E8E80" w14:textId="55CDAEBF" w:rsidR="003336AA" w:rsidRDefault="003336AA" w:rsidP="00075413">
      <w:pPr>
        <w:jc w:val="center"/>
      </w:pPr>
    </w:p>
    <w:p w14:paraId="4EB5C4F4" w14:textId="2E51B03D" w:rsidR="003336AA" w:rsidRDefault="003336AA" w:rsidP="00075413">
      <w:pPr>
        <w:jc w:val="center"/>
      </w:pPr>
    </w:p>
    <w:p w14:paraId="0EE2E7B5" w14:textId="31DFD289" w:rsidR="003336AA" w:rsidRDefault="003336AA" w:rsidP="00075413">
      <w:pPr>
        <w:jc w:val="center"/>
      </w:pPr>
    </w:p>
    <w:p w14:paraId="729CAC0E" w14:textId="7F819090" w:rsidR="003336AA" w:rsidRDefault="003336AA" w:rsidP="00075413">
      <w:pPr>
        <w:jc w:val="center"/>
      </w:pPr>
    </w:p>
    <w:p w14:paraId="2893F1B4" w14:textId="32700F43" w:rsidR="003336AA" w:rsidRDefault="000A211F" w:rsidP="00075413">
      <w:pPr>
        <w:jc w:val="center"/>
      </w:pPr>
      <w:r>
        <w:t>Keywords:</w:t>
      </w:r>
      <w:r w:rsidRPr="000A211F">
        <w:t xml:space="preserve"> </w:t>
      </w:r>
      <w:r w:rsidR="000B0BEB">
        <w:t xml:space="preserve">Invasive Species, </w:t>
      </w:r>
      <w:r>
        <w:t xml:space="preserve">Mycorrhizal Fungi, </w:t>
      </w:r>
      <w:r w:rsidR="00373F70">
        <w:t>Biogeography</w:t>
      </w:r>
      <w:r w:rsidR="001C6E21">
        <w:t>, Legacy Effects</w:t>
      </w:r>
    </w:p>
    <w:p w14:paraId="44901924" w14:textId="67215FC1" w:rsidR="003336AA" w:rsidRDefault="003336AA" w:rsidP="00075413">
      <w:pPr>
        <w:jc w:val="center"/>
      </w:pPr>
    </w:p>
    <w:p w14:paraId="06635B9D" w14:textId="2CBE4A1D" w:rsidR="003336AA" w:rsidRDefault="003336AA" w:rsidP="00075413">
      <w:pPr>
        <w:jc w:val="center"/>
      </w:pPr>
    </w:p>
    <w:p w14:paraId="1B2DF73B" w14:textId="4D724ADB" w:rsidR="003336AA" w:rsidRDefault="003336AA" w:rsidP="00075413">
      <w:pPr>
        <w:jc w:val="center"/>
      </w:pPr>
    </w:p>
    <w:p w14:paraId="34AE84C8" w14:textId="2628C29A" w:rsidR="003336AA" w:rsidRDefault="003336AA" w:rsidP="00075413">
      <w:pPr>
        <w:jc w:val="center"/>
      </w:pPr>
    </w:p>
    <w:p w14:paraId="04BE4E8A" w14:textId="13D7A747" w:rsidR="003336AA" w:rsidRDefault="003336AA" w:rsidP="00075413">
      <w:pPr>
        <w:jc w:val="center"/>
      </w:pPr>
    </w:p>
    <w:p w14:paraId="53390989" w14:textId="4E2FB631" w:rsidR="003336AA" w:rsidRDefault="003336AA" w:rsidP="00075413">
      <w:pPr>
        <w:jc w:val="center"/>
      </w:pPr>
    </w:p>
    <w:p w14:paraId="176D6572" w14:textId="5AD9929D" w:rsidR="003336AA" w:rsidRDefault="003336AA" w:rsidP="00075413">
      <w:pPr>
        <w:jc w:val="center"/>
      </w:pPr>
    </w:p>
    <w:p w14:paraId="67DA86D2" w14:textId="457314CF" w:rsidR="003336AA" w:rsidRDefault="003336AA" w:rsidP="00075413">
      <w:pPr>
        <w:jc w:val="center"/>
      </w:pPr>
    </w:p>
    <w:p w14:paraId="6AF21FF7" w14:textId="65C12D9B" w:rsidR="003336AA" w:rsidRDefault="003336AA" w:rsidP="00075413">
      <w:pPr>
        <w:jc w:val="center"/>
      </w:pPr>
    </w:p>
    <w:p w14:paraId="3EFF7C49" w14:textId="6A4FC25A" w:rsidR="003336AA" w:rsidRDefault="003336AA" w:rsidP="00075413">
      <w:pPr>
        <w:jc w:val="center"/>
      </w:pPr>
    </w:p>
    <w:p w14:paraId="10DFDBA0" w14:textId="76F9564C" w:rsidR="003336AA" w:rsidRDefault="003336AA" w:rsidP="00075413">
      <w:pPr>
        <w:jc w:val="center"/>
      </w:pPr>
    </w:p>
    <w:p w14:paraId="5670A542" w14:textId="3A80B45C" w:rsidR="003336AA" w:rsidRDefault="003336AA" w:rsidP="00075413">
      <w:pPr>
        <w:jc w:val="center"/>
      </w:pPr>
    </w:p>
    <w:p w14:paraId="76941006" w14:textId="2937B7E2" w:rsidR="003336AA" w:rsidRDefault="003336AA" w:rsidP="00075413">
      <w:pPr>
        <w:jc w:val="center"/>
      </w:pPr>
    </w:p>
    <w:p w14:paraId="59961CC3" w14:textId="6EDA3F80" w:rsidR="003336AA" w:rsidRDefault="003336AA" w:rsidP="00075413">
      <w:pPr>
        <w:jc w:val="center"/>
      </w:pPr>
    </w:p>
    <w:p w14:paraId="45C30976" w14:textId="664EC65C" w:rsidR="003336AA" w:rsidRDefault="003336AA" w:rsidP="00075413">
      <w:pPr>
        <w:jc w:val="center"/>
      </w:pPr>
    </w:p>
    <w:p w14:paraId="771CB719" w14:textId="23A927B4" w:rsidR="003336AA" w:rsidRDefault="003336AA" w:rsidP="00075413">
      <w:pPr>
        <w:jc w:val="center"/>
      </w:pPr>
    </w:p>
    <w:p w14:paraId="2B64F457" w14:textId="5AFE802D" w:rsidR="003336AA" w:rsidRDefault="003336AA" w:rsidP="00075413">
      <w:pPr>
        <w:jc w:val="center"/>
      </w:pPr>
    </w:p>
    <w:p w14:paraId="70881EA1" w14:textId="310BEFFD" w:rsidR="003336AA" w:rsidRDefault="003336AA" w:rsidP="00075413">
      <w:pPr>
        <w:jc w:val="center"/>
      </w:pPr>
    </w:p>
    <w:p w14:paraId="32028D29" w14:textId="26EE25FA" w:rsidR="003336AA" w:rsidRDefault="003336AA" w:rsidP="00075413">
      <w:pPr>
        <w:jc w:val="center"/>
      </w:pPr>
    </w:p>
    <w:p w14:paraId="1933B79F" w14:textId="70181365" w:rsidR="003336AA" w:rsidRDefault="003336AA" w:rsidP="00075413">
      <w:pPr>
        <w:jc w:val="center"/>
      </w:pPr>
    </w:p>
    <w:p w14:paraId="66ACF237" w14:textId="13D510CF" w:rsidR="003336AA" w:rsidRDefault="003336AA" w:rsidP="00075413">
      <w:pPr>
        <w:jc w:val="center"/>
      </w:pPr>
    </w:p>
    <w:p w14:paraId="6FF28D18" w14:textId="471BBEE4" w:rsidR="003336AA" w:rsidRDefault="003336AA" w:rsidP="00075413">
      <w:pPr>
        <w:jc w:val="center"/>
      </w:pPr>
    </w:p>
    <w:p w14:paraId="0E76FD55" w14:textId="05E16AD1" w:rsidR="003336AA" w:rsidRDefault="003336AA" w:rsidP="00075413">
      <w:pPr>
        <w:jc w:val="center"/>
      </w:pPr>
    </w:p>
    <w:p w14:paraId="33CB8B99" w14:textId="22B744DA" w:rsidR="003336AA" w:rsidRDefault="003336AA" w:rsidP="00075413">
      <w:pPr>
        <w:jc w:val="center"/>
      </w:pPr>
    </w:p>
    <w:p w14:paraId="557E8A60" w14:textId="77777777" w:rsidR="00CC4E09" w:rsidRDefault="00CC4E09" w:rsidP="00385163"/>
    <w:p w14:paraId="5663F3C5" w14:textId="77777777" w:rsidR="00D267FF" w:rsidRDefault="00D267FF" w:rsidP="00385163">
      <w:pPr>
        <w:rPr>
          <w:b/>
          <w:bCs/>
        </w:rPr>
      </w:pPr>
    </w:p>
    <w:p w14:paraId="3CADE5E4" w14:textId="7F4A09B9" w:rsidR="002A4CBC" w:rsidRPr="00722BFA" w:rsidRDefault="000A211F" w:rsidP="00385163">
      <w:pPr>
        <w:rPr>
          <w:b/>
          <w:bCs/>
        </w:rPr>
      </w:pPr>
      <w:r>
        <w:rPr>
          <w:b/>
          <w:bCs/>
        </w:rPr>
        <w:lastRenderedPageBreak/>
        <w:t>Introduction</w:t>
      </w:r>
    </w:p>
    <w:p w14:paraId="194CE67F" w14:textId="0B153826" w:rsidR="00DD6178" w:rsidRDefault="00DD6178" w:rsidP="00DD6178">
      <w:pPr>
        <w:ind w:firstLine="720"/>
      </w:pPr>
      <w:r w:rsidRPr="00BC3E56">
        <w:t>Invasive species reduce species diversity worldwide because of their ability to dominate natural areas (Mack et al 2000). It has been theorized that invasive species’ pervasiveness comes from their lack of predators and pathogens, their ability to colonize disturbed sites, or their novel interactions outside of their native environment</w:t>
      </w:r>
      <w:r>
        <w:t>,</w:t>
      </w:r>
      <w:r w:rsidRPr="00BC3E56">
        <w:t xml:space="preserve"> among other mechanisms (Keane &amp; Crawley 2002; </w:t>
      </w:r>
      <w:proofErr w:type="spellStart"/>
      <w:r w:rsidRPr="00BC3E56">
        <w:t>Simberloff</w:t>
      </w:r>
      <w:proofErr w:type="spellEnd"/>
      <w:r w:rsidRPr="00BC3E56">
        <w:t xml:space="preserve"> 2010). However, invasion success can be variable, with only a fraction of species becoming invasive and only in certain areas outside of their endemic range (Mack et al 2000). Environmental factors, such as climate and nutrient availability, as well as the interactions between invasive and native species can all affect the range and severity of a species’ invasion (Hayes &amp; Barry 2007; Yang et al 2013).</w:t>
      </w:r>
    </w:p>
    <w:p w14:paraId="2AFEB490" w14:textId="2A9AFFE9" w:rsidR="008265A8" w:rsidRDefault="00A8095A" w:rsidP="00E37979">
      <w:pPr>
        <w:ind w:firstLine="720"/>
      </w:pPr>
      <w:r>
        <w:t>I</w:t>
      </w:r>
      <w:r w:rsidR="00722BFA">
        <w:t xml:space="preserve">nteractions between </w:t>
      </w:r>
      <w:r w:rsidR="00BD4403">
        <w:t xml:space="preserve">native </w:t>
      </w:r>
      <w:r w:rsidR="00722BFA">
        <w:t xml:space="preserve">soil microbes and </w:t>
      </w:r>
      <w:r w:rsidR="00BD4403">
        <w:t xml:space="preserve">non-native </w:t>
      </w:r>
      <w:r w:rsidR="00722BFA">
        <w:t>plants</w:t>
      </w:r>
      <w:r w:rsidR="0030391E">
        <w:t xml:space="preserve"> </w:t>
      </w:r>
      <w:r w:rsidR="00BD4403">
        <w:t xml:space="preserve">are important determinants </w:t>
      </w:r>
      <w:r w:rsidR="00722FA7">
        <w:t>of</w:t>
      </w:r>
      <w:r w:rsidR="00BD4403">
        <w:t xml:space="preserve"> whether a species becomes</w:t>
      </w:r>
      <w:r w:rsidR="008749D9">
        <w:t xml:space="preserve"> </w:t>
      </w:r>
      <w:r w:rsidR="00017EAF">
        <w:t xml:space="preserve">a successful </w:t>
      </w:r>
      <w:r w:rsidR="008749D9">
        <w:t>inva</w:t>
      </w:r>
      <w:r w:rsidR="00017EAF">
        <w:t>der</w:t>
      </w:r>
      <w:r w:rsidR="00304233">
        <w:t xml:space="preserve">. </w:t>
      </w:r>
      <w:r w:rsidR="00212FF8">
        <w:t xml:space="preserve">Plant-soil </w:t>
      </w:r>
      <w:r w:rsidR="0047574E">
        <w:t xml:space="preserve">interactions </w:t>
      </w:r>
      <w:r w:rsidR="00304233">
        <w:t>range from mutualistic to parasitic</w:t>
      </w:r>
      <w:r w:rsidR="00D466C2">
        <w:t xml:space="preserve">, </w:t>
      </w:r>
      <w:r w:rsidR="004877AA">
        <w:t xml:space="preserve">often </w:t>
      </w:r>
      <w:r w:rsidR="00E57395">
        <w:t>depending on whether plants gain or lose nutrients from the interaction</w:t>
      </w:r>
      <w:r w:rsidR="00995070">
        <w:t xml:space="preserve"> (Johnson et al 1997)</w:t>
      </w:r>
      <w:r w:rsidR="00D76DAF">
        <w:t xml:space="preserve">. Interactions with </w:t>
      </w:r>
      <w:r w:rsidR="00AC76EA">
        <w:t xml:space="preserve">mutualistic </w:t>
      </w:r>
      <w:r w:rsidR="00D76DAF">
        <w:t>soil microbes</w:t>
      </w:r>
      <w:r w:rsidR="00E57395">
        <w:t xml:space="preserve"> </w:t>
      </w:r>
      <w:r w:rsidR="00304233">
        <w:t>c</w:t>
      </w:r>
      <w:r w:rsidR="00D466C2">
        <w:t>ould</w:t>
      </w:r>
      <w:r w:rsidR="00304233">
        <w:t xml:space="preserve"> be responsible for </w:t>
      </w:r>
      <w:r w:rsidR="00D466C2">
        <w:t xml:space="preserve">a </w:t>
      </w:r>
      <w:r w:rsidR="00304233">
        <w:t>plant species’ success in a</w:t>
      </w:r>
      <w:r w:rsidR="00232C62">
        <w:t xml:space="preserve"> nutrient-limited </w:t>
      </w:r>
      <w:r w:rsidR="00304233">
        <w:t>environment</w:t>
      </w:r>
      <w:r w:rsidR="00D976B2">
        <w:t xml:space="preserve"> </w:t>
      </w:r>
      <w:r w:rsidR="00865A6E">
        <w:t>(</w:t>
      </w:r>
      <w:r w:rsidR="007D711B">
        <w:t xml:space="preserve">Richardson et al 2009; </w:t>
      </w:r>
      <w:r w:rsidR="006C592A">
        <w:t>Yoshida et al 2004</w:t>
      </w:r>
      <w:r w:rsidR="00865A6E">
        <w:t>)</w:t>
      </w:r>
      <w:r w:rsidR="00304233">
        <w:t>.</w:t>
      </w:r>
      <w:r w:rsidR="00560558">
        <w:t xml:space="preserve"> </w:t>
      </w:r>
      <w:r w:rsidR="00932AFC">
        <w:t xml:space="preserve">Whereas in </w:t>
      </w:r>
      <w:r w:rsidR="00EC4137">
        <w:t>nutrient</w:t>
      </w:r>
      <w:r w:rsidR="00932AFC">
        <w:t>-rich environments</w:t>
      </w:r>
      <w:r w:rsidR="00EC4137">
        <w:t xml:space="preserve">, </w:t>
      </w:r>
      <w:r w:rsidR="00932AFC">
        <w:t xml:space="preserve">microbes can become parasitic, </w:t>
      </w:r>
      <w:r w:rsidR="00EC4137">
        <w:t xml:space="preserve">which could </w:t>
      </w:r>
      <w:r w:rsidR="000B732C">
        <w:t>inhibit a plant species’ dominance in the community</w:t>
      </w:r>
      <w:r w:rsidR="00295F32">
        <w:t xml:space="preserve"> (</w:t>
      </w:r>
      <w:r w:rsidR="00295F32" w:rsidRPr="00BC3E56">
        <w:t>Bever 2002</w:t>
      </w:r>
      <w:r w:rsidR="00295F32">
        <w:t>)</w:t>
      </w:r>
      <w:r w:rsidR="000B732C">
        <w:t xml:space="preserve">. </w:t>
      </w:r>
      <w:r w:rsidR="009A348D">
        <w:t xml:space="preserve">Invasive plants often interact with soil microbes in their novel range and these interactions have proven important </w:t>
      </w:r>
      <w:r w:rsidR="006E29BA">
        <w:t xml:space="preserve">in </w:t>
      </w:r>
      <w:r w:rsidR="009A348D">
        <w:t>enhancing or inhibiting invasion in several species (</w:t>
      </w:r>
      <w:r w:rsidR="006C592A" w:rsidRPr="00BC3E56">
        <w:t>Reinhart &amp; Callaway 2006</w:t>
      </w:r>
      <w:r w:rsidR="00D7331B">
        <w:t>; Yang et al 2013</w:t>
      </w:r>
      <w:r w:rsidR="00F44EEC">
        <w:t xml:space="preserve">). </w:t>
      </w:r>
    </w:p>
    <w:p w14:paraId="01E7DEB8" w14:textId="4C7DF3D4" w:rsidR="007A412B" w:rsidRDefault="008265A8" w:rsidP="00E37979">
      <w:pPr>
        <w:ind w:firstLine="720"/>
      </w:pPr>
      <w:r>
        <w:t>While plants can have large ranges spanning continents, soil microbial communities are highly variable depending on their plant hosts and under different environmental conditions (</w:t>
      </w:r>
      <w:proofErr w:type="spellStart"/>
      <w:r w:rsidR="00B82A19">
        <w:t>Afkhami</w:t>
      </w:r>
      <w:proofErr w:type="spellEnd"/>
      <w:r w:rsidR="00B82A19">
        <w:t xml:space="preserve"> et al 2014; </w:t>
      </w:r>
      <w:r>
        <w:t xml:space="preserve">Van der </w:t>
      </w:r>
      <w:proofErr w:type="spellStart"/>
      <w:r>
        <w:t>Heidjen</w:t>
      </w:r>
      <w:proofErr w:type="spellEnd"/>
      <w:r>
        <w:t xml:space="preserve"> 2002). </w:t>
      </w:r>
      <w:r w:rsidR="00560558">
        <w:t>When a</w:t>
      </w:r>
      <w:r w:rsidR="00B77B3A">
        <w:t>n invasive</w:t>
      </w:r>
      <w:r w:rsidR="00560558">
        <w:t xml:space="preserve"> plant expands beyond its historic range, it may escape coevolved parasitic and pathogenic soil microbes or novel interactions could enhance or suppress its growth</w:t>
      </w:r>
      <w:r w:rsidR="00CB0A7B">
        <w:t xml:space="preserve">, influencing whether </w:t>
      </w:r>
      <w:r w:rsidR="001E58DB">
        <w:t>the</w:t>
      </w:r>
      <w:r w:rsidR="00CB0A7B">
        <w:t xml:space="preserve"> species becomes</w:t>
      </w:r>
      <w:r w:rsidR="00776693">
        <w:t xml:space="preserve"> invasive </w:t>
      </w:r>
      <w:r w:rsidR="00560558">
        <w:t>(</w:t>
      </w:r>
      <w:proofErr w:type="spellStart"/>
      <w:r w:rsidR="007740E4">
        <w:t>Klironomos</w:t>
      </w:r>
      <w:proofErr w:type="spellEnd"/>
      <w:r w:rsidR="007740E4">
        <w:t xml:space="preserve"> 2002; </w:t>
      </w:r>
      <w:r w:rsidR="00B155DF">
        <w:t>Maron et al 2013</w:t>
      </w:r>
      <w:r w:rsidR="007A2F5F">
        <w:t xml:space="preserve">; </w:t>
      </w:r>
      <w:r w:rsidR="007C43CC">
        <w:t>Shah et al 2009</w:t>
      </w:r>
      <w:r w:rsidR="00560558">
        <w:t xml:space="preserve">). </w:t>
      </w:r>
      <w:r w:rsidR="00363F13" w:rsidRPr="00702A26">
        <w:t xml:space="preserve">Several studies </w:t>
      </w:r>
      <w:r w:rsidR="00363F13">
        <w:t xml:space="preserve">demonstrate </w:t>
      </w:r>
      <w:r w:rsidR="00363F13" w:rsidRPr="00702A26">
        <w:t xml:space="preserve">invasive plants </w:t>
      </w:r>
      <w:r w:rsidR="00363F13">
        <w:t xml:space="preserve">with </w:t>
      </w:r>
      <w:r w:rsidR="00363F13" w:rsidRPr="00702A26">
        <w:t xml:space="preserve">negative soil feedbacks in their native range and positive feedbacks in their introduced range, suggesting that pathogen escape and/or new associations with </w:t>
      </w:r>
      <w:r w:rsidR="00363F13">
        <w:t xml:space="preserve">mutualistic microbes </w:t>
      </w:r>
      <w:r w:rsidR="00363F13" w:rsidRPr="00702A26">
        <w:t xml:space="preserve">may explain plants success </w:t>
      </w:r>
      <w:r w:rsidR="007A1440">
        <w:t xml:space="preserve">in certain areas over others </w:t>
      </w:r>
      <w:r w:rsidR="00363F13" w:rsidRPr="00702A26">
        <w:t xml:space="preserve">(Callaway et al 2004; </w:t>
      </w:r>
      <w:proofErr w:type="spellStart"/>
      <w:r w:rsidR="00363F13" w:rsidRPr="00702A26">
        <w:t>Dostálek</w:t>
      </w:r>
      <w:proofErr w:type="spellEnd"/>
      <w:r w:rsidR="00363F13" w:rsidRPr="00702A26">
        <w:t xml:space="preserve"> et al 2016; Reinhart </w:t>
      </w:r>
      <w:r w:rsidR="00AC69DC">
        <w:t xml:space="preserve">et al </w:t>
      </w:r>
      <w:r w:rsidR="00363F13" w:rsidRPr="00702A26">
        <w:t>200</w:t>
      </w:r>
      <w:r w:rsidR="00AC69DC">
        <w:t>3</w:t>
      </w:r>
      <w:r w:rsidR="00363F13" w:rsidRPr="00702A26">
        <w:t>).</w:t>
      </w:r>
    </w:p>
    <w:p w14:paraId="645A9084" w14:textId="5CBA0145" w:rsidR="00357D2F" w:rsidRDefault="00567DAD" w:rsidP="00B83674">
      <w:pPr>
        <w:ind w:firstLine="720"/>
      </w:pPr>
      <w:r>
        <w:t>S</w:t>
      </w:r>
      <w:r w:rsidR="00040546">
        <w:t xml:space="preserve">ome </w:t>
      </w:r>
      <w:r w:rsidR="00CE18C4">
        <w:t xml:space="preserve">invasive </w:t>
      </w:r>
      <w:r w:rsidR="0093564E">
        <w:t>plants</w:t>
      </w:r>
      <w:r w:rsidR="00E353A4">
        <w:t xml:space="preserve"> </w:t>
      </w:r>
      <w:r w:rsidR="00587F5F">
        <w:t xml:space="preserve">have adapted to </w:t>
      </w:r>
      <w:r w:rsidR="00040546">
        <w:t xml:space="preserve">drive shifts in the </w:t>
      </w:r>
      <w:r w:rsidR="0093564E">
        <w:t>microbial communit</w:t>
      </w:r>
      <w:r w:rsidR="00040546">
        <w:t>y around them</w:t>
      </w:r>
      <w:r w:rsidR="00276208">
        <w:t>, which could expand their range by increasing suitable habitat</w:t>
      </w:r>
      <w:r w:rsidR="00E67074">
        <w:t xml:space="preserve"> </w:t>
      </w:r>
      <w:r w:rsidR="0031654B">
        <w:t xml:space="preserve">or </w:t>
      </w:r>
      <w:r w:rsidR="00CE18C4">
        <w:t xml:space="preserve">give them an edge over native species </w:t>
      </w:r>
      <w:r w:rsidR="00E67074">
        <w:t>(Davis et al 2021)</w:t>
      </w:r>
      <w:r w:rsidR="00B71B57">
        <w:t xml:space="preserve">. </w:t>
      </w:r>
      <w:r w:rsidR="004C6281">
        <w:t>By exuding chemical compounds through their roots</w:t>
      </w:r>
      <w:r w:rsidR="00B50FD1">
        <w:t xml:space="preserve"> or leaf litter</w:t>
      </w:r>
      <w:r w:rsidR="004C6281">
        <w:t xml:space="preserve">, </w:t>
      </w:r>
      <w:r w:rsidR="00A01DF6">
        <w:t xml:space="preserve">these </w:t>
      </w:r>
      <w:r w:rsidR="00125893">
        <w:t xml:space="preserve">plants </w:t>
      </w:r>
      <w:r w:rsidR="00E353A4">
        <w:t xml:space="preserve">change the soil community to increase their own </w:t>
      </w:r>
      <w:r w:rsidR="00A01DF6">
        <w:t xml:space="preserve">mutualists </w:t>
      </w:r>
      <w:r w:rsidR="00E353A4">
        <w:t>or to suppress their competitors</w:t>
      </w:r>
      <w:r w:rsidR="007D4A51">
        <w:t>’</w:t>
      </w:r>
      <w:r w:rsidR="00990688">
        <w:t xml:space="preserve"> (</w:t>
      </w:r>
      <w:r w:rsidR="00A97CD6">
        <w:t>Shah et al, 2009;</w:t>
      </w:r>
      <w:r w:rsidR="00AC69DC">
        <w:t xml:space="preserve"> </w:t>
      </w:r>
      <w:proofErr w:type="spellStart"/>
      <w:r w:rsidR="00AC69DC">
        <w:t>Zubek</w:t>
      </w:r>
      <w:proofErr w:type="spellEnd"/>
      <w:r w:rsidR="00AC69DC">
        <w:t xml:space="preserve"> et al 2016</w:t>
      </w:r>
      <w:r w:rsidR="00990688">
        <w:t>)</w:t>
      </w:r>
      <w:r w:rsidR="00E353A4">
        <w:t>.</w:t>
      </w:r>
      <w:r w:rsidR="00447B78">
        <w:t xml:space="preserve"> </w:t>
      </w:r>
      <w:r w:rsidR="002C6235">
        <w:t>Some of the most aggressive i</w:t>
      </w:r>
      <w:r w:rsidR="00447B78">
        <w:t xml:space="preserve">nvasive plants </w:t>
      </w:r>
      <w:r w:rsidR="002C6235">
        <w:t xml:space="preserve">in North America </w:t>
      </w:r>
      <w:r w:rsidR="005E08B3">
        <w:t xml:space="preserve">exert </w:t>
      </w:r>
      <w:r w:rsidR="00BC6416">
        <w:t>change</w:t>
      </w:r>
      <w:r w:rsidR="005E08B3">
        <w:t>s to</w:t>
      </w:r>
      <w:r w:rsidR="00BC6416">
        <w:t xml:space="preserve"> </w:t>
      </w:r>
      <w:r w:rsidR="002C6235">
        <w:t>the soil microbial community around them, indicating that this strategy is key to their success (</w:t>
      </w:r>
      <w:r w:rsidR="00B14CDD">
        <w:t>Gibbons et al 2017</w:t>
      </w:r>
      <w:r w:rsidR="00DA5F2C">
        <w:t>)</w:t>
      </w:r>
      <w:r w:rsidR="00F622FC">
        <w:t xml:space="preserve">. </w:t>
      </w:r>
      <w:r w:rsidR="00E0161E">
        <w:t>Plant-induced changes to soil microbial communities often have a lasting effect, which can influence the plant community for many years (</w:t>
      </w:r>
      <w:proofErr w:type="spellStart"/>
      <w:r w:rsidR="00E0161E">
        <w:t>Lankau</w:t>
      </w:r>
      <w:proofErr w:type="spellEnd"/>
      <w:r w:rsidR="00E0161E">
        <w:t xml:space="preserve"> 2010</w:t>
      </w:r>
      <w:r w:rsidR="00E35211">
        <w:t xml:space="preserve">). </w:t>
      </w:r>
      <w:r w:rsidR="00304326">
        <w:t>These lasting effects, hereby referred to as</w:t>
      </w:r>
      <w:r w:rsidR="002101B4">
        <w:t xml:space="preserve"> legacy effects</w:t>
      </w:r>
      <w:r w:rsidR="00304326">
        <w:t xml:space="preserve">, </w:t>
      </w:r>
      <w:r w:rsidR="00BF7315">
        <w:t xml:space="preserve">can drive the future of a plant community </w:t>
      </w:r>
      <w:r w:rsidR="00E62E1C">
        <w:t>by influencing different plant species to become more or less abundant.</w:t>
      </w:r>
    </w:p>
    <w:p w14:paraId="2BEA30BB" w14:textId="4B81E2B7" w:rsidR="00976793" w:rsidRDefault="00976793" w:rsidP="00B83674">
      <w:pPr>
        <w:ind w:firstLine="720"/>
      </w:pPr>
      <w:r>
        <w:t xml:space="preserve">Legacy effects of invasion often include changes to both the microbial community and </w:t>
      </w:r>
      <w:r w:rsidR="007B48C4">
        <w:t xml:space="preserve">nutrient dynamics important to plant </w:t>
      </w:r>
      <w:r w:rsidR="009D5055">
        <w:t>growth.</w:t>
      </w:r>
      <w:r w:rsidR="00203772">
        <w:t xml:space="preserve"> </w:t>
      </w:r>
      <w:r w:rsidR="00553D42">
        <w:t xml:space="preserve">Plant-induced changes to the microbial community can have indirect effects on nutrient dynamics if </w:t>
      </w:r>
      <w:r w:rsidR="00F62154">
        <w:t xml:space="preserve">plants influence the abundance of </w:t>
      </w:r>
      <w:r w:rsidR="003D5F1C">
        <w:t xml:space="preserve">microbes important to nutrient uptake. </w:t>
      </w:r>
      <w:r w:rsidR="001C2BDB">
        <w:t>I</w:t>
      </w:r>
      <w:r w:rsidR="00FB5C74">
        <w:t xml:space="preserve">nvasive plants can also directly alter nutrient availability by </w:t>
      </w:r>
      <w:r w:rsidR="00D35DA5">
        <w:t xml:space="preserve">absorbing more </w:t>
      </w:r>
      <w:r w:rsidR="008631FA">
        <w:t xml:space="preserve">or less </w:t>
      </w:r>
      <w:r w:rsidR="00D35DA5">
        <w:t>than native species</w:t>
      </w:r>
      <w:r w:rsidR="008631FA">
        <w:t xml:space="preserve"> or by changing the soil’s texture, which could </w:t>
      </w:r>
      <w:r w:rsidR="008631FA">
        <w:lastRenderedPageBreak/>
        <w:t xml:space="preserve">influence the rate of leeching from the soil </w:t>
      </w:r>
      <w:r w:rsidR="0008785B">
        <w:t>(</w:t>
      </w:r>
      <w:r w:rsidR="0008785B" w:rsidRPr="00BC3E56">
        <w:t xml:space="preserve">Evans et al 2001; Corbin &amp; </w:t>
      </w:r>
      <w:proofErr w:type="spellStart"/>
      <w:r w:rsidR="0008785B" w:rsidRPr="00BC3E56">
        <w:t>D’Antonio</w:t>
      </w:r>
      <w:proofErr w:type="spellEnd"/>
      <w:r w:rsidR="0008785B" w:rsidRPr="00BC3E56">
        <w:t xml:space="preserve"> 2004</w:t>
      </w:r>
      <w:r w:rsidR="0008785B">
        <w:t xml:space="preserve">). </w:t>
      </w:r>
      <w:r w:rsidR="00B3576C">
        <w:t>For instance, i</w:t>
      </w:r>
      <w:r w:rsidR="00302C31">
        <w:t xml:space="preserve">f </w:t>
      </w:r>
      <w:r w:rsidR="00725F70">
        <w:t xml:space="preserve">an </w:t>
      </w:r>
      <w:r w:rsidR="00302C31">
        <w:t xml:space="preserve">invasive plant </w:t>
      </w:r>
      <w:r w:rsidR="002F0B8D">
        <w:t>change</w:t>
      </w:r>
      <w:r w:rsidR="00725F70">
        <w:t>s</w:t>
      </w:r>
      <w:r w:rsidR="002F0B8D">
        <w:t xml:space="preserve"> </w:t>
      </w:r>
      <w:r w:rsidR="007D09FD">
        <w:t xml:space="preserve">either </w:t>
      </w:r>
      <w:r w:rsidR="004C627A">
        <w:t xml:space="preserve">the </w:t>
      </w:r>
      <w:r w:rsidR="003E6EBB">
        <w:t xml:space="preserve">N </w:t>
      </w:r>
      <w:r w:rsidR="007D09FD">
        <w:t xml:space="preserve">availability </w:t>
      </w:r>
      <w:r w:rsidR="00414B97">
        <w:t xml:space="preserve">in the soil </w:t>
      </w:r>
      <w:r w:rsidR="007D09FD">
        <w:t>or the mycorrhizal community</w:t>
      </w:r>
      <w:r w:rsidR="008D1BF1">
        <w:t>,</w:t>
      </w:r>
      <w:r w:rsidR="007D09FD">
        <w:t xml:space="preserve"> </w:t>
      </w:r>
      <w:r w:rsidR="00B3576C">
        <w:t xml:space="preserve">which is often important in facilitating plant N uptake, its invasion </w:t>
      </w:r>
      <w:r w:rsidR="007D09FD">
        <w:t>could have downstream effects on native plant growth.</w:t>
      </w:r>
    </w:p>
    <w:p w14:paraId="6D9FA198" w14:textId="0BF095CF" w:rsidR="008039E8" w:rsidRPr="00BC3E56" w:rsidRDefault="008039E8" w:rsidP="008039E8">
      <w:pPr>
        <w:ind w:firstLine="720"/>
      </w:pPr>
      <w:r w:rsidRPr="00BC3E56">
        <w:rPr>
          <w:i/>
          <w:iCs/>
        </w:rPr>
        <w:t xml:space="preserve">Linaria vulgaris </w:t>
      </w:r>
      <w:r w:rsidRPr="00BC3E56">
        <w:t xml:space="preserve">(Plantaginaceae), commonly referred to as ‘Yellow Toadflax’ or ‘Butter and Eggs’, is a forb native to Southeastern Europe </w:t>
      </w:r>
      <w:r>
        <w:t>that is</w:t>
      </w:r>
      <w:r w:rsidRPr="00BC3E56">
        <w:t xml:space="preserve"> invasive throughout North America (Sing et al 2016). It reproduces both sexually from seed and asexually from</w:t>
      </w:r>
      <w:r w:rsidR="000675D1">
        <w:t xml:space="preserve"> rhizomes</w:t>
      </w:r>
      <w:r w:rsidRPr="00BC3E56">
        <w:t xml:space="preserve">, making it extremely difficult to eradicate (Sing et al 2016). </w:t>
      </w:r>
      <w:r w:rsidRPr="00BC3E56">
        <w:rPr>
          <w:i/>
          <w:iCs/>
        </w:rPr>
        <w:t>Linaria vulgaris</w:t>
      </w:r>
      <w:r w:rsidRPr="00BC3E56">
        <w:t xml:space="preserve"> is widespread throughout the U.S. but is particularly successful in Western states throughout the Rocky Mountain region (USDA, NRCS 2021). Outside of its clonal reproduction, little is known about why </w:t>
      </w:r>
      <w:r w:rsidRPr="00BC3E56">
        <w:rPr>
          <w:i/>
          <w:iCs/>
        </w:rPr>
        <w:t>L. vulgaris</w:t>
      </w:r>
      <w:r w:rsidRPr="00BC3E56">
        <w:t xml:space="preserve"> is such a tenacious invader in the Western U.S. Ambient soil N is historically lower in the Rocky Mountain region, where </w:t>
      </w:r>
      <w:r w:rsidRPr="00BC3E56">
        <w:rPr>
          <w:i/>
          <w:iCs/>
        </w:rPr>
        <w:t>Linaria</w:t>
      </w:r>
      <w:r w:rsidRPr="00BC3E56">
        <w:t xml:space="preserve"> aggressively proliferates, relative to soil N in the Midwestern U.S., where </w:t>
      </w:r>
      <w:r w:rsidRPr="00BC3E56">
        <w:rPr>
          <w:i/>
          <w:iCs/>
        </w:rPr>
        <w:t>Linaria</w:t>
      </w:r>
      <w:r w:rsidRPr="00BC3E56">
        <w:t xml:space="preserve"> is non-aggressive (Bowman et al 2012; </w:t>
      </w:r>
      <w:proofErr w:type="spellStart"/>
      <w:r w:rsidRPr="00BC3E56">
        <w:t>Jelinski</w:t>
      </w:r>
      <w:proofErr w:type="spellEnd"/>
      <w:r w:rsidRPr="00BC3E56">
        <w:t xml:space="preserve"> &amp; </w:t>
      </w:r>
      <w:proofErr w:type="spellStart"/>
      <w:r w:rsidRPr="00BC3E56">
        <w:t>Kucharik</w:t>
      </w:r>
      <w:proofErr w:type="spellEnd"/>
      <w:r w:rsidRPr="00BC3E56">
        <w:t xml:space="preserve"> 2009). This suggests that </w:t>
      </w:r>
      <w:r w:rsidRPr="00BC3E56">
        <w:rPr>
          <w:i/>
          <w:iCs/>
        </w:rPr>
        <w:t xml:space="preserve">L. vulgaris </w:t>
      </w:r>
      <w:r w:rsidRPr="00BC3E56">
        <w:t>alters the microbial community or outcompetes native plants for N in the Rocky Mountain region to invade more aggressively</w:t>
      </w:r>
      <w:r>
        <w:t xml:space="preserve">. Alternatively, </w:t>
      </w:r>
      <w:r w:rsidRPr="00EF78A0">
        <w:rPr>
          <w:i/>
          <w:iCs/>
        </w:rPr>
        <w:t>L. vulgaris</w:t>
      </w:r>
      <w:r>
        <w:t xml:space="preserve"> could be</w:t>
      </w:r>
      <w:r w:rsidRPr="00BC3E56">
        <w:t xml:space="preserve"> suppressed by </w:t>
      </w:r>
      <w:r w:rsidR="00CF469A">
        <w:t xml:space="preserve">soil </w:t>
      </w:r>
      <w:r w:rsidR="007B392C">
        <w:t xml:space="preserve">microbes </w:t>
      </w:r>
      <w:r w:rsidRPr="00BC3E56">
        <w:t>in the Midwestern U.S., making it an ineffective invader in that region.</w:t>
      </w:r>
    </w:p>
    <w:p w14:paraId="594BD8B8" w14:textId="2B0A8E88" w:rsidR="00E10FD9" w:rsidRPr="00BC3E56" w:rsidRDefault="00E10FD9" w:rsidP="00E10FD9">
      <w:pPr>
        <w:ind w:firstLine="720"/>
      </w:pPr>
      <w:r w:rsidRPr="00BC3E56">
        <w:t xml:space="preserve">This study addresses the biogeography of </w:t>
      </w:r>
      <w:r w:rsidRPr="00BC3E56">
        <w:rPr>
          <w:i/>
          <w:iCs/>
        </w:rPr>
        <w:t>Linaria vulgaris</w:t>
      </w:r>
      <w:r w:rsidRPr="00BC3E56">
        <w:t xml:space="preserve"> invasion by asking why this species</w:t>
      </w:r>
      <w:r w:rsidRPr="00BC3E56">
        <w:rPr>
          <w:i/>
          <w:iCs/>
        </w:rPr>
        <w:t xml:space="preserve"> </w:t>
      </w:r>
      <w:r w:rsidRPr="00BC3E56">
        <w:t xml:space="preserve">dominates Western subalpine meadows and not Midwestern prairies. Specifically, it aims to uncover whether 1) </w:t>
      </w:r>
      <w:r w:rsidRPr="00BC3E56">
        <w:rPr>
          <w:i/>
          <w:iCs/>
        </w:rPr>
        <w:t xml:space="preserve">Linaria vulgaris </w:t>
      </w:r>
      <w:r w:rsidRPr="00BC3E56">
        <w:t>invasion leaves legacy effects that influence native plants and its own success</w:t>
      </w:r>
      <w:r>
        <w:t>,</w:t>
      </w:r>
      <w:r w:rsidRPr="00BC3E56">
        <w:t xml:space="preserve"> 2) if soil from Colorado and Illinois influence </w:t>
      </w:r>
      <w:r w:rsidRPr="00BC3E56">
        <w:rPr>
          <w:i/>
          <w:iCs/>
        </w:rPr>
        <w:t xml:space="preserve">L. vulgaris </w:t>
      </w:r>
      <w:r w:rsidRPr="00BC3E56">
        <w:t>success</w:t>
      </w:r>
      <w:r w:rsidR="00B93B0B">
        <w:t>, and</w:t>
      </w:r>
      <w:r w:rsidRPr="00BC3E56">
        <w:t xml:space="preserve"> 3) if N-availability explains the range of aggressive </w:t>
      </w:r>
      <w:r w:rsidRPr="00BC3E56">
        <w:rPr>
          <w:i/>
          <w:iCs/>
        </w:rPr>
        <w:t>L. vulgaris</w:t>
      </w:r>
      <w:r w:rsidRPr="00BC3E56">
        <w:t xml:space="preserve"> invasion. </w:t>
      </w:r>
      <w:r w:rsidR="002760F8">
        <w:t>We</w:t>
      </w:r>
      <w:r w:rsidRPr="00BC3E56">
        <w:t xml:space="preserve"> examined plant biomass accumulation and N uptake in </w:t>
      </w:r>
      <w:r w:rsidRPr="00BC3E56">
        <w:rPr>
          <w:i/>
          <w:iCs/>
        </w:rPr>
        <w:t xml:space="preserve">L. </w:t>
      </w:r>
      <w:proofErr w:type="gramStart"/>
      <w:r w:rsidRPr="00BC3E56">
        <w:rPr>
          <w:i/>
          <w:iCs/>
        </w:rPr>
        <w:t>vulgaris</w:t>
      </w:r>
      <w:proofErr w:type="gramEnd"/>
      <w:r w:rsidRPr="00BC3E56">
        <w:t xml:space="preserve"> and two native plants grown in previously invaded and uninvaded soil collected from IL and CO, and in the presence or absence of N-fertilization. Using soil samples collected from </w:t>
      </w:r>
      <w:r w:rsidRPr="00BC3E56">
        <w:rPr>
          <w:i/>
          <w:iCs/>
        </w:rPr>
        <w:t xml:space="preserve">L. vulgaris </w:t>
      </w:r>
      <w:r w:rsidRPr="00BC3E56">
        <w:t xml:space="preserve">populations at the Rocky Mountain Biological Lab (RMBL) in Gothic, CO (aggressive) and Cook County, IL (non-aggressive), </w:t>
      </w:r>
      <w:r w:rsidR="002760F8">
        <w:t>We</w:t>
      </w:r>
      <w:r w:rsidRPr="00BC3E56">
        <w:t xml:space="preserve"> grew plants in all possible treatment combinations in growth-chambers for 120 days. </w:t>
      </w:r>
      <w:r w:rsidR="002760F8">
        <w:t>We</w:t>
      </w:r>
      <w:r w:rsidRPr="00BC3E56">
        <w:t xml:space="preserve"> then supplied </w:t>
      </w:r>
      <w:r w:rsidRPr="00BC3E56">
        <w:rPr>
          <w:vertAlign w:val="superscript"/>
        </w:rPr>
        <w:t>15</w:t>
      </w:r>
      <w:r w:rsidRPr="00BC3E56">
        <w:t>N-labeled tracer (NH</w:t>
      </w:r>
      <w:r w:rsidRPr="00BC3E56">
        <w:rPr>
          <w:vertAlign w:val="subscript"/>
        </w:rPr>
        <w:t>4</w:t>
      </w:r>
      <w:r w:rsidRPr="00BC3E56">
        <w:t>NO</w:t>
      </w:r>
      <w:r w:rsidRPr="00BC3E56">
        <w:rPr>
          <w:vertAlign w:val="subscript"/>
        </w:rPr>
        <w:t>3</w:t>
      </w:r>
      <w:r w:rsidRPr="00BC3E56">
        <w:t xml:space="preserve">) and analyzed plant tissue for isotope abundance to detect plant N uptake capacity. </w:t>
      </w:r>
      <w:r w:rsidR="00F1311F">
        <w:t xml:space="preserve">We also </w:t>
      </w:r>
      <w:r w:rsidR="007F560E">
        <w:t xml:space="preserve">used Next Generation Sequencing to characterize </w:t>
      </w:r>
      <w:r w:rsidR="00F1311F">
        <w:t>arbuscular mycorrhizal fungal (AMF) communities from previously invaded and uninvaded soils from CO and IL</w:t>
      </w:r>
      <w:r w:rsidR="001167A4">
        <w:t xml:space="preserve">. </w:t>
      </w:r>
      <w:r w:rsidRPr="00BC3E56">
        <w:t xml:space="preserve">The findings of this study will support ongoing research </w:t>
      </w:r>
      <w:r w:rsidR="005C7583">
        <w:t xml:space="preserve">at RMBL </w:t>
      </w:r>
      <w:r w:rsidRPr="00BC3E56">
        <w:t xml:space="preserve">of </w:t>
      </w:r>
      <w:r w:rsidRPr="00BC3E56">
        <w:rPr>
          <w:i/>
          <w:iCs/>
        </w:rPr>
        <w:t>L. vulgaris</w:t>
      </w:r>
      <w:r w:rsidRPr="00BC3E56">
        <w:t xml:space="preserve"> impacts and may present insight into invasion biology more broadly, particularly in how invasive plants use legacy effects to regulate competition with native plants, and how regional soil biota and N availability influence invasion biogeography.</w:t>
      </w:r>
    </w:p>
    <w:p w14:paraId="2643A56B" w14:textId="77777777" w:rsidR="004210E3" w:rsidRDefault="004210E3" w:rsidP="00385163"/>
    <w:p w14:paraId="58022C11" w14:textId="77C24A7C" w:rsidR="002A4CBC" w:rsidRDefault="002A4CBC" w:rsidP="00385163">
      <w:pPr>
        <w:rPr>
          <w:b/>
          <w:bCs/>
        </w:rPr>
      </w:pPr>
      <w:r>
        <w:rPr>
          <w:b/>
          <w:bCs/>
        </w:rPr>
        <w:t>Methods</w:t>
      </w:r>
    </w:p>
    <w:p w14:paraId="0BDEC933" w14:textId="77777777" w:rsidR="00834ECA" w:rsidRPr="00702A26" w:rsidRDefault="00834ECA" w:rsidP="00385163">
      <w:pPr>
        <w:rPr>
          <w:i/>
          <w:iCs/>
        </w:rPr>
      </w:pPr>
      <w:r w:rsidRPr="00702A26">
        <w:rPr>
          <w:i/>
          <w:iCs/>
        </w:rPr>
        <w:t>Study Sites</w:t>
      </w:r>
    </w:p>
    <w:p w14:paraId="7CD950A3" w14:textId="7BB23D9C" w:rsidR="00834ECA" w:rsidRDefault="00834ECA" w:rsidP="00385163">
      <w:pPr>
        <w:ind w:firstLine="720"/>
      </w:pPr>
      <w:r>
        <w:t>F</w:t>
      </w:r>
      <w:r w:rsidRPr="00702A26">
        <w:t xml:space="preserve">ieldwork </w:t>
      </w:r>
      <w:r>
        <w:t xml:space="preserve">was conducted </w:t>
      </w:r>
      <w:r w:rsidR="00C1499F">
        <w:t xml:space="preserve">from July-August </w:t>
      </w:r>
      <w:r w:rsidR="0030253F">
        <w:t xml:space="preserve">2020 </w:t>
      </w:r>
      <w:r w:rsidRPr="00702A26">
        <w:t xml:space="preserve">at the Rocky Mountain Biological Lab in Gothic, CO and in the Forest Preserves of Cook County in Cook County, IL. The Rocky Mountain Biological Lab (RMBL) is a research station located </w:t>
      </w:r>
      <w:r w:rsidR="009569B5">
        <w:t xml:space="preserve">in </w:t>
      </w:r>
      <w:r w:rsidRPr="00702A26">
        <w:t xml:space="preserve">Gothic Colorado, within Gunnison National Forest. </w:t>
      </w:r>
      <w:r w:rsidR="005A28B2">
        <w:t xml:space="preserve">Soil and rhizomes were collected from </w:t>
      </w:r>
      <w:r w:rsidRPr="00702A26">
        <w:t xml:space="preserve">subalpine meadows (~2895m </w:t>
      </w:r>
      <w:proofErr w:type="spellStart"/>
      <w:r w:rsidRPr="00702A26">
        <w:t>a.s.l</w:t>
      </w:r>
      <w:proofErr w:type="spellEnd"/>
      <w:r w:rsidR="000741B9">
        <w:t>)</w:t>
      </w:r>
      <w:r w:rsidRPr="00702A26">
        <w:t xml:space="preserve"> characteristically made up of diverse grasses, forbs, and shrubs (Price and </w:t>
      </w:r>
      <w:proofErr w:type="spellStart"/>
      <w:r w:rsidRPr="00702A26">
        <w:t>Waser</w:t>
      </w:r>
      <w:proofErr w:type="spellEnd"/>
      <w:r w:rsidRPr="00702A26">
        <w:t xml:space="preserve"> 1998). </w:t>
      </w:r>
      <w:r w:rsidRPr="00702A26">
        <w:rPr>
          <w:i/>
          <w:iCs/>
        </w:rPr>
        <w:t>Linaria vulgaris</w:t>
      </w:r>
      <w:r w:rsidRPr="00702A26">
        <w:t xml:space="preserve"> is an aggressive invader at the Rocky Mountain Biological Lab and many populations are sprayed with herbicide (</w:t>
      </w:r>
      <w:r>
        <w:t>Glyphosate</w:t>
      </w:r>
      <w:r w:rsidRPr="00702A26">
        <w:t>,</w:t>
      </w:r>
      <w:r>
        <w:t xml:space="preserve"> </w:t>
      </w:r>
      <w:proofErr w:type="spellStart"/>
      <w:r>
        <w:t>RoundUp</w:t>
      </w:r>
      <w:proofErr w:type="spellEnd"/>
      <w:r w:rsidRPr="00702A26">
        <w:t>) to control the spread</w:t>
      </w:r>
      <w:r w:rsidR="00442C17">
        <w:t>.</w:t>
      </w:r>
      <w:r w:rsidRPr="00702A26">
        <w:t xml:space="preserve"> </w:t>
      </w:r>
      <w:r w:rsidR="00442C17">
        <w:t>S</w:t>
      </w:r>
      <w:r w:rsidRPr="00702A26">
        <w:t xml:space="preserve">oil </w:t>
      </w:r>
      <w:r w:rsidR="005A28B2">
        <w:t xml:space="preserve">and rhizomes </w:t>
      </w:r>
      <w:r w:rsidR="00442C17">
        <w:t xml:space="preserve">were collected </w:t>
      </w:r>
      <w:r w:rsidRPr="00702A26">
        <w:t xml:space="preserve">from populations that had no history of herbicide use. The Forest Preserves of Cook County </w:t>
      </w:r>
      <w:r w:rsidR="005A28B2" w:rsidRPr="00702A26">
        <w:t>(</w:t>
      </w:r>
      <w:r w:rsidR="005A28B2">
        <w:t>~</w:t>
      </w:r>
      <w:r w:rsidR="005A28B2" w:rsidRPr="00702A26">
        <w:t xml:space="preserve">178m </w:t>
      </w:r>
      <w:proofErr w:type="spellStart"/>
      <w:r w:rsidR="005A28B2" w:rsidRPr="00702A26">
        <w:t>a.s.l</w:t>
      </w:r>
      <w:proofErr w:type="spellEnd"/>
      <w:r w:rsidR="005A28B2" w:rsidRPr="00702A26">
        <w:t xml:space="preserve">.) </w:t>
      </w:r>
      <w:r w:rsidRPr="00702A26">
        <w:t xml:space="preserve">are semi-urban natural areas in the Chicagoland area </w:t>
      </w:r>
      <w:r w:rsidRPr="00702A26">
        <w:lastRenderedPageBreak/>
        <w:t xml:space="preserve">made up of prairies, woodlands, and wetlands (FPDCC 2020). </w:t>
      </w:r>
      <w:commentRangeStart w:id="0"/>
      <w:r w:rsidR="00442C17">
        <w:t xml:space="preserve">Soil </w:t>
      </w:r>
      <w:r w:rsidR="005A28B2">
        <w:t xml:space="preserve">and rhizomes </w:t>
      </w:r>
      <w:r w:rsidR="00442C17">
        <w:t>w</w:t>
      </w:r>
      <w:r w:rsidR="005A28B2">
        <w:t>ere</w:t>
      </w:r>
      <w:r w:rsidR="00442C17">
        <w:t xml:space="preserve"> collected from </w:t>
      </w:r>
      <w:r w:rsidRPr="00702A26">
        <w:rPr>
          <w:i/>
          <w:iCs/>
        </w:rPr>
        <w:t>L. vulgaris</w:t>
      </w:r>
      <w:r w:rsidRPr="00702A26">
        <w:t xml:space="preserve"> </w:t>
      </w:r>
      <w:r w:rsidR="00442C17">
        <w:t>populations without visible herbicide use, but h</w:t>
      </w:r>
      <w:r w:rsidRPr="00702A26">
        <w:t xml:space="preserve">erbicide history was not </w:t>
      </w:r>
      <w:r w:rsidR="00442C17">
        <w:t>available at the time of collection.</w:t>
      </w:r>
      <w:commentRangeEnd w:id="0"/>
      <w:r w:rsidR="002D253B">
        <w:rPr>
          <w:rStyle w:val="CommentReference"/>
        </w:rPr>
        <w:commentReference w:id="0"/>
      </w:r>
    </w:p>
    <w:p w14:paraId="3BC794FA" w14:textId="72AB097E" w:rsidR="00352468" w:rsidRDefault="00352468" w:rsidP="00385163">
      <w:pPr>
        <w:ind w:firstLine="720"/>
      </w:pPr>
    </w:p>
    <w:p w14:paraId="3483E8EF" w14:textId="77777777" w:rsidR="00352468" w:rsidRPr="00702A26" w:rsidRDefault="00352468" w:rsidP="00385163">
      <w:pPr>
        <w:rPr>
          <w:i/>
          <w:iCs/>
        </w:rPr>
      </w:pPr>
      <w:r w:rsidRPr="00702A26">
        <w:rPr>
          <w:i/>
          <w:iCs/>
        </w:rPr>
        <w:t>Study Species</w:t>
      </w:r>
    </w:p>
    <w:p w14:paraId="6D6A8EAD" w14:textId="21338E47" w:rsidR="000F4EAC" w:rsidRDefault="00352468" w:rsidP="00385163">
      <w:r w:rsidRPr="00702A26">
        <w:rPr>
          <w:b/>
          <w:bCs/>
        </w:rPr>
        <w:tab/>
      </w:r>
      <w:r w:rsidRPr="00702A26">
        <w:rPr>
          <w:i/>
          <w:iCs/>
        </w:rPr>
        <w:t xml:space="preserve">Linaria vulgaris </w:t>
      </w:r>
      <w:r w:rsidRPr="00702A26">
        <w:t xml:space="preserve">(Plantaginaceae) is a forb native to </w:t>
      </w:r>
      <w:r>
        <w:t xml:space="preserve">Eurasia </w:t>
      </w:r>
      <w:r w:rsidRPr="00702A26">
        <w:t>that has spread throughout North America since the 1600s (Sing et al 2016; Parker and Gassmann 2021</w:t>
      </w:r>
      <w:r w:rsidRPr="002609E2">
        <w:t xml:space="preserve">). </w:t>
      </w:r>
      <w:r w:rsidR="001A7894" w:rsidRPr="002609E2">
        <w:rPr>
          <w:i/>
          <w:iCs/>
        </w:rPr>
        <w:t>L. vulgaris</w:t>
      </w:r>
      <w:r w:rsidRPr="002609E2">
        <w:t xml:space="preserve"> is </w:t>
      </w:r>
      <w:r w:rsidR="001A7894" w:rsidRPr="002609E2">
        <w:t xml:space="preserve">invasive in </w:t>
      </w:r>
      <w:r w:rsidR="00605639">
        <w:t xml:space="preserve">the </w:t>
      </w:r>
      <w:r w:rsidRPr="002609E2">
        <w:t xml:space="preserve">Western U.S. and </w:t>
      </w:r>
      <w:r w:rsidR="00E278F3" w:rsidRPr="002609E2">
        <w:t>Alaska</w:t>
      </w:r>
      <w:r w:rsidR="00E278F3">
        <w:t xml:space="preserve"> but</w:t>
      </w:r>
      <w:r w:rsidR="00605639">
        <w:t xml:space="preserve"> </w:t>
      </w:r>
      <w:r w:rsidR="00E278F3">
        <w:t xml:space="preserve">it </w:t>
      </w:r>
      <w:r w:rsidR="00605639">
        <w:t xml:space="preserve">can be </w:t>
      </w:r>
      <w:r w:rsidR="001A7894">
        <w:t>found throughout North America</w:t>
      </w:r>
      <w:r w:rsidRPr="00702A26">
        <w:t xml:space="preserve"> (</w:t>
      </w:r>
      <w:r w:rsidR="001A7894">
        <w:t>McCartney et al. 2019</w:t>
      </w:r>
      <w:r w:rsidRPr="00702A26">
        <w:t xml:space="preserve">). </w:t>
      </w:r>
      <w:r w:rsidR="00115AD6">
        <w:rPr>
          <w:i/>
          <w:iCs/>
        </w:rPr>
        <w:t xml:space="preserve">Linaria vulgaris </w:t>
      </w:r>
      <w:r w:rsidR="00115AD6">
        <w:t xml:space="preserve">can </w:t>
      </w:r>
      <w:r w:rsidRPr="00702A26">
        <w:t xml:space="preserve">reproduce both from seed and clonally from rhizomes, but the latter is believed to be much more prevalent as its seed viability is </w:t>
      </w:r>
      <w:r w:rsidR="00115AD6">
        <w:sym w:font="Symbol" w:char="F0A3"/>
      </w:r>
      <w:r w:rsidRPr="00702A26">
        <w:t xml:space="preserve">25% (Parker and Gassmann 2021). Reproducing clonally allows </w:t>
      </w:r>
      <w:r w:rsidRPr="00702A26">
        <w:rPr>
          <w:i/>
          <w:iCs/>
        </w:rPr>
        <w:t xml:space="preserve">L. vulgaris </w:t>
      </w:r>
      <w:r w:rsidRPr="00702A26">
        <w:t>to grow in dense patches and subsequently exclude native species</w:t>
      </w:r>
      <w:r w:rsidR="00A37FE9">
        <w:t xml:space="preserve">. </w:t>
      </w:r>
      <w:r w:rsidRPr="00702A26">
        <w:rPr>
          <w:i/>
          <w:iCs/>
        </w:rPr>
        <w:t xml:space="preserve">Linaria vulgaris </w:t>
      </w:r>
      <w:r w:rsidRPr="00702A26">
        <w:t xml:space="preserve">is an undesirable species for cattle </w:t>
      </w:r>
      <w:r w:rsidR="000A5464">
        <w:t xml:space="preserve">forage </w:t>
      </w:r>
      <w:r w:rsidRPr="00702A26">
        <w:t xml:space="preserve">and </w:t>
      </w:r>
      <w:r w:rsidR="00CE0C94">
        <w:t xml:space="preserve">it </w:t>
      </w:r>
      <w:r w:rsidRPr="00702A26">
        <w:t>invades both rangeland and agriculture lands (Parker and Gassmann 2021). While</w:t>
      </w:r>
      <w:r w:rsidR="00EE1EDC">
        <w:t xml:space="preserve"> the stem-mining weevil ha</w:t>
      </w:r>
      <w:r w:rsidR="00B1218C">
        <w:t>s</w:t>
      </w:r>
      <w:r w:rsidR="00EE1EDC">
        <w:t xml:space="preserve"> shown some success as </w:t>
      </w:r>
      <w:r w:rsidR="00B1218C">
        <w:t xml:space="preserve">a </w:t>
      </w:r>
      <w:r w:rsidR="00EE1EDC">
        <w:t>biological control</w:t>
      </w:r>
      <w:r w:rsidRPr="00702A26">
        <w:t xml:space="preserve">, management typically consists </w:t>
      </w:r>
      <w:r w:rsidR="00F463BA">
        <w:t>of</w:t>
      </w:r>
      <w:r w:rsidRPr="00702A26">
        <w:t xml:space="preserve"> herbicide </w:t>
      </w:r>
      <w:r w:rsidR="00F463BA">
        <w:t xml:space="preserve">application </w:t>
      </w:r>
      <w:r w:rsidRPr="00702A26">
        <w:t>(</w:t>
      </w:r>
      <w:proofErr w:type="spellStart"/>
      <w:r w:rsidR="00EE1EDC">
        <w:t>To</w:t>
      </w:r>
      <w:r w:rsidR="00161264" w:rsidRPr="00161264">
        <w:t>š</w:t>
      </w:r>
      <w:r w:rsidR="00161264">
        <w:t>evski</w:t>
      </w:r>
      <w:proofErr w:type="spellEnd"/>
      <w:r w:rsidR="00161264">
        <w:t xml:space="preserve"> et al. 2018</w:t>
      </w:r>
      <w:r w:rsidRPr="00702A26">
        <w:t>; Parker and Gassmann 2021).</w:t>
      </w:r>
    </w:p>
    <w:p w14:paraId="78D7EE9A" w14:textId="7061D1B7" w:rsidR="00221F13" w:rsidRDefault="00221F13" w:rsidP="00385163"/>
    <w:p w14:paraId="5B37C8E9" w14:textId="77777777" w:rsidR="006611D3" w:rsidRPr="00BC3E56" w:rsidRDefault="006611D3" w:rsidP="00385163">
      <w:pPr>
        <w:rPr>
          <w:i/>
          <w:iCs/>
        </w:rPr>
      </w:pPr>
      <w:r w:rsidRPr="00BC3E56">
        <w:rPr>
          <w:i/>
          <w:iCs/>
        </w:rPr>
        <w:t>Field Soil and Rhizome Collection</w:t>
      </w:r>
    </w:p>
    <w:p w14:paraId="062373AE" w14:textId="6DF75F92" w:rsidR="006611D3" w:rsidRDefault="006611D3" w:rsidP="00385163">
      <w:pPr>
        <w:ind w:firstLine="720"/>
      </w:pPr>
      <w:r>
        <w:t>We</w:t>
      </w:r>
      <w:r w:rsidRPr="00BC3E56">
        <w:t xml:space="preserve"> identified </w:t>
      </w:r>
      <w:r w:rsidR="00CE0C94">
        <w:t xml:space="preserve">populations of </w:t>
      </w:r>
      <w:r w:rsidRPr="00BC3E56">
        <w:rPr>
          <w:i/>
          <w:iCs/>
        </w:rPr>
        <w:t xml:space="preserve">L. vulgaris </w:t>
      </w:r>
      <w:r w:rsidRPr="00BC3E56">
        <w:t xml:space="preserve">from research records in Gothic and using </w:t>
      </w:r>
      <w:proofErr w:type="spellStart"/>
      <w:r w:rsidRPr="00BC3E56">
        <w:t>iNaturalist</w:t>
      </w:r>
      <w:proofErr w:type="spellEnd"/>
      <w:r w:rsidRPr="00BC3E56">
        <w:t xml:space="preserve"> in Cook County, IL. In the summer of 2020</w:t>
      </w:r>
      <w:r w:rsidR="00CF38DA">
        <w:t>,</w:t>
      </w:r>
      <w:r w:rsidRPr="00BC3E56">
        <w:t xml:space="preserve"> soil samples </w:t>
      </w:r>
      <w:r w:rsidR="00CF38DA">
        <w:t xml:space="preserve">were collected </w:t>
      </w:r>
      <w:r w:rsidRPr="00BC3E56">
        <w:t xml:space="preserve">from </w:t>
      </w:r>
      <w:r w:rsidR="008C6EB4">
        <w:t>ten</w:t>
      </w:r>
      <w:r w:rsidR="00C478E7">
        <w:t xml:space="preserve"> </w:t>
      </w:r>
      <w:commentRangeStart w:id="1"/>
      <w:r w:rsidR="00B05A19">
        <w:t>paired</w:t>
      </w:r>
      <w:r w:rsidR="00A650A3">
        <w:t xml:space="preserve"> </w:t>
      </w:r>
      <w:r w:rsidR="00B05A19">
        <w:t xml:space="preserve">plots </w:t>
      </w:r>
      <w:commentRangeEnd w:id="1"/>
      <w:r w:rsidR="00216F3E">
        <w:rPr>
          <w:rStyle w:val="CommentReference"/>
        </w:rPr>
        <w:commentReference w:id="1"/>
      </w:r>
      <w:r w:rsidR="00A650A3">
        <w:t xml:space="preserve">of </w:t>
      </w:r>
      <w:r w:rsidRPr="00BC3E56">
        <w:rPr>
          <w:i/>
          <w:iCs/>
        </w:rPr>
        <w:t xml:space="preserve">L. vulgaris </w:t>
      </w:r>
      <w:r w:rsidRPr="00BC3E56">
        <w:t xml:space="preserve">invaded and </w:t>
      </w:r>
      <w:r w:rsidR="00B05A19">
        <w:t xml:space="preserve">adjacent </w:t>
      </w:r>
      <w:r w:rsidRPr="00BC3E56">
        <w:t xml:space="preserve">uninvaded </w:t>
      </w:r>
      <w:r w:rsidR="00F572BE">
        <w:t xml:space="preserve">plots </w:t>
      </w:r>
      <w:r w:rsidR="008C6EB4">
        <w:t>in each site</w:t>
      </w:r>
      <w:r w:rsidR="00CF38DA">
        <w:t>.</w:t>
      </w:r>
      <w:r w:rsidRPr="00BC3E56">
        <w:t xml:space="preserve"> </w:t>
      </w:r>
      <w:r w:rsidR="00B906E4">
        <w:t>Paired plots</w:t>
      </w:r>
      <w:r w:rsidR="00F05195">
        <w:t xml:space="preserve"> were at least 75m apar</w:t>
      </w:r>
      <w:r w:rsidR="00C9237B">
        <w:t>t and</w:t>
      </w:r>
      <w:r w:rsidRPr="00BC3E56">
        <w:t xml:space="preserve"> </w:t>
      </w:r>
      <w:r w:rsidR="00CF38DA">
        <w:t>were</w:t>
      </w:r>
      <w:r w:rsidR="00CF38DA" w:rsidRPr="00BC3E56">
        <w:t xml:space="preserve"> demarcated </w:t>
      </w:r>
      <w:r w:rsidRPr="00BC3E56">
        <w:t xml:space="preserve">using </w:t>
      </w:r>
      <w:r w:rsidR="00773B04">
        <w:t xml:space="preserve">N-S and E-W </w:t>
      </w:r>
      <w:r w:rsidR="00A8637E">
        <w:t xml:space="preserve">tape measures </w:t>
      </w:r>
      <w:r w:rsidR="008D7511">
        <w:t>to calculate plot area</w:t>
      </w:r>
      <w:r w:rsidRPr="00BC3E56">
        <w:t>. In plots greater than 10</w:t>
      </w:r>
      <w:r>
        <w:t>0</w:t>
      </w:r>
      <w:r w:rsidRPr="00BC3E56">
        <w:t>m</w:t>
      </w:r>
      <w:r w:rsidRPr="00BC3E56">
        <w:rPr>
          <w:vertAlign w:val="superscript"/>
        </w:rPr>
        <w:t>2</w:t>
      </w:r>
      <w:r w:rsidRPr="00BC3E56">
        <w:t xml:space="preserve">, </w:t>
      </w:r>
      <w:r w:rsidR="00E01EF4">
        <w:t>we</w:t>
      </w:r>
      <w:r w:rsidRPr="00BC3E56">
        <w:t xml:space="preserve"> sampled </w:t>
      </w:r>
      <w:r w:rsidR="00C136DE">
        <w:t xml:space="preserve">from </w:t>
      </w:r>
      <w:r w:rsidRPr="00BC3E56">
        <w:t xml:space="preserve">the </w:t>
      </w:r>
      <w:r w:rsidR="00E01EF4">
        <w:t xml:space="preserve">centermost </w:t>
      </w:r>
      <w:r w:rsidRPr="00BC3E56">
        <w:t>5m</w:t>
      </w:r>
      <w:r w:rsidRPr="00BC3E56">
        <w:rPr>
          <w:vertAlign w:val="superscript"/>
        </w:rPr>
        <w:t>2</w:t>
      </w:r>
      <w:r w:rsidRPr="00BC3E56">
        <w:t xml:space="preserve"> area</w:t>
      </w:r>
      <w:r w:rsidR="00E36BEF">
        <w:t xml:space="preserve"> to capture </w:t>
      </w:r>
      <w:r w:rsidR="007D5750">
        <w:t>the area with the longest invasion history</w:t>
      </w:r>
      <w:r w:rsidR="00E01EF4">
        <w:t xml:space="preserve">. </w:t>
      </w:r>
      <w:r w:rsidR="00C136DE">
        <w:t xml:space="preserve">For plots smaller than </w:t>
      </w:r>
      <w:r w:rsidR="00C136DE" w:rsidRPr="00C136DE">
        <w:t>100m</w:t>
      </w:r>
      <w:r w:rsidR="00C136DE">
        <w:rPr>
          <w:vertAlign w:val="superscript"/>
        </w:rPr>
        <w:t>2</w:t>
      </w:r>
      <w:r w:rsidR="00C136DE">
        <w:t xml:space="preserve">, we sampled throughout the plot. </w:t>
      </w:r>
      <w:r w:rsidRPr="00C136DE">
        <w:t>To</w:t>
      </w:r>
      <w:r w:rsidRPr="00BC3E56">
        <w:t xml:space="preserve"> locate uninvaded plots, </w:t>
      </w:r>
      <w:r w:rsidR="00A464E8">
        <w:t>we</w:t>
      </w:r>
      <w:r w:rsidRPr="00BC3E56">
        <w:t xml:space="preserve"> selected a random intercardinal direction from the </w:t>
      </w:r>
      <w:r w:rsidR="000B1908">
        <w:t xml:space="preserve">paired </w:t>
      </w:r>
      <w:r w:rsidRPr="00BC3E56">
        <w:t xml:space="preserve">invaded </w:t>
      </w:r>
      <w:r w:rsidR="00A464E8">
        <w:t xml:space="preserve">plot </w:t>
      </w:r>
      <w:r w:rsidRPr="00BC3E56">
        <w:t xml:space="preserve">and established an uninvaded plot </w:t>
      </w:r>
      <w:r w:rsidR="00DB6C6B">
        <w:t xml:space="preserve">5-15m </w:t>
      </w:r>
      <w:r w:rsidR="00DB6C6B" w:rsidRPr="00BC3E56">
        <w:t xml:space="preserve">from the invaded plot </w:t>
      </w:r>
      <w:r w:rsidR="00DB6C6B">
        <w:t xml:space="preserve">and of the </w:t>
      </w:r>
      <w:r w:rsidRPr="00BC3E56">
        <w:t xml:space="preserve">same size. To ensure random sampling throughout plots, </w:t>
      </w:r>
      <w:r w:rsidR="00A8637E">
        <w:t>we</w:t>
      </w:r>
      <w:r w:rsidRPr="00BC3E56">
        <w:t xml:space="preserve"> used a random number generator to select points on the tape measures to collect each sample</w:t>
      </w:r>
      <w:r w:rsidR="00F30788">
        <w:t xml:space="preserve">. </w:t>
      </w:r>
      <w:r w:rsidRPr="00BC3E56">
        <w:t>In</w:t>
      </w:r>
      <w:r w:rsidR="00F30788">
        <w:t xml:space="preserve"> each</w:t>
      </w:r>
      <w:r w:rsidRPr="00BC3E56">
        <w:t xml:space="preserve"> </w:t>
      </w:r>
      <w:r w:rsidR="00F30788">
        <w:t>site (</w:t>
      </w:r>
      <w:r w:rsidRPr="00BC3E56">
        <w:t>IL and CO</w:t>
      </w:r>
      <w:r w:rsidR="00F30788">
        <w:t>)</w:t>
      </w:r>
      <w:r w:rsidRPr="00BC3E56">
        <w:t xml:space="preserve">, </w:t>
      </w:r>
      <w:r w:rsidR="00F30788">
        <w:t>we</w:t>
      </w:r>
      <w:r w:rsidRPr="00BC3E56">
        <w:t xml:space="preserve"> collected 160 soil cores (152.4 mm</w:t>
      </w:r>
      <w:r w:rsidR="00923949">
        <w:t xml:space="preserve"> depth,</w:t>
      </w:r>
      <w:r w:rsidR="00923949" w:rsidRPr="00923949">
        <w:t xml:space="preserve"> </w:t>
      </w:r>
      <w:r w:rsidR="00923949" w:rsidRPr="00BC3E56">
        <w:t>101.6 mm</w:t>
      </w:r>
      <w:r w:rsidR="00923949">
        <w:t xml:space="preserve"> width</w:t>
      </w:r>
      <w:r w:rsidRPr="00BC3E56">
        <w:t xml:space="preserve">; </w:t>
      </w:r>
      <w:r w:rsidRPr="007A6AE1">
        <w:rPr>
          <w:i/>
          <w:iCs/>
        </w:rPr>
        <w:t>n</w:t>
      </w:r>
      <w:r w:rsidR="007A6AE1">
        <w:rPr>
          <w:i/>
          <w:iCs/>
        </w:rPr>
        <w:t xml:space="preserve"> </w:t>
      </w:r>
      <w:r w:rsidRPr="00BC3E56">
        <w:t>=</w:t>
      </w:r>
      <w:r w:rsidR="007A6AE1">
        <w:t xml:space="preserve"> </w:t>
      </w:r>
      <w:r w:rsidRPr="00BC3E56">
        <w:t xml:space="preserve">320): eight samples from each of 10 invaded plots and 10 adjacent uninvaded plots. </w:t>
      </w:r>
      <w:r w:rsidR="00C5788E">
        <w:t>We</w:t>
      </w:r>
      <w:r w:rsidRPr="00BC3E56">
        <w:t xml:space="preserve"> </w:t>
      </w:r>
      <w:r w:rsidR="00C5788E">
        <w:t xml:space="preserve">also </w:t>
      </w:r>
      <w:r w:rsidRPr="00BC3E56">
        <w:t xml:space="preserve">collected 32 </w:t>
      </w:r>
      <w:r>
        <w:t>2.4cm</w:t>
      </w:r>
      <w:r w:rsidRPr="00BC3E56">
        <w:t xml:space="preserve"> rhizomes of </w:t>
      </w:r>
      <w:r w:rsidRPr="00BC3E56">
        <w:rPr>
          <w:i/>
          <w:iCs/>
        </w:rPr>
        <w:t xml:space="preserve">L vulgaris </w:t>
      </w:r>
      <w:r w:rsidRPr="00BC3E56">
        <w:t>from each invaded plot, for a total of 640 rhizomes. The soil and rhizomes were used in growth-chamber experiments</w:t>
      </w:r>
      <w:r w:rsidR="00C5788E">
        <w:t>,</w:t>
      </w:r>
      <w:r w:rsidRPr="00BC3E56">
        <w:t xml:space="preserve"> soil nutrient analyses</w:t>
      </w:r>
      <w:r w:rsidR="00C5788E">
        <w:t>, and Next Generation sequencing</w:t>
      </w:r>
      <w:r w:rsidRPr="00BC3E56">
        <w:t xml:space="preserve"> at the Chicago Botanic Garden.</w:t>
      </w:r>
    </w:p>
    <w:p w14:paraId="2A84912E" w14:textId="3AC25406" w:rsidR="00877468" w:rsidRDefault="00877468" w:rsidP="00385163"/>
    <w:p w14:paraId="3EB735EA" w14:textId="77777777" w:rsidR="00877468" w:rsidRPr="00BC3E56" w:rsidRDefault="00877468" w:rsidP="00385163">
      <w:pPr>
        <w:autoSpaceDE w:val="0"/>
        <w:autoSpaceDN w:val="0"/>
        <w:adjustRightInd w:val="0"/>
        <w:rPr>
          <w:rFonts w:eastAsiaTheme="minorHAnsi"/>
          <w:i/>
          <w:iCs/>
        </w:rPr>
      </w:pPr>
      <w:r w:rsidRPr="00BC3E56">
        <w:rPr>
          <w:rFonts w:eastAsiaTheme="minorHAnsi"/>
          <w:i/>
          <w:iCs/>
        </w:rPr>
        <w:t>Growth-Chamber Experimental design</w:t>
      </w:r>
    </w:p>
    <w:p w14:paraId="159C1DB0" w14:textId="7A107B24" w:rsidR="00877468" w:rsidRDefault="00877468" w:rsidP="00385163">
      <w:pPr>
        <w:autoSpaceDE w:val="0"/>
        <w:autoSpaceDN w:val="0"/>
        <w:adjustRightInd w:val="0"/>
        <w:ind w:firstLine="720"/>
      </w:pPr>
      <w:r w:rsidRPr="00BC3E56">
        <w:rPr>
          <w:rFonts w:eastAsiaTheme="minorHAnsi"/>
        </w:rPr>
        <w:t xml:space="preserve">This experiment consisted of a complete factorial design (2 x 2 x 2) in which </w:t>
      </w:r>
      <w:r>
        <w:rPr>
          <w:rFonts w:eastAsiaTheme="minorHAnsi"/>
        </w:rPr>
        <w:t>we</w:t>
      </w:r>
      <w:r w:rsidRPr="00BC3E56">
        <w:rPr>
          <w:rFonts w:eastAsiaTheme="minorHAnsi"/>
        </w:rPr>
        <w:t xml:space="preserve"> measured the growth and N uptake in </w:t>
      </w:r>
      <w:r w:rsidRPr="00BC3E56">
        <w:rPr>
          <w:rFonts w:eastAsiaTheme="minorHAnsi"/>
          <w:i/>
          <w:iCs/>
        </w:rPr>
        <w:t>Linaria</w:t>
      </w:r>
      <w:r w:rsidRPr="00BC3E56">
        <w:rPr>
          <w:rFonts w:eastAsiaTheme="minorHAnsi"/>
        </w:rPr>
        <w:t xml:space="preserve"> and two native plant species (</w:t>
      </w:r>
      <w:r w:rsidRPr="00BC3E56">
        <w:rPr>
          <w:i/>
          <w:iCs/>
        </w:rPr>
        <w:t xml:space="preserve">Rudbeckia </w:t>
      </w:r>
      <w:proofErr w:type="spellStart"/>
      <w:r w:rsidRPr="00BC3E56">
        <w:rPr>
          <w:i/>
          <w:iCs/>
        </w:rPr>
        <w:t>hirta</w:t>
      </w:r>
      <w:proofErr w:type="spellEnd"/>
      <w:r w:rsidRPr="00BC3E56">
        <w:rPr>
          <w:i/>
          <w:iCs/>
        </w:rPr>
        <w:t>,</w:t>
      </w:r>
      <w:r w:rsidRPr="00BC3E56">
        <w:t xml:space="preserve"> </w:t>
      </w:r>
      <w:proofErr w:type="spellStart"/>
      <w:r w:rsidRPr="00BC3E56">
        <w:rPr>
          <w:i/>
          <w:iCs/>
        </w:rPr>
        <w:t>Leptoloma</w:t>
      </w:r>
      <w:proofErr w:type="spellEnd"/>
      <w:r w:rsidRPr="00BC3E56">
        <w:rPr>
          <w:i/>
          <w:iCs/>
        </w:rPr>
        <w:t xml:space="preserve"> </w:t>
      </w:r>
      <w:proofErr w:type="spellStart"/>
      <w:r w:rsidRPr="00BC3E56">
        <w:rPr>
          <w:i/>
          <w:iCs/>
        </w:rPr>
        <w:t>cognata</w:t>
      </w:r>
      <w:proofErr w:type="spellEnd"/>
      <w:r w:rsidRPr="00BC3E56">
        <w:t xml:space="preserve">) </w:t>
      </w:r>
      <w:r w:rsidRPr="00BC3E56">
        <w:rPr>
          <w:rFonts w:eastAsiaTheme="minorHAnsi"/>
        </w:rPr>
        <w:t>in response to combinations of three factors: (</w:t>
      </w:r>
      <w:proofErr w:type="spellStart"/>
      <w:r w:rsidRPr="00BC3E56">
        <w:rPr>
          <w:rFonts w:eastAsiaTheme="minorHAnsi"/>
        </w:rPr>
        <w:t>i</w:t>
      </w:r>
      <w:proofErr w:type="spellEnd"/>
      <w:r w:rsidRPr="00BC3E56">
        <w:rPr>
          <w:rFonts w:eastAsiaTheme="minorHAnsi"/>
        </w:rPr>
        <w:t>) soil</w:t>
      </w:r>
      <w:r w:rsidR="002C30F6">
        <w:rPr>
          <w:rFonts w:eastAsiaTheme="minorHAnsi"/>
        </w:rPr>
        <w:t xml:space="preserve"> site</w:t>
      </w:r>
      <w:r w:rsidRPr="00BC3E56">
        <w:rPr>
          <w:rFonts w:eastAsiaTheme="minorHAnsi"/>
        </w:rPr>
        <w:t xml:space="preserve">, either CO or IL ; (ii) invasion history, uninvaded (control) or </w:t>
      </w:r>
      <w:r w:rsidRPr="00BC3E56">
        <w:rPr>
          <w:rFonts w:eastAsiaTheme="minorHAnsi"/>
          <w:i/>
          <w:iCs/>
        </w:rPr>
        <w:t>L</w:t>
      </w:r>
      <w:r w:rsidR="00B31340">
        <w:rPr>
          <w:rFonts w:eastAsiaTheme="minorHAnsi"/>
          <w:i/>
          <w:iCs/>
        </w:rPr>
        <w:t>. vulgaris</w:t>
      </w:r>
      <w:r w:rsidRPr="00BC3E56">
        <w:rPr>
          <w:rFonts w:eastAsiaTheme="minorHAnsi"/>
        </w:rPr>
        <w:t xml:space="preserve">-invaded soil, and (iii) two levels of N, </w:t>
      </w:r>
      <w:r w:rsidR="00B31340">
        <w:rPr>
          <w:rFonts w:eastAsiaTheme="minorHAnsi"/>
        </w:rPr>
        <w:t xml:space="preserve">ambient </w:t>
      </w:r>
      <w:r w:rsidRPr="00BC3E56">
        <w:rPr>
          <w:rFonts w:eastAsiaTheme="minorHAnsi"/>
        </w:rPr>
        <w:t>or N-fertilized (N kg ha-1 as NH</w:t>
      </w:r>
      <w:r w:rsidRPr="00BC3E56">
        <w:rPr>
          <w:rFonts w:eastAsiaTheme="minorHAnsi"/>
          <w:vertAlign w:val="subscript"/>
        </w:rPr>
        <w:t>4</w:t>
      </w:r>
      <w:r w:rsidRPr="00BC3E56">
        <w:rPr>
          <w:rFonts w:eastAsiaTheme="minorHAnsi"/>
        </w:rPr>
        <w:t>NO</w:t>
      </w:r>
      <w:r w:rsidRPr="00BC3E56">
        <w:rPr>
          <w:rFonts w:eastAsiaTheme="minorHAnsi"/>
          <w:vertAlign w:val="subscript"/>
        </w:rPr>
        <w:t>3</w:t>
      </w:r>
      <w:r w:rsidRPr="00BC3E56">
        <w:rPr>
          <w:rFonts w:eastAsiaTheme="minorHAnsi"/>
        </w:rPr>
        <w:t xml:space="preserve">). </w:t>
      </w:r>
      <w:r w:rsidR="00060E8D">
        <w:rPr>
          <w:rFonts w:eastAsiaTheme="minorHAnsi"/>
        </w:rPr>
        <w:t xml:space="preserve">Pots contained either </w:t>
      </w:r>
      <w:r w:rsidR="00060E8D">
        <w:rPr>
          <w:rFonts w:eastAsiaTheme="minorHAnsi"/>
          <w:i/>
          <w:iCs/>
        </w:rPr>
        <w:t xml:space="preserve">L. vulgaris </w:t>
      </w:r>
      <w:r w:rsidR="00060E8D">
        <w:rPr>
          <w:rFonts w:eastAsiaTheme="minorHAnsi"/>
        </w:rPr>
        <w:t xml:space="preserve">or both native species grown together. This </w:t>
      </w:r>
      <w:r w:rsidR="003112C4">
        <w:rPr>
          <w:rFonts w:eastAsiaTheme="minorHAnsi"/>
        </w:rPr>
        <w:t xml:space="preserve">combination resulted in </w:t>
      </w:r>
      <w:r w:rsidR="00060E8D">
        <w:rPr>
          <w:rFonts w:eastAsiaTheme="minorHAnsi"/>
        </w:rPr>
        <w:t>8</w:t>
      </w:r>
      <w:r w:rsidR="003112C4">
        <w:rPr>
          <w:rFonts w:eastAsiaTheme="minorHAnsi"/>
        </w:rPr>
        <w:t xml:space="preserve"> treatments</w:t>
      </w:r>
      <w:r w:rsidR="00060E8D">
        <w:rPr>
          <w:rFonts w:eastAsiaTheme="minorHAnsi"/>
        </w:rPr>
        <w:t xml:space="preserve"> across two plant </w:t>
      </w:r>
      <w:r w:rsidR="00963BC3">
        <w:rPr>
          <w:rFonts w:eastAsiaTheme="minorHAnsi"/>
        </w:rPr>
        <w:t xml:space="preserve">combinations </w:t>
      </w:r>
      <w:r w:rsidR="003112C4">
        <w:rPr>
          <w:rFonts w:eastAsiaTheme="minorHAnsi"/>
        </w:rPr>
        <w:t>with 10 pots per treatment (</w:t>
      </w:r>
      <w:r w:rsidR="003112C4" w:rsidRPr="00EF75F7">
        <w:rPr>
          <w:rFonts w:eastAsiaTheme="minorHAnsi"/>
          <w:i/>
          <w:iCs/>
        </w:rPr>
        <w:t>n</w:t>
      </w:r>
      <w:r w:rsidR="003112C4">
        <w:rPr>
          <w:rFonts w:eastAsiaTheme="minorHAnsi"/>
        </w:rPr>
        <w:t xml:space="preserve"> = </w:t>
      </w:r>
      <w:r w:rsidR="00060E8D">
        <w:rPr>
          <w:rFonts w:eastAsiaTheme="minorHAnsi"/>
        </w:rPr>
        <w:t>16</w:t>
      </w:r>
      <w:r w:rsidR="003112C4">
        <w:rPr>
          <w:rFonts w:eastAsiaTheme="minorHAnsi"/>
        </w:rPr>
        <w:t xml:space="preserve">0). </w:t>
      </w:r>
      <w:r w:rsidRPr="00BC3E56">
        <w:t>To prepare the soil for the experiment, fresh soil from each location and invasion type was gently mixed 1:1 (v/v) with coarse sterile sand (autoclaved). Pots (10.1 cm</w:t>
      </w:r>
      <w:r w:rsidRPr="00BC3E56">
        <w:rPr>
          <w:vertAlign w:val="superscript"/>
        </w:rPr>
        <w:t>3</w:t>
      </w:r>
      <w:r w:rsidRPr="00BC3E56">
        <w:t xml:space="preserve">) were filled with prepared soil and planted with either </w:t>
      </w:r>
      <w:r w:rsidRPr="00BC3E56">
        <w:rPr>
          <w:i/>
          <w:iCs/>
        </w:rPr>
        <w:t xml:space="preserve">L. vulgaris </w:t>
      </w:r>
      <w:r w:rsidRPr="00BC3E56">
        <w:t>alone</w:t>
      </w:r>
      <w:r w:rsidR="007C4BAC">
        <w:t xml:space="preserve"> (two rhizomes)</w:t>
      </w:r>
      <w:r w:rsidRPr="00BC3E56">
        <w:t xml:space="preserve">; </w:t>
      </w:r>
      <w:r w:rsidRPr="00BC3E56">
        <w:rPr>
          <w:i/>
          <w:iCs/>
        </w:rPr>
        <w:t xml:space="preserve">L. vulgaris </w:t>
      </w:r>
      <w:r w:rsidRPr="00BC3E56">
        <w:t>with native plants</w:t>
      </w:r>
      <w:r w:rsidR="007C4BAC">
        <w:t xml:space="preserve"> (two rhizomes and three seeds per native species)</w:t>
      </w:r>
      <w:r w:rsidRPr="00BC3E56">
        <w:rPr>
          <w:i/>
          <w:iCs/>
        </w:rPr>
        <w:t xml:space="preserve">, </w:t>
      </w:r>
      <w:r w:rsidRPr="00BC3E56">
        <w:t>or native plants only</w:t>
      </w:r>
      <w:r w:rsidR="007C4BAC">
        <w:t xml:space="preserve"> (three seeds per native species)</w:t>
      </w:r>
      <w:r w:rsidRPr="00BC3E56">
        <w:t>.</w:t>
      </w:r>
    </w:p>
    <w:p w14:paraId="2BE9733B" w14:textId="0FBF9101" w:rsidR="00E15CE8" w:rsidRDefault="00E15CE8" w:rsidP="00385163">
      <w:pPr>
        <w:autoSpaceDE w:val="0"/>
        <w:autoSpaceDN w:val="0"/>
        <w:adjustRightInd w:val="0"/>
        <w:ind w:firstLine="720"/>
      </w:pPr>
      <w:r>
        <w:lastRenderedPageBreak/>
        <w:t xml:space="preserve">The </w:t>
      </w:r>
      <w:r w:rsidRPr="00BC3E56">
        <w:t xml:space="preserve">two </w:t>
      </w:r>
      <w:r>
        <w:t xml:space="preserve">native </w:t>
      </w:r>
      <w:r w:rsidRPr="00BC3E56">
        <w:t xml:space="preserve">species </w:t>
      </w:r>
      <w:r>
        <w:t>used in the growth-chamber experiment</w:t>
      </w:r>
      <w:r w:rsidRPr="00BC3E56">
        <w:t xml:space="preserve">, </w:t>
      </w:r>
      <w:r w:rsidRPr="00BC3E56">
        <w:rPr>
          <w:i/>
          <w:iCs/>
        </w:rPr>
        <w:t xml:space="preserve">Rudbeckia </w:t>
      </w:r>
      <w:proofErr w:type="spellStart"/>
      <w:r w:rsidRPr="00BC3E56">
        <w:rPr>
          <w:i/>
          <w:iCs/>
        </w:rPr>
        <w:t>hirta</w:t>
      </w:r>
      <w:proofErr w:type="spellEnd"/>
      <w:r w:rsidRPr="00BC3E56">
        <w:rPr>
          <w:i/>
          <w:iCs/>
        </w:rPr>
        <w:t xml:space="preserve"> </w:t>
      </w:r>
      <w:r w:rsidRPr="00BC3E56">
        <w:t>(Asteraceae)</w:t>
      </w:r>
      <w:r w:rsidRPr="00BC3E56">
        <w:rPr>
          <w:i/>
          <w:iCs/>
        </w:rPr>
        <w:t xml:space="preserve"> </w:t>
      </w:r>
      <w:r w:rsidRPr="00BC3E56">
        <w:t xml:space="preserve">and </w:t>
      </w:r>
      <w:proofErr w:type="spellStart"/>
      <w:r>
        <w:rPr>
          <w:i/>
          <w:iCs/>
        </w:rPr>
        <w:t>Digitaria</w:t>
      </w:r>
      <w:proofErr w:type="spellEnd"/>
      <w:r>
        <w:rPr>
          <w:i/>
          <w:iCs/>
        </w:rPr>
        <w:t xml:space="preserve"> </w:t>
      </w:r>
      <w:proofErr w:type="spellStart"/>
      <w:r w:rsidRPr="00BC3E56">
        <w:rPr>
          <w:i/>
          <w:iCs/>
        </w:rPr>
        <w:t>cognata</w:t>
      </w:r>
      <w:proofErr w:type="spellEnd"/>
      <w:r w:rsidRPr="00BC3E56">
        <w:t xml:space="preserve"> (</w:t>
      </w:r>
      <w:proofErr w:type="spellStart"/>
      <w:r w:rsidRPr="00BC3E56">
        <w:t>Poaceae</w:t>
      </w:r>
      <w:proofErr w:type="spellEnd"/>
      <w:r w:rsidRPr="00BC3E56">
        <w:t>),</w:t>
      </w:r>
      <w:r>
        <w:t xml:space="preserve"> </w:t>
      </w:r>
      <w:r w:rsidRPr="00BC3E56">
        <w:t xml:space="preserve">are commonly found in disturbed sites, making them more likely to coexist with </w:t>
      </w:r>
      <w:r w:rsidRPr="00BC3E56">
        <w:rPr>
          <w:i/>
          <w:iCs/>
        </w:rPr>
        <w:t>L. vulgaris</w:t>
      </w:r>
      <w:r>
        <w:t xml:space="preserve">. However, </w:t>
      </w:r>
      <w:r w:rsidRPr="00BC3E56">
        <w:rPr>
          <w:i/>
          <w:iCs/>
        </w:rPr>
        <w:t>R</w:t>
      </w:r>
      <w:r>
        <w:rPr>
          <w:i/>
          <w:iCs/>
        </w:rPr>
        <w:t>.</w:t>
      </w:r>
      <w:r w:rsidRPr="00BC3E56">
        <w:rPr>
          <w:i/>
          <w:iCs/>
        </w:rPr>
        <w:t xml:space="preserve"> </w:t>
      </w:r>
      <w:proofErr w:type="spellStart"/>
      <w:r w:rsidRPr="00BC3E56">
        <w:rPr>
          <w:i/>
          <w:iCs/>
        </w:rPr>
        <w:t>hirta</w:t>
      </w:r>
      <w:proofErr w:type="spellEnd"/>
      <w:r w:rsidRPr="00BC3E56">
        <w:rPr>
          <w:i/>
          <w:iCs/>
        </w:rPr>
        <w:t xml:space="preserve"> </w:t>
      </w:r>
      <w:r w:rsidRPr="00BC3E56">
        <w:t xml:space="preserve">and </w:t>
      </w:r>
      <w:r>
        <w:rPr>
          <w:i/>
          <w:iCs/>
        </w:rPr>
        <w:t>D.</w:t>
      </w:r>
      <w:r w:rsidRPr="00BC3E56">
        <w:rPr>
          <w:i/>
          <w:iCs/>
        </w:rPr>
        <w:t xml:space="preserve"> </w:t>
      </w:r>
      <w:proofErr w:type="spellStart"/>
      <w:r w:rsidRPr="00BC3E56">
        <w:rPr>
          <w:i/>
          <w:iCs/>
        </w:rPr>
        <w:t>cognata</w:t>
      </w:r>
      <w:proofErr w:type="spellEnd"/>
      <w:r w:rsidRPr="00BC3E56">
        <w:t xml:space="preserve"> </w:t>
      </w:r>
      <w:r>
        <w:t xml:space="preserve">are both </w:t>
      </w:r>
      <w:r w:rsidRPr="00BC3E56">
        <w:t>native to IL</w:t>
      </w:r>
      <w:r>
        <w:t>, as obtaining and cold-stratifying seed native to CO would have delayed planting</w:t>
      </w:r>
      <w:r w:rsidRPr="00BC3E56">
        <w:t xml:space="preserve">. </w:t>
      </w:r>
      <w:r w:rsidRPr="00F02E89">
        <w:rPr>
          <w:i/>
          <w:iCs/>
        </w:rPr>
        <w:t>R</w:t>
      </w:r>
      <w:r>
        <w:rPr>
          <w:i/>
          <w:iCs/>
        </w:rPr>
        <w:t>udbeckia</w:t>
      </w:r>
      <w:r w:rsidRPr="00F02E89">
        <w:rPr>
          <w:i/>
          <w:iCs/>
        </w:rPr>
        <w:t xml:space="preserve"> </w:t>
      </w:r>
      <w:proofErr w:type="spellStart"/>
      <w:r w:rsidRPr="00F02E89">
        <w:rPr>
          <w:i/>
          <w:iCs/>
        </w:rPr>
        <w:t>hirta</w:t>
      </w:r>
      <w:proofErr w:type="spellEnd"/>
      <w:r w:rsidRPr="00F02E89">
        <w:rPr>
          <w:i/>
          <w:iCs/>
        </w:rPr>
        <w:t xml:space="preserve"> </w:t>
      </w:r>
      <w:r>
        <w:t xml:space="preserve">is also native to </w:t>
      </w:r>
      <w:r w:rsidR="00106BA6">
        <w:t>CO but</w:t>
      </w:r>
      <w:r>
        <w:t xml:space="preserve"> does not commonly occur alongside </w:t>
      </w:r>
      <w:r w:rsidRPr="00F02E89">
        <w:rPr>
          <w:i/>
          <w:iCs/>
        </w:rPr>
        <w:t>L. vulgaris</w:t>
      </w:r>
      <w:r>
        <w:t xml:space="preserve"> at RMBL (USDA PLANTS 2021). </w:t>
      </w:r>
      <w:r w:rsidRPr="00BC3E56">
        <w:t xml:space="preserve">Additionally, </w:t>
      </w:r>
      <w:r w:rsidRPr="00BC3E56">
        <w:rPr>
          <w:i/>
          <w:iCs/>
        </w:rPr>
        <w:t xml:space="preserve">R. </w:t>
      </w:r>
      <w:proofErr w:type="spellStart"/>
      <w:r w:rsidRPr="00BC3E56">
        <w:rPr>
          <w:i/>
          <w:iCs/>
        </w:rPr>
        <w:t>hirta</w:t>
      </w:r>
      <w:proofErr w:type="spellEnd"/>
      <w:r w:rsidRPr="00BC3E56">
        <w:t xml:space="preserve"> is a forb, whereas </w:t>
      </w:r>
      <w:r>
        <w:rPr>
          <w:i/>
          <w:iCs/>
        </w:rPr>
        <w:t>D</w:t>
      </w:r>
      <w:r w:rsidRPr="00BC3E56">
        <w:rPr>
          <w:i/>
          <w:iCs/>
        </w:rPr>
        <w:t xml:space="preserve">. </w:t>
      </w:r>
      <w:proofErr w:type="spellStart"/>
      <w:r w:rsidRPr="00BC3E56">
        <w:rPr>
          <w:i/>
          <w:iCs/>
        </w:rPr>
        <w:t>cognata</w:t>
      </w:r>
      <w:proofErr w:type="spellEnd"/>
      <w:r w:rsidRPr="00BC3E56">
        <w:t xml:space="preserve"> is a grass, which can respond differently to</w:t>
      </w:r>
      <w:r>
        <w:t xml:space="preserve"> soil legacy effects</w:t>
      </w:r>
      <w:r w:rsidRPr="00BC3E56">
        <w:t xml:space="preserve">; by growing both </w:t>
      </w:r>
      <w:r>
        <w:t>we</w:t>
      </w:r>
      <w:r w:rsidRPr="00BC3E56">
        <w:t xml:space="preserve"> hoped to capture </w:t>
      </w:r>
      <w:r>
        <w:t xml:space="preserve">broader impacts of </w:t>
      </w:r>
      <w:r w:rsidRPr="00BC3E56">
        <w:rPr>
          <w:i/>
          <w:iCs/>
        </w:rPr>
        <w:t xml:space="preserve">L. vulgaris </w:t>
      </w:r>
      <w:r w:rsidRPr="00BC3E56">
        <w:t xml:space="preserve">invasion </w:t>
      </w:r>
      <w:r>
        <w:t xml:space="preserve">on </w:t>
      </w:r>
      <w:r w:rsidRPr="00BC3E56">
        <w:t>native species success.</w:t>
      </w:r>
      <w:r>
        <w:t xml:space="preserve"> </w:t>
      </w:r>
      <w:r w:rsidR="00877468" w:rsidRPr="00BC3E56">
        <w:t>Seed</w:t>
      </w:r>
      <w:r w:rsidR="00E810DC">
        <w:t>s</w:t>
      </w:r>
      <w:r w:rsidR="00877468" w:rsidRPr="00BC3E56">
        <w:t xml:space="preserve"> w</w:t>
      </w:r>
      <w:r w:rsidR="00E810DC">
        <w:t>ere</w:t>
      </w:r>
      <w:r w:rsidR="00877468" w:rsidRPr="00BC3E56">
        <w:t xml:space="preserve"> donated by the Dixon National Tallgrass Prairie Seed Bank at the Chicago Botanic Garden. Seeds were dry stratified for 30 days at </w:t>
      </w:r>
      <w:r w:rsidR="00784677">
        <w:t>4</w:t>
      </w:r>
      <w:r w:rsidR="00877468" w:rsidRPr="00BC3E56">
        <w:sym w:font="Symbol" w:char="F0B0"/>
      </w:r>
      <w:r w:rsidR="00877468" w:rsidRPr="00BC3E56">
        <w:t xml:space="preserve">C and then seeds were </w:t>
      </w:r>
      <w:r w:rsidR="002B663C">
        <w:t xml:space="preserve">surface sterilized </w:t>
      </w:r>
      <w:r w:rsidR="00877468" w:rsidRPr="00BC3E56">
        <w:t xml:space="preserve">in a bleach solution (10%) before planting. </w:t>
      </w:r>
      <w:r>
        <w:rPr>
          <w:i/>
          <w:iCs/>
        </w:rPr>
        <w:t xml:space="preserve">L. vulgaris </w:t>
      </w:r>
      <w:r>
        <w:t xml:space="preserve">rhizomes were washed in DI water to remove excess soil. </w:t>
      </w:r>
      <w:r w:rsidR="00877468" w:rsidRPr="00BC3E56">
        <w:t>Rhizomes collected from CO and IL were planted in their soil of origin</w:t>
      </w:r>
      <w:r w:rsidR="00BD5B8D">
        <w:t xml:space="preserve"> across all treatments</w:t>
      </w:r>
      <w:r w:rsidR="00877468" w:rsidRPr="00BC3E56">
        <w:t xml:space="preserve">. </w:t>
      </w:r>
    </w:p>
    <w:p w14:paraId="23BD01EB" w14:textId="0161F6A9" w:rsidR="00877468" w:rsidRDefault="00877468" w:rsidP="00385163">
      <w:pPr>
        <w:autoSpaceDE w:val="0"/>
        <w:autoSpaceDN w:val="0"/>
        <w:adjustRightInd w:val="0"/>
        <w:ind w:firstLine="720"/>
      </w:pPr>
      <w:r w:rsidRPr="00BC3E56">
        <w:t xml:space="preserve">Plants were grown in growth chambers using 12:12 </w:t>
      </w:r>
      <w:proofErr w:type="spellStart"/>
      <w:r w:rsidRPr="00BC3E56">
        <w:t>hr</w:t>
      </w:r>
      <w:proofErr w:type="spellEnd"/>
      <w:r w:rsidRPr="00BC3E56">
        <w:t xml:space="preserve"> photoperiod (day: night), 25/15</w:t>
      </w:r>
      <w:r w:rsidRPr="00BC3E56">
        <w:sym w:font="Symbol" w:char="F0B0"/>
      </w:r>
      <w:r w:rsidRPr="00BC3E56">
        <w:t>C (day/ night) and 75% relative humidity for four months.</w:t>
      </w:r>
      <w:r w:rsidRPr="00BC3E56">
        <w:rPr>
          <w:rFonts w:eastAsiaTheme="minorHAnsi"/>
        </w:rPr>
        <w:t xml:space="preserve"> </w:t>
      </w:r>
      <w:r w:rsidRPr="00BC3E56">
        <w:t>Plants were N-fertilized every 30 days at rates of 8.9 kg N ha yr</w:t>
      </w:r>
      <w:r w:rsidRPr="00BC3E56">
        <w:rPr>
          <w:vertAlign w:val="superscript"/>
        </w:rPr>
        <w:t>-1</w:t>
      </w:r>
      <w:r w:rsidRPr="00BC3E56">
        <w:t xml:space="preserve"> (6.1 kg N ha</w:t>
      </w:r>
      <w:r w:rsidRPr="00BC3E56">
        <w:rPr>
          <w:vertAlign w:val="superscript"/>
        </w:rPr>
        <w:t>-1</w:t>
      </w:r>
      <w:r w:rsidRPr="00BC3E56">
        <w:t xml:space="preserve"> </w:t>
      </w:r>
      <w:proofErr w:type="spellStart"/>
      <w:r w:rsidRPr="00BC3E56">
        <w:t>yr</w:t>
      </w:r>
      <w:proofErr w:type="spellEnd"/>
      <w:r w:rsidRPr="00BC3E56">
        <w:t xml:space="preserve"> as NO</w:t>
      </w:r>
      <w:r w:rsidRPr="00BC3E56">
        <w:rPr>
          <w:vertAlign w:val="subscript"/>
        </w:rPr>
        <w:t>3</w:t>
      </w:r>
      <w:r w:rsidRPr="00BC3E56">
        <w:t>, 2.8 kg N ha yr</w:t>
      </w:r>
      <w:r w:rsidRPr="00BC3E56">
        <w:rPr>
          <w:vertAlign w:val="superscript"/>
        </w:rPr>
        <w:t>-1</w:t>
      </w:r>
      <w:r w:rsidRPr="00BC3E56">
        <w:t xml:space="preserve"> as NH</w:t>
      </w:r>
      <w:r w:rsidRPr="00BC3E56">
        <w:rPr>
          <w:vertAlign w:val="subscript"/>
        </w:rPr>
        <w:t>4</w:t>
      </w:r>
      <w:r w:rsidRPr="00BC3E56">
        <w:t>) or were unfertilized (control). The level of N fertilization represents double the average N input from anthropogenic N deposition in Gothic, CO (4.05 kg N ha</w:t>
      </w:r>
      <w:r w:rsidRPr="00BC3E56">
        <w:rPr>
          <w:vertAlign w:val="superscript"/>
        </w:rPr>
        <w:t xml:space="preserve">-1 </w:t>
      </w:r>
      <w:r w:rsidRPr="00BC3E56">
        <w:t>year, 3:1 NO</w:t>
      </w:r>
      <w:r w:rsidRPr="00BC3E56">
        <w:rPr>
          <w:vertAlign w:val="subscript"/>
        </w:rPr>
        <w:t>3</w:t>
      </w:r>
      <w:r w:rsidRPr="00BC3E56">
        <w:t>:NH</w:t>
      </w:r>
      <w:r w:rsidRPr="00BC3E56">
        <w:rPr>
          <w:vertAlign w:val="subscript"/>
        </w:rPr>
        <w:t>4</w:t>
      </w:r>
      <w:r w:rsidRPr="00BC3E56">
        <w:t xml:space="preserve">, 20 </w:t>
      </w:r>
      <w:proofErr w:type="spellStart"/>
      <w:r w:rsidRPr="00BC3E56">
        <w:t>yr</w:t>
      </w:r>
      <w:proofErr w:type="spellEnd"/>
      <w:r w:rsidRPr="00BC3E56">
        <w:t>-average; NADP 2022</w:t>
      </w:r>
      <w:r w:rsidR="00C164A3">
        <w:t>;</w:t>
      </w:r>
      <w:r w:rsidRPr="00BC3E56">
        <w:t xml:space="preserve"> Yoshida &amp; Allen 2004).</w:t>
      </w:r>
    </w:p>
    <w:p w14:paraId="3B193A8D" w14:textId="51E810F5" w:rsidR="00B01888" w:rsidRDefault="00B01888" w:rsidP="00385163">
      <w:pPr>
        <w:autoSpaceDE w:val="0"/>
        <w:autoSpaceDN w:val="0"/>
        <w:adjustRightInd w:val="0"/>
      </w:pPr>
    </w:p>
    <w:p w14:paraId="6BE920C0" w14:textId="77777777" w:rsidR="00B01888" w:rsidRPr="00BC3E56" w:rsidRDefault="00B01888" w:rsidP="00385163">
      <w:pPr>
        <w:rPr>
          <w:i/>
          <w:iCs/>
        </w:rPr>
      </w:pPr>
      <w:r w:rsidRPr="00BC3E56">
        <w:rPr>
          <w:i/>
          <w:iCs/>
        </w:rPr>
        <w:t xml:space="preserve">Stable Isotope and Biomass Analysis </w:t>
      </w:r>
    </w:p>
    <w:p w14:paraId="699A4774" w14:textId="0D693F97" w:rsidR="00B01888" w:rsidRPr="00BC3E56" w:rsidRDefault="00B01888" w:rsidP="00385163">
      <w:pPr>
        <w:ind w:firstLine="720"/>
      </w:pPr>
      <w:r w:rsidRPr="00BC3E56">
        <w:t xml:space="preserve">At the end of the growing period, 5 ml of 14.37 mM </w:t>
      </w:r>
      <w:r w:rsidRPr="00BC3E56">
        <w:rPr>
          <w:vertAlign w:val="superscript"/>
        </w:rPr>
        <w:t>15</w:t>
      </w:r>
      <w:r w:rsidRPr="00BC3E56">
        <w:t>NH</w:t>
      </w:r>
      <w:r w:rsidRPr="00BC3E56">
        <w:rPr>
          <w:vertAlign w:val="subscript"/>
        </w:rPr>
        <w:t>4</w:t>
      </w:r>
      <w:r w:rsidRPr="00BC3E56">
        <w:t>-</w:t>
      </w:r>
      <w:r w:rsidRPr="00BC3E56">
        <w:rPr>
          <w:vertAlign w:val="superscript"/>
        </w:rPr>
        <w:t>15</w:t>
      </w:r>
      <w:r w:rsidRPr="00BC3E56">
        <w:t>NO</w:t>
      </w:r>
      <w:r w:rsidRPr="00BC3E56">
        <w:rPr>
          <w:vertAlign w:val="subscript"/>
        </w:rPr>
        <w:t>3</w:t>
      </w:r>
      <w:r w:rsidRPr="00BC3E56">
        <w:t xml:space="preserve"> solution (&gt; 98.9 at %</w:t>
      </w:r>
      <w:r w:rsidRPr="00BC3E56">
        <w:rPr>
          <w:vertAlign w:val="superscript"/>
        </w:rPr>
        <w:t>15</w:t>
      </w:r>
      <w:r w:rsidRPr="00BC3E56">
        <w:t xml:space="preserve">N; Cambridge Stable Isotopes, Tewksbury, MA, USA) was injected into the root zone of each pot using 100mm 11-gauge biopsy needles (Fisher Scientific, Waltham, MA, USA; Yoshida &amp; Allen 2004; </w:t>
      </w:r>
      <w:proofErr w:type="spellStart"/>
      <w:r w:rsidRPr="00BC3E56">
        <w:t>Dresboll</w:t>
      </w:r>
      <w:proofErr w:type="spellEnd"/>
      <w:r w:rsidRPr="00BC3E56">
        <w:t xml:space="preserve"> &amp; </w:t>
      </w:r>
      <w:proofErr w:type="spellStart"/>
      <w:r w:rsidRPr="00BC3E56">
        <w:t>Thorup</w:t>
      </w:r>
      <w:proofErr w:type="spellEnd"/>
      <w:r w:rsidRPr="00BC3E56">
        <w:t>-Kristensen 2012), leading to a total of 2.012 mg N added per pot. After 24 hours, plants were destructively harvested with each plant separated into root and shoot fractions, dried in biomass ovens (72 hours, 80˚C), and weighed. After weighing, leaf samples (</w:t>
      </w:r>
      <w:r w:rsidRPr="00BC3E56">
        <w:rPr>
          <w:i/>
          <w:iCs/>
        </w:rPr>
        <w:t>n</w:t>
      </w:r>
      <w:r w:rsidRPr="00BC3E56">
        <w:t xml:space="preserve"> = 68) were collected from all treatments in which there was sufficient leaf material for analysis. Each leaf sample was ground to a fine powder using ceramic beads in Fastprep-24 MG with sub-samples (1-1.5mg), packed into </w:t>
      </w:r>
      <w:r w:rsidR="005952C5">
        <w:t>aluminum</w:t>
      </w:r>
      <w:r w:rsidRPr="00BC3E56">
        <w:t xml:space="preserve"> capsules, and analyzed for </w:t>
      </w:r>
      <w:r w:rsidRPr="00BC3E56">
        <w:rPr>
          <w:rFonts w:eastAsiaTheme="minorHAnsi"/>
          <w:vertAlign w:val="superscript"/>
        </w:rPr>
        <w:t>15</w:t>
      </w:r>
      <w:r w:rsidRPr="00BC3E56">
        <w:rPr>
          <w:rFonts w:eastAsiaTheme="minorHAnsi"/>
        </w:rPr>
        <w:t>N atom% and N concentrations</w:t>
      </w:r>
      <w:r w:rsidRPr="00BC3E56">
        <w:t xml:space="preserve"> in a </w:t>
      </w:r>
      <w:proofErr w:type="spellStart"/>
      <w:r w:rsidRPr="00BC3E56">
        <w:t>Costech</w:t>
      </w:r>
      <w:proofErr w:type="spellEnd"/>
      <w:r w:rsidRPr="00BC3E56">
        <w:t xml:space="preserve"> 4010 ECS (</w:t>
      </w:r>
      <w:proofErr w:type="spellStart"/>
      <w:r w:rsidRPr="00BC3E56">
        <w:t>Costech</w:t>
      </w:r>
      <w:proofErr w:type="spellEnd"/>
      <w:r w:rsidRPr="00BC3E56">
        <w:t xml:space="preserve"> Analytical Technologies, Inc., Valencia, CA, USA) coupled to an ion ratio mass spectrometer (IRMS;</w:t>
      </w:r>
      <w:r w:rsidRPr="00BC3E56">
        <w:rPr>
          <w:rFonts w:eastAsiaTheme="minorHAnsi"/>
        </w:rPr>
        <w:t xml:space="preserve"> Delta V Plus, </w:t>
      </w:r>
      <w:proofErr w:type="spellStart"/>
      <w:r w:rsidRPr="00BC3E56">
        <w:rPr>
          <w:rFonts w:eastAsiaTheme="minorHAnsi"/>
        </w:rPr>
        <w:t>Thermo</w:t>
      </w:r>
      <w:proofErr w:type="spellEnd"/>
      <w:r w:rsidRPr="00BC3E56">
        <w:rPr>
          <w:rFonts w:eastAsiaTheme="minorHAnsi"/>
        </w:rPr>
        <w:t xml:space="preserve"> Scientific</w:t>
      </w:r>
      <w:r w:rsidRPr="00BC3E56">
        <w:t xml:space="preserve">) at the Northwestern University Stable Isotope Laboratory. </w:t>
      </w:r>
    </w:p>
    <w:p w14:paraId="5EB427F2" w14:textId="689E76C3" w:rsidR="00B01888" w:rsidRPr="00BC3E56" w:rsidRDefault="00AB3680" w:rsidP="00385163">
      <w:pPr>
        <w:ind w:firstLine="720"/>
        <w:rPr>
          <w:rFonts w:eastAsiaTheme="minorHAnsi"/>
        </w:rPr>
      </w:pPr>
      <w:r>
        <w:rPr>
          <w:rFonts w:eastAsiaTheme="minorHAnsi"/>
        </w:rPr>
        <w:t xml:space="preserve">We used the </w:t>
      </w:r>
      <w:r w:rsidR="00B01888" w:rsidRPr="00BC3E56">
        <w:rPr>
          <w:rFonts w:eastAsiaTheme="minorHAnsi"/>
          <w:vertAlign w:val="superscript"/>
        </w:rPr>
        <w:t>15</w:t>
      </w:r>
      <w:r w:rsidR="00B01888" w:rsidRPr="00BC3E56">
        <w:rPr>
          <w:rFonts w:eastAsiaTheme="minorHAnsi"/>
        </w:rPr>
        <w:t>N data to calculate the rate of N uptake per day (as NO</w:t>
      </w:r>
      <w:r w:rsidR="00B01888" w:rsidRPr="00BC3E56">
        <w:rPr>
          <w:rFonts w:eastAsiaTheme="minorHAnsi"/>
          <w:vertAlign w:val="subscript"/>
        </w:rPr>
        <w:t>3</w:t>
      </w:r>
      <w:r w:rsidR="00B01888" w:rsidRPr="00BC3E56">
        <w:rPr>
          <w:rFonts w:eastAsiaTheme="minorHAnsi"/>
        </w:rPr>
        <w:t xml:space="preserve"> + NH</w:t>
      </w:r>
      <w:r w:rsidR="00B01888" w:rsidRPr="00BC3E56">
        <w:rPr>
          <w:rFonts w:eastAsiaTheme="minorHAnsi"/>
          <w:vertAlign w:val="subscript"/>
        </w:rPr>
        <w:t>4</w:t>
      </w:r>
      <w:r w:rsidR="00B01888" w:rsidRPr="00BC3E56">
        <w:rPr>
          <w:rFonts w:eastAsiaTheme="minorHAnsi"/>
        </w:rPr>
        <w:t xml:space="preserve">). The </w:t>
      </w:r>
      <w:r w:rsidR="00B01888" w:rsidRPr="00BC3E56">
        <w:rPr>
          <w:rFonts w:eastAsiaTheme="minorHAnsi"/>
          <w:vertAlign w:val="superscript"/>
        </w:rPr>
        <w:t>15</w:t>
      </w:r>
      <w:r w:rsidR="00B01888" w:rsidRPr="00BC3E56">
        <w:rPr>
          <w:rFonts w:eastAsiaTheme="minorHAnsi"/>
        </w:rPr>
        <w:t xml:space="preserve">N atom percent excess (APE) was calculated as the difference in atom% </w:t>
      </w:r>
      <w:r w:rsidR="00B01888" w:rsidRPr="00BC3E56">
        <w:rPr>
          <w:rFonts w:eastAsiaTheme="minorHAnsi"/>
          <w:vertAlign w:val="superscript"/>
        </w:rPr>
        <w:t>15</w:t>
      </w:r>
      <w:r w:rsidR="00B01888" w:rsidRPr="00BC3E56">
        <w:rPr>
          <w:rFonts w:eastAsiaTheme="minorHAnsi"/>
        </w:rPr>
        <w:t xml:space="preserve">N between labelled and non-labeled plants from literature (typically atom% </w:t>
      </w:r>
      <w:r w:rsidR="00B01888" w:rsidRPr="00BC3E56">
        <w:rPr>
          <w:rFonts w:eastAsiaTheme="minorHAnsi"/>
          <w:vertAlign w:val="superscript"/>
        </w:rPr>
        <w:t>15</w:t>
      </w:r>
      <w:r w:rsidR="00B01888" w:rsidRPr="00BC3E56">
        <w:rPr>
          <w:rFonts w:eastAsiaTheme="minorHAnsi"/>
        </w:rPr>
        <w:t>N &lt; 0.1</w:t>
      </w:r>
      <w:r w:rsidR="007A00CD">
        <w:rPr>
          <w:rFonts w:eastAsiaTheme="minorHAnsi"/>
        </w:rPr>
        <w:t>; Torres-</w:t>
      </w:r>
      <w:proofErr w:type="spellStart"/>
      <w:r w:rsidR="007A00CD">
        <w:rPr>
          <w:rFonts w:eastAsiaTheme="minorHAnsi"/>
        </w:rPr>
        <w:t>Poché</w:t>
      </w:r>
      <w:proofErr w:type="spellEnd"/>
      <w:r w:rsidR="007A00CD">
        <w:rPr>
          <w:rFonts w:eastAsiaTheme="minorHAnsi"/>
        </w:rPr>
        <w:t xml:space="preserve"> et al 2020</w:t>
      </w:r>
      <w:r w:rsidR="00B01888" w:rsidRPr="00BC3E56">
        <w:rPr>
          <w:rFonts w:eastAsiaTheme="minorHAnsi"/>
        </w:rPr>
        <w:t>). The net uptake rate (NUR, µg N g</w:t>
      </w:r>
      <w:r w:rsidR="00B01888" w:rsidRPr="00BC3E56">
        <w:rPr>
          <w:rFonts w:eastAsiaTheme="minorHAnsi"/>
          <w:vertAlign w:val="superscript"/>
        </w:rPr>
        <w:t>-1</w:t>
      </w:r>
      <w:r w:rsidR="00B01888" w:rsidRPr="00BC3E56">
        <w:rPr>
          <w:rFonts w:eastAsiaTheme="minorHAnsi"/>
        </w:rPr>
        <w:t xml:space="preserve"> shoot per day</w:t>
      </w:r>
      <w:r w:rsidR="00B01888" w:rsidRPr="00BC3E56">
        <w:rPr>
          <w:rFonts w:eastAsiaTheme="minorHAnsi"/>
          <w:vertAlign w:val="superscript"/>
        </w:rPr>
        <w:t>-1</w:t>
      </w:r>
      <w:r w:rsidR="00B01888" w:rsidRPr="00BC3E56">
        <w:rPr>
          <w:rFonts w:eastAsiaTheme="minorHAnsi"/>
        </w:rPr>
        <w:t xml:space="preserve">) of N was calculated following McKane et al. (2002) as: </w:t>
      </w:r>
    </w:p>
    <w:p w14:paraId="406D63F4" w14:textId="77777777" w:rsidR="00B01888" w:rsidRPr="00BC3E56" w:rsidRDefault="00B01888" w:rsidP="00385163">
      <w:pPr>
        <w:jc w:val="center"/>
        <w:rPr>
          <w:rFonts w:eastAsiaTheme="minorHAnsi"/>
          <w:b/>
          <w:bCs/>
        </w:rPr>
      </w:pPr>
      <w:r w:rsidRPr="00BC3E56">
        <w:rPr>
          <w:rFonts w:eastAsiaTheme="minorHAnsi"/>
          <w:b/>
          <w:bCs/>
        </w:rPr>
        <w:t>NUR = [Plant N content (µ</w:t>
      </w:r>
      <w:proofErr w:type="gramStart"/>
      <w:r w:rsidRPr="00BC3E56">
        <w:rPr>
          <w:rFonts w:eastAsiaTheme="minorHAnsi"/>
          <w:b/>
          <w:bCs/>
        </w:rPr>
        <w:t>g.g</w:t>
      </w:r>
      <w:proofErr w:type="gramEnd"/>
      <w:r w:rsidRPr="00BC3E56">
        <w:rPr>
          <w:rFonts w:eastAsiaTheme="minorHAnsi"/>
          <w:b/>
          <w:bCs/>
          <w:vertAlign w:val="superscript"/>
        </w:rPr>
        <w:t>-1</w:t>
      </w:r>
      <w:r w:rsidRPr="00BC3E56">
        <w:rPr>
          <w:rFonts w:eastAsiaTheme="minorHAnsi"/>
          <w:b/>
          <w:bCs/>
        </w:rPr>
        <w:t>) x (APE/100)]/ ([time (days) x (atom%</w:t>
      </w:r>
      <w:r w:rsidRPr="00BC3E56">
        <w:rPr>
          <w:rFonts w:eastAsiaTheme="minorHAnsi"/>
          <w:b/>
          <w:bCs/>
          <w:vertAlign w:val="superscript"/>
        </w:rPr>
        <w:t>15</w:t>
      </w:r>
      <w:r w:rsidRPr="00BC3E56">
        <w:rPr>
          <w:rFonts w:eastAsiaTheme="minorHAnsi"/>
          <w:b/>
          <w:bCs/>
        </w:rPr>
        <w:t>N/ 100) x shoot mass (g)].</w:t>
      </w:r>
    </w:p>
    <w:p w14:paraId="3FA056D7" w14:textId="77777777" w:rsidR="00B01888" w:rsidRPr="00BC3E56" w:rsidRDefault="00B01888" w:rsidP="00385163">
      <w:pPr>
        <w:autoSpaceDE w:val="0"/>
        <w:autoSpaceDN w:val="0"/>
        <w:adjustRightInd w:val="0"/>
        <w:rPr>
          <w:rFonts w:eastAsiaTheme="minorHAnsi"/>
        </w:rPr>
      </w:pPr>
      <w:r w:rsidRPr="00BC3E56">
        <w:rPr>
          <w:rFonts w:eastAsiaTheme="minorHAnsi"/>
        </w:rPr>
        <w:t xml:space="preserve">The percentage of </w:t>
      </w:r>
      <w:r w:rsidRPr="00BC3E56">
        <w:rPr>
          <w:rFonts w:eastAsiaTheme="minorHAnsi"/>
          <w:vertAlign w:val="superscript"/>
        </w:rPr>
        <w:t>15</w:t>
      </w:r>
      <w:r w:rsidRPr="00BC3E56">
        <w:rPr>
          <w:rFonts w:eastAsiaTheme="minorHAnsi"/>
        </w:rPr>
        <w:t>N recovered in plants (</w:t>
      </w:r>
      <w:r w:rsidRPr="00BC3E56">
        <w:rPr>
          <w:rFonts w:eastAsiaTheme="minorHAnsi"/>
          <w:vertAlign w:val="superscript"/>
        </w:rPr>
        <w:t>15</w:t>
      </w:r>
      <w:r w:rsidRPr="00BC3E56">
        <w:rPr>
          <w:rFonts w:eastAsiaTheme="minorHAnsi"/>
        </w:rPr>
        <w:t>N recovery %) was calculated as:</w:t>
      </w:r>
    </w:p>
    <w:p w14:paraId="05304FB9" w14:textId="77777777" w:rsidR="00B01888" w:rsidRPr="00BC3E56" w:rsidRDefault="00B01888" w:rsidP="00385163">
      <w:pPr>
        <w:autoSpaceDE w:val="0"/>
        <w:autoSpaceDN w:val="0"/>
        <w:adjustRightInd w:val="0"/>
        <w:rPr>
          <w:rFonts w:eastAsiaTheme="minorHAnsi"/>
        </w:rPr>
      </w:pPr>
    </w:p>
    <w:p w14:paraId="296F28FA" w14:textId="6E4C8656" w:rsidR="00B01888" w:rsidRPr="00BC3E56" w:rsidRDefault="00B01888" w:rsidP="00385163">
      <w:pPr>
        <w:jc w:val="center"/>
        <w:rPr>
          <w:rFonts w:eastAsiaTheme="minorHAnsi"/>
          <w:b/>
          <w:bCs/>
        </w:rPr>
      </w:pPr>
      <w:r w:rsidRPr="00BC3E56">
        <w:rPr>
          <w:rFonts w:eastAsiaTheme="minorHAnsi"/>
          <w:b/>
          <w:bCs/>
          <w:vertAlign w:val="superscript"/>
        </w:rPr>
        <w:t>15</w:t>
      </w:r>
      <w:r w:rsidRPr="00BC3E56">
        <w:rPr>
          <w:rFonts w:eastAsiaTheme="minorHAnsi"/>
          <w:b/>
          <w:bCs/>
        </w:rPr>
        <w:t>N recovery (%) = (</w:t>
      </w:r>
      <w:r w:rsidRPr="00BC3E56">
        <w:rPr>
          <w:rFonts w:eastAsiaTheme="minorHAnsi"/>
          <w:b/>
          <w:bCs/>
          <w:vertAlign w:val="superscript"/>
        </w:rPr>
        <w:t>15</w:t>
      </w:r>
      <w:r w:rsidRPr="00BC3E56">
        <w:rPr>
          <w:rFonts w:eastAsiaTheme="minorHAnsi"/>
          <w:b/>
          <w:bCs/>
        </w:rPr>
        <w:t xml:space="preserve">N uptake/ </w:t>
      </w:r>
      <w:r w:rsidRPr="00BC3E56">
        <w:rPr>
          <w:rFonts w:eastAsiaTheme="minorHAnsi"/>
          <w:b/>
          <w:bCs/>
          <w:vertAlign w:val="superscript"/>
        </w:rPr>
        <w:t>15</w:t>
      </w:r>
      <w:r w:rsidRPr="00BC3E56">
        <w:rPr>
          <w:rFonts w:eastAsiaTheme="minorHAnsi"/>
          <w:b/>
          <w:bCs/>
        </w:rPr>
        <w:t>N supplied) *100.</w:t>
      </w:r>
    </w:p>
    <w:p w14:paraId="2883BE36" w14:textId="77777777" w:rsidR="00B01888" w:rsidRPr="00BC3E56" w:rsidRDefault="00B01888" w:rsidP="00385163">
      <w:pPr>
        <w:rPr>
          <w:rFonts w:eastAsiaTheme="minorHAnsi"/>
        </w:rPr>
      </w:pPr>
      <w:r w:rsidRPr="00BC3E56">
        <w:rPr>
          <w:rFonts w:eastAsiaTheme="minorHAnsi"/>
        </w:rPr>
        <w:t xml:space="preserve">The </w:t>
      </w:r>
      <w:r w:rsidRPr="00BC3E56">
        <w:rPr>
          <w:rFonts w:eastAsiaTheme="minorHAnsi"/>
          <w:vertAlign w:val="superscript"/>
        </w:rPr>
        <w:t>15</w:t>
      </w:r>
      <w:r w:rsidRPr="00BC3E56">
        <w:rPr>
          <w:rFonts w:eastAsiaTheme="minorHAnsi"/>
        </w:rPr>
        <w:t xml:space="preserve">N uptake (µg N </w:t>
      </w:r>
      <w:proofErr w:type="gramStart"/>
      <w:r w:rsidRPr="00BC3E56">
        <w:rPr>
          <w:rFonts w:eastAsiaTheme="minorHAnsi"/>
        </w:rPr>
        <w:t>plant</w:t>
      </w:r>
      <w:r w:rsidRPr="00BC3E56">
        <w:rPr>
          <w:rFonts w:eastAsiaTheme="minorHAnsi"/>
          <w:vertAlign w:val="superscript"/>
        </w:rPr>
        <w:t>-1</w:t>
      </w:r>
      <w:proofErr w:type="gramEnd"/>
      <w:r w:rsidRPr="00BC3E56">
        <w:rPr>
          <w:rFonts w:eastAsiaTheme="minorHAnsi"/>
        </w:rPr>
        <w:t xml:space="preserve">) was defined as the amount of </w:t>
      </w:r>
      <w:r w:rsidRPr="00BC3E56">
        <w:rPr>
          <w:rFonts w:eastAsiaTheme="minorHAnsi"/>
          <w:vertAlign w:val="superscript"/>
        </w:rPr>
        <w:t>15</w:t>
      </w:r>
      <w:r w:rsidRPr="00BC3E56">
        <w:rPr>
          <w:rFonts w:eastAsiaTheme="minorHAnsi"/>
        </w:rPr>
        <w:t xml:space="preserve">N recovered from N pool (shoots) and calculated by multiplying APE (%) with the moles of N in the plant and </w:t>
      </w:r>
      <w:r w:rsidRPr="00BC3E56">
        <w:rPr>
          <w:rFonts w:eastAsiaTheme="minorHAnsi"/>
          <w:vertAlign w:val="superscript"/>
        </w:rPr>
        <w:t>15</w:t>
      </w:r>
      <w:r w:rsidRPr="00BC3E56">
        <w:rPr>
          <w:rFonts w:eastAsiaTheme="minorHAnsi"/>
        </w:rPr>
        <w:t xml:space="preserve">N supplied refers to the </w:t>
      </w:r>
      <w:r w:rsidRPr="00BC3E56">
        <w:rPr>
          <w:rFonts w:eastAsiaTheme="minorHAnsi"/>
          <w:vertAlign w:val="superscript"/>
        </w:rPr>
        <w:t>15</w:t>
      </w:r>
      <w:r w:rsidRPr="00BC3E56">
        <w:rPr>
          <w:rFonts w:eastAsiaTheme="minorHAnsi"/>
        </w:rPr>
        <w:t xml:space="preserve">N mass added to the soil per pot. </w:t>
      </w:r>
    </w:p>
    <w:p w14:paraId="6124EAB7" w14:textId="734B8EB8" w:rsidR="00B01888" w:rsidRDefault="00B01888" w:rsidP="00385163">
      <w:pPr>
        <w:ind w:firstLine="720"/>
        <w:rPr>
          <w:rFonts w:eastAsiaTheme="minorHAnsi"/>
        </w:rPr>
      </w:pPr>
      <w:r w:rsidRPr="00BC3E56">
        <w:lastRenderedPageBreak/>
        <w:t xml:space="preserve">For our calculations of N uptake, </w:t>
      </w:r>
      <w:r w:rsidR="00963E8D">
        <w:t>we</w:t>
      </w:r>
      <w:r w:rsidRPr="00BC3E56">
        <w:t xml:space="preserve"> assumed that the shoot </w:t>
      </w:r>
      <w:r w:rsidRPr="00BC3E56">
        <w:rPr>
          <w:vertAlign w:val="superscript"/>
        </w:rPr>
        <w:t>15</w:t>
      </w:r>
      <w:r w:rsidRPr="00BC3E56">
        <w:t xml:space="preserve">N levels in each plant species were proportional to the amount of </w:t>
      </w:r>
      <w:r w:rsidRPr="00BC3E56">
        <w:rPr>
          <w:vertAlign w:val="superscript"/>
        </w:rPr>
        <w:t>15</w:t>
      </w:r>
      <w:r w:rsidRPr="00BC3E56">
        <w:t>N label taken up from the soil.  While this approach simplifies differences in plant N allocation, our experiment was conducted when plant growth (native plants) and reproductive demands (</w:t>
      </w:r>
      <w:r w:rsidRPr="00BC3E56">
        <w:rPr>
          <w:i/>
          <w:iCs/>
        </w:rPr>
        <w:t>Linaria</w:t>
      </w:r>
      <w:r w:rsidRPr="00BC3E56">
        <w:t xml:space="preserve">, in flower) were high, so that N was more likely allocated to above- rather than below-ground structures. </w:t>
      </w:r>
      <w:r w:rsidR="00260711">
        <w:t>We</w:t>
      </w:r>
      <w:r w:rsidRPr="00BC3E56">
        <w:t xml:space="preserve"> also determined bulk %N from the same leaf samples used for IRMS to compare the effect of </w:t>
      </w:r>
      <w:r w:rsidRPr="00BC3E56">
        <w:rPr>
          <w:rFonts w:eastAsiaTheme="minorHAnsi"/>
        </w:rPr>
        <w:t>treatments on plant total N content</w:t>
      </w:r>
      <w:r w:rsidR="0020390E">
        <w:rPr>
          <w:rFonts w:eastAsiaTheme="minorHAnsi"/>
        </w:rPr>
        <w:t xml:space="preserve"> for </w:t>
      </w:r>
      <w:r w:rsidR="0020390E" w:rsidRPr="0020390E">
        <w:rPr>
          <w:rFonts w:eastAsiaTheme="minorHAnsi"/>
          <w:i/>
          <w:iCs/>
        </w:rPr>
        <w:t xml:space="preserve">L. vulgaris </w:t>
      </w:r>
      <w:r w:rsidR="0020390E">
        <w:rPr>
          <w:rFonts w:eastAsiaTheme="minorHAnsi"/>
        </w:rPr>
        <w:t>and native plan</w:t>
      </w:r>
      <w:r w:rsidR="006D51CF">
        <w:rPr>
          <w:rFonts w:eastAsiaTheme="minorHAnsi"/>
        </w:rPr>
        <w:t>t</w:t>
      </w:r>
      <w:r w:rsidR="0020390E">
        <w:rPr>
          <w:rFonts w:eastAsiaTheme="minorHAnsi"/>
        </w:rPr>
        <w:t>s</w:t>
      </w:r>
      <w:r w:rsidRPr="00BC3E56">
        <w:rPr>
          <w:rFonts w:eastAsiaTheme="minorHAnsi"/>
        </w:rPr>
        <w:t>.</w:t>
      </w:r>
    </w:p>
    <w:p w14:paraId="513181C0" w14:textId="77777777" w:rsidR="006D51CF" w:rsidRPr="00BC3E56" w:rsidRDefault="006D51CF" w:rsidP="00385163">
      <w:pPr>
        <w:rPr>
          <w:rFonts w:eastAsiaTheme="minorHAnsi"/>
        </w:rPr>
      </w:pPr>
    </w:p>
    <w:p w14:paraId="7295739E" w14:textId="58C74F93" w:rsidR="006D51CF" w:rsidRPr="00BC3E56" w:rsidRDefault="006D51CF" w:rsidP="00385163">
      <w:pPr>
        <w:rPr>
          <w:i/>
          <w:iCs/>
        </w:rPr>
      </w:pPr>
      <w:r w:rsidRPr="00BC3E56">
        <w:rPr>
          <w:i/>
          <w:iCs/>
        </w:rPr>
        <w:t>Soil</w:t>
      </w:r>
      <w:r w:rsidR="00A40716">
        <w:rPr>
          <w:i/>
          <w:iCs/>
        </w:rPr>
        <w:t xml:space="preserve"> Edaphic Factors</w:t>
      </w:r>
    </w:p>
    <w:p w14:paraId="5D22C0EF" w14:textId="4F52D39D" w:rsidR="008078A2" w:rsidRDefault="006D51CF" w:rsidP="00796655">
      <w:pPr>
        <w:ind w:firstLine="720"/>
      </w:pPr>
      <w:r w:rsidRPr="00BC3E56">
        <w:t xml:space="preserve">Soil </w:t>
      </w:r>
      <w:r>
        <w:t xml:space="preserve">samples from field sites </w:t>
      </w:r>
      <w:r w:rsidRPr="00BC3E56">
        <w:t>w</w:t>
      </w:r>
      <w:r>
        <w:t>ere</w:t>
      </w:r>
      <w:r w:rsidRPr="00BC3E56">
        <w:t xml:space="preserve"> analyzed for NO</w:t>
      </w:r>
      <w:r w:rsidRPr="00BC3E56">
        <w:rPr>
          <w:vertAlign w:val="subscript"/>
        </w:rPr>
        <w:t>3</w:t>
      </w:r>
      <w:r w:rsidRPr="00BC3E56">
        <w:t>, NH</w:t>
      </w:r>
      <w:r w:rsidRPr="00BC3E56">
        <w:rPr>
          <w:vertAlign w:val="subscript"/>
        </w:rPr>
        <w:t>4</w:t>
      </w:r>
      <w:r w:rsidRPr="00BC3E56">
        <w:t xml:space="preserve">, P, and </w:t>
      </w:r>
      <w:proofErr w:type="spellStart"/>
      <w:r w:rsidRPr="00BC3E56">
        <w:t>pH.</w:t>
      </w:r>
      <w:proofErr w:type="spellEnd"/>
      <w:r w:rsidRPr="00BC3E56">
        <w:t xml:space="preserve"> Soil extractions were created for 320 soil samples collected from CO and IL (160 each</w:t>
      </w:r>
      <w:r w:rsidR="000E11A5">
        <w:t>; 80 invaded and 80 uninvaded</w:t>
      </w:r>
      <w:r w:rsidRPr="00BC3E56">
        <w:t xml:space="preserve">). To create extractions, five grams of soil was mixed in 45 mL of deionized water by shaking for 30 mins and centrifuging. Extractions were tested for pH using a pH probe </w:t>
      </w:r>
      <w:commentRangeStart w:id="2"/>
      <w:r w:rsidRPr="00BC3E56">
        <w:t>(</w:t>
      </w:r>
      <w:proofErr w:type="spellStart"/>
      <w:r w:rsidR="008A2D7A">
        <w:t>Vivosun</w:t>
      </w:r>
      <w:proofErr w:type="spellEnd"/>
      <w:r w:rsidR="008A2D7A">
        <w:t>, Ontario, CA</w:t>
      </w:r>
      <w:r w:rsidRPr="00BC3E56">
        <w:t xml:space="preserve">). </w:t>
      </w:r>
      <w:commentRangeEnd w:id="2"/>
      <w:r w:rsidR="00627D72">
        <w:rPr>
          <w:rStyle w:val="CommentReference"/>
        </w:rPr>
        <w:commentReference w:id="2"/>
      </w:r>
      <w:r w:rsidRPr="00BC3E56">
        <w:t>Extractions and reagents were added to 96-well plates and analyzed for NO</w:t>
      </w:r>
      <w:r w:rsidRPr="00BC3E56">
        <w:rPr>
          <w:vertAlign w:val="subscript"/>
        </w:rPr>
        <w:t>3</w:t>
      </w:r>
      <w:r w:rsidRPr="00BC3E56">
        <w:t>, NH</w:t>
      </w:r>
      <w:r w:rsidRPr="00BC3E56">
        <w:rPr>
          <w:vertAlign w:val="subscript"/>
        </w:rPr>
        <w:t>4</w:t>
      </w:r>
      <w:r w:rsidRPr="00BC3E56">
        <w:t>, and P using colorimetry on an Epoch Microplate Spectrophotometer (</w:t>
      </w:r>
      <w:proofErr w:type="spellStart"/>
      <w:r w:rsidRPr="00BC3E56">
        <w:t>BioTek</w:t>
      </w:r>
      <w:proofErr w:type="spellEnd"/>
      <w:r w:rsidRPr="00BC3E56">
        <w:t xml:space="preserve"> Instruments, Winooski, VT, USA). Absorbance was reported in Gen5 software (</w:t>
      </w:r>
      <w:proofErr w:type="spellStart"/>
      <w:r w:rsidRPr="00BC3E56">
        <w:t>BioTek</w:t>
      </w:r>
      <w:proofErr w:type="spellEnd"/>
      <w:r w:rsidRPr="00BC3E56">
        <w:t xml:space="preserve"> Instruments, Winooski, VT, USA) and </w:t>
      </w:r>
      <w:r w:rsidRPr="00BC3E56">
        <w:sym w:font="Symbol" w:char="F06D"/>
      </w:r>
      <w:r w:rsidRPr="00BC3E56">
        <w:t xml:space="preserve">/g was calculated across all samples. </w:t>
      </w:r>
      <w:r w:rsidR="009A7C3C">
        <w:t>Soil t</w:t>
      </w:r>
      <w:r w:rsidR="008078A2" w:rsidRPr="00702A26">
        <w:t xml:space="preserve">exture was analyzed using the </w:t>
      </w:r>
      <w:proofErr w:type="spellStart"/>
      <w:r w:rsidR="008078A2" w:rsidRPr="00702A26">
        <w:t>Bouyoucos</w:t>
      </w:r>
      <w:proofErr w:type="spellEnd"/>
      <w:r w:rsidR="008078A2" w:rsidRPr="00702A26">
        <w:t xml:space="preserve"> method (</w:t>
      </w:r>
      <w:proofErr w:type="spellStart"/>
      <w:r w:rsidR="008078A2" w:rsidRPr="00702A26">
        <w:t>Bouyoucos</w:t>
      </w:r>
      <w:proofErr w:type="spellEnd"/>
      <w:r w:rsidR="008078A2" w:rsidRPr="00702A26">
        <w:t xml:space="preserve"> 1962). Soil samples were pooled per sampling </w:t>
      </w:r>
      <w:r w:rsidR="007430FA">
        <w:t>plot</w:t>
      </w:r>
      <w:r w:rsidR="008078A2" w:rsidRPr="00702A26">
        <w:t xml:space="preserve"> and by invasion, </w:t>
      </w:r>
      <w:r w:rsidR="003A1280" w:rsidRPr="00702A26">
        <w:t>(IL invaded, IL uninvaded, CO invaded, CO uninvaded</w:t>
      </w:r>
      <w:r w:rsidR="003A1280">
        <w:t xml:space="preserve">) </w:t>
      </w:r>
      <w:r w:rsidR="008078A2" w:rsidRPr="00702A26">
        <w:t>with 10 samples in each</w:t>
      </w:r>
      <w:r w:rsidR="003113E6">
        <w:t xml:space="preserve"> combination (</w:t>
      </w:r>
      <w:r w:rsidR="003113E6">
        <w:rPr>
          <w:i/>
          <w:iCs/>
        </w:rPr>
        <w:t xml:space="preserve">n </w:t>
      </w:r>
      <w:r w:rsidR="003113E6">
        <w:t>= 40)</w:t>
      </w:r>
      <w:r w:rsidR="00885CDE">
        <w:t xml:space="preserve"> and analyzed for</w:t>
      </w:r>
      <w:r w:rsidR="008078A2" w:rsidRPr="00702A26">
        <w:t xml:space="preserve"> </w:t>
      </w:r>
      <w:r w:rsidR="00885CDE">
        <w:t>t</w:t>
      </w:r>
      <w:r w:rsidR="008078A2" w:rsidRPr="00702A26">
        <w:t>he percentage of clay, sand, and silt.</w:t>
      </w:r>
    </w:p>
    <w:p w14:paraId="2839FC19" w14:textId="53891DCE" w:rsidR="001A69B8" w:rsidRDefault="001A69B8" w:rsidP="00796655">
      <w:pPr>
        <w:ind w:firstLine="720"/>
      </w:pPr>
    </w:p>
    <w:p w14:paraId="48688FA3" w14:textId="77777777" w:rsidR="005133DD" w:rsidRDefault="005133DD" w:rsidP="00385163"/>
    <w:p w14:paraId="79A5F89F" w14:textId="77777777" w:rsidR="008D1720" w:rsidRPr="00702A26" w:rsidRDefault="008D1720" w:rsidP="00385163">
      <w:pPr>
        <w:rPr>
          <w:i/>
          <w:iCs/>
        </w:rPr>
      </w:pPr>
      <w:r w:rsidRPr="00702A26">
        <w:rPr>
          <w:i/>
          <w:iCs/>
        </w:rPr>
        <w:t>AMF Community Sampling</w:t>
      </w:r>
    </w:p>
    <w:p w14:paraId="57F72EEC" w14:textId="3B7FAC20" w:rsidR="008D1720" w:rsidRPr="00702A26" w:rsidRDefault="005133DD" w:rsidP="001C237A">
      <w:pPr>
        <w:ind w:firstLine="720"/>
      </w:pPr>
      <w:r>
        <w:t>G</w:t>
      </w:r>
      <w:r w:rsidR="008D1720" w:rsidRPr="00702A26">
        <w:t xml:space="preserve">enomic DNA </w:t>
      </w:r>
      <w:r>
        <w:t>was</w:t>
      </w:r>
      <w:r w:rsidRPr="00702A26">
        <w:t xml:space="preserve"> extracted </w:t>
      </w:r>
      <w:r w:rsidR="008D1720" w:rsidRPr="00702A26">
        <w:t xml:space="preserve">from 0.25g of soil for 80 samples using the </w:t>
      </w:r>
      <w:proofErr w:type="spellStart"/>
      <w:r w:rsidR="008D1720" w:rsidRPr="00702A26">
        <w:t>DNeasy</w:t>
      </w:r>
      <w:proofErr w:type="spellEnd"/>
      <w:r w:rsidR="008D1720" w:rsidRPr="00702A26">
        <w:t xml:space="preserve"> </w:t>
      </w:r>
      <w:proofErr w:type="spellStart"/>
      <w:r w:rsidR="008D1720" w:rsidRPr="00702A26">
        <w:t>PowerSoil</w:t>
      </w:r>
      <w:proofErr w:type="spellEnd"/>
      <w:r w:rsidR="008D1720" w:rsidRPr="00702A26">
        <w:t xml:space="preserve"> Kit (QIAGEN-MO BIO, Carlsbad, California, USA). Extractions were cleaned using </w:t>
      </w:r>
      <w:proofErr w:type="spellStart"/>
      <w:r w:rsidR="008D1720" w:rsidRPr="00702A26">
        <w:t>Cytiva</w:t>
      </w:r>
      <w:proofErr w:type="spellEnd"/>
      <w:r w:rsidR="008D1720" w:rsidRPr="00702A26">
        <w:t xml:space="preserve"> Sera-Mag Select beads prior to amplification (Global Life Sciences Solutions, Marlborough, MA, USA). A 550 bp section of small-subunit ribosomal DNA (18S rRNA) was amplified using </w:t>
      </w:r>
      <w:r w:rsidR="00FC5480">
        <w:t xml:space="preserve">the forward primer </w:t>
      </w:r>
      <w:r w:rsidR="008D1720" w:rsidRPr="00702A26">
        <w:t>NS31</w:t>
      </w:r>
      <w:r w:rsidR="003E65B0">
        <w:t xml:space="preserve"> and </w:t>
      </w:r>
      <w:r w:rsidR="00FC5480">
        <w:t xml:space="preserve">the reverse primer </w:t>
      </w:r>
      <w:r w:rsidR="00907169">
        <w:t xml:space="preserve">AML2 </w:t>
      </w:r>
      <w:r w:rsidR="008D1720" w:rsidRPr="00702A26">
        <w:t>(Lee et al. 2008). PCR reactions entailed 2 minutes at 94</w:t>
      </w:r>
      <w:r w:rsidR="008D1720" w:rsidRPr="00702A26">
        <w:rPr>
          <w:color w:val="000000"/>
        </w:rPr>
        <w:t xml:space="preserve">°C, 30 cycles of 30 seconds each at 94°C, 1 minute at 59°C, 2 minutes at 72°C, and 10 minutes at 72°C. </w:t>
      </w:r>
      <w:r w:rsidR="008D1720" w:rsidRPr="00702A26">
        <w:t xml:space="preserve">DNA amplification was verified by gel electrophoresis on a 1.5% agarose gel, which was then visualized on a Kodak Electrophoresis Documentation and Analysis System 290 (EDAS 290, </w:t>
      </w:r>
      <w:r w:rsidR="008D1720" w:rsidRPr="00702A26">
        <w:rPr>
          <w:color w:val="000000"/>
          <w:shd w:val="clear" w:color="auto" w:fill="FFFFFF"/>
        </w:rPr>
        <w:t>Eastman Kodak Company, Molecular Imaging Systems, Rochester, NY</w:t>
      </w:r>
      <w:r w:rsidR="008D1720" w:rsidRPr="00702A26">
        <w:rPr>
          <w:color w:val="000000"/>
        </w:rPr>
        <w:t>, USA)</w:t>
      </w:r>
      <w:r w:rsidR="008D1720" w:rsidRPr="00702A26">
        <w:t xml:space="preserve">. Amplified DNA was cleaned again using </w:t>
      </w:r>
      <w:proofErr w:type="spellStart"/>
      <w:r w:rsidR="008D1720" w:rsidRPr="00702A26">
        <w:t>Cytiva</w:t>
      </w:r>
      <w:proofErr w:type="spellEnd"/>
      <w:r w:rsidR="008D1720" w:rsidRPr="00702A26">
        <w:t xml:space="preserve"> XP beads. Sample concentrations were then quantified in Qubit using a dsDNA HS assay Kit (</w:t>
      </w:r>
      <w:proofErr w:type="spellStart"/>
      <w:r w:rsidR="008D1720" w:rsidRPr="00702A26">
        <w:rPr>
          <w:color w:val="000000"/>
        </w:rPr>
        <w:t>Thermo</w:t>
      </w:r>
      <w:proofErr w:type="spellEnd"/>
      <w:r w:rsidR="008D1720" w:rsidRPr="00702A26">
        <w:rPr>
          <w:color w:val="000000"/>
        </w:rPr>
        <w:t xml:space="preserve"> Fisher Scientific, Waltham, MA, USA)</w:t>
      </w:r>
      <w:r w:rsidR="008D1720" w:rsidRPr="00702A26">
        <w:t xml:space="preserve">. Samples were indexed using a </w:t>
      </w:r>
      <w:proofErr w:type="spellStart"/>
      <w:r w:rsidR="008D1720" w:rsidRPr="00702A26">
        <w:t>Nextera</w:t>
      </w:r>
      <w:proofErr w:type="spellEnd"/>
      <w:r w:rsidR="008D1720" w:rsidRPr="00702A26">
        <w:t xml:space="preserve"> XT Index Kit </w:t>
      </w:r>
      <w:r w:rsidR="001C237A">
        <w:t>(</w:t>
      </w:r>
      <w:r w:rsidR="008D1720" w:rsidRPr="00702A26">
        <w:t xml:space="preserve">Illumina, San Diego, CA). </w:t>
      </w:r>
      <w:r w:rsidR="006F186C">
        <w:t>Equimolar a</w:t>
      </w:r>
      <w:r w:rsidR="008D1720" w:rsidRPr="00702A26">
        <w:t xml:space="preserve">liquots of each sample were pooled and sequenced at Northwestern on Illumina </w:t>
      </w:r>
      <w:proofErr w:type="spellStart"/>
      <w:r w:rsidR="008D1720" w:rsidRPr="00702A26">
        <w:t>MiSeq</w:t>
      </w:r>
      <w:proofErr w:type="spellEnd"/>
      <w:r w:rsidR="008D1720" w:rsidRPr="00702A26">
        <w:t xml:space="preserve"> version 3, 300-bp </w:t>
      </w:r>
      <w:proofErr w:type="spellStart"/>
      <w:r w:rsidR="008D1720" w:rsidRPr="00702A26">
        <w:t>MiSeq</w:t>
      </w:r>
      <w:proofErr w:type="spellEnd"/>
      <w:r w:rsidR="008D1720" w:rsidRPr="00702A26">
        <w:t xml:space="preserve"> Reagent Kit for paired-end reads (Illumina, San Diego, CA, USA). The first run yielded low-complexity sequences and as a result, samples were re-sequenced using Illumina </w:t>
      </w:r>
      <w:proofErr w:type="spellStart"/>
      <w:r w:rsidR="008D1720" w:rsidRPr="00702A26">
        <w:t>MiSeq</w:t>
      </w:r>
      <w:proofErr w:type="spellEnd"/>
      <w:r w:rsidR="008D1720" w:rsidRPr="00702A26">
        <w:t xml:space="preserve"> version 3, 150 bp </w:t>
      </w:r>
      <w:proofErr w:type="spellStart"/>
      <w:r w:rsidR="008D1720" w:rsidRPr="00702A26">
        <w:t>MiSeq</w:t>
      </w:r>
      <w:proofErr w:type="spellEnd"/>
      <w:r w:rsidR="008D1720" w:rsidRPr="00702A26">
        <w:t xml:space="preserve"> Reagent Kit for paired-end reads (Illumina, San Diego, CA, USA). Fragment size was measured using an Agilent 2100 Bioanalyzer System (Agilent Technologies, </w:t>
      </w:r>
      <w:proofErr w:type="spellStart"/>
      <w:r w:rsidR="008D1720" w:rsidRPr="00702A26">
        <w:t>Waldbronn</w:t>
      </w:r>
      <w:proofErr w:type="spellEnd"/>
      <w:r w:rsidR="008D1720" w:rsidRPr="00702A26">
        <w:t>, Germany).</w:t>
      </w:r>
    </w:p>
    <w:p w14:paraId="40D008C6" w14:textId="77777777" w:rsidR="008D1720" w:rsidRPr="00702A26" w:rsidRDefault="008D1720" w:rsidP="00385163"/>
    <w:p w14:paraId="0C656CE5" w14:textId="1D1F244F" w:rsidR="006E5F0A" w:rsidRDefault="005B1DF9" w:rsidP="00385163">
      <w:pPr>
        <w:rPr>
          <w:i/>
          <w:iCs/>
        </w:rPr>
      </w:pPr>
      <w:r>
        <w:rPr>
          <w:i/>
          <w:iCs/>
        </w:rPr>
        <w:t xml:space="preserve">Sequence Processing and </w:t>
      </w:r>
      <w:r w:rsidR="006E5F0A">
        <w:rPr>
          <w:i/>
          <w:iCs/>
        </w:rPr>
        <w:t>Analysis</w:t>
      </w:r>
    </w:p>
    <w:p w14:paraId="3900C29A" w14:textId="5ECE90BB" w:rsidR="008D1720" w:rsidRPr="00702A26" w:rsidRDefault="008D1720" w:rsidP="00385163">
      <w:pPr>
        <w:ind w:firstLine="720"/>
      </w:pPr>
      <w:r w:rsidRPr="00702A26">
        <w:t xml:space="preserve">Samples were demultiplexed in Illumina </w:t>
      </w:r>
      <w:proofErr w:type="spellStart"/>
      <w:r w:rsidRPr="00702A26">
        <w:t>BaseSpace</w:t>
      </w:r>
      <w:proofErr w:type="spellEnd"/>
      <w:r w:rsidRPr="00702A26">
        <w:t xml:space="preserve"> and processed in QIIME2 (</w:t>
      </w:r>
      <w:proofErr w:type="spellStart"/>
      <w:r w:rsidRPr="00702A26">
        <w:t>Bolyen</w:t>
      </w:r>
      <w:proofErr w:type="spellEnd"/>
      <w:r w:rsidRPr="00702A26">
        <w:t xml:space="preserve"> et al, 2019). DADA2 </w:t>
      </w:r>
      <w:r w:rsidR="00CA4779">
        <w:t xml:space="preserve">was used </w:t>
      </w:r>
      <w:r w:rsidRPr="00702A26">
        <w:t xml:space="preserve">to denoise samples and reads </w:t>
      </w:r>
      <w:r w:rsidR="001F0B31">
        <w:t xml:space="preserve">were </w:t>
      </w:r>
      <w:r w:rsidR="001F0B31" w:rsidRPr="00702A26">
        <w:t xml:space="preserve">truncated </w:t>
      </w:r>
      <w:r w:rsidRPr="00702A26">
        <w:t>at 120</w:t>
      </w:r>
      <w:r w:rsidR="00534696">
        <w:t xml:space="preserve">bp </w:t>
      </w:r>
      <w:r w:rsidRPr="00702A26">
        <w:t xml:space="preserve">where quality dropped below a q value of 20 (Callahan et al 2016). Only forward sequences were included in </w:t>
      </w:r>
      <w:r w:rsidRPr="00702A26">
        <w:lastRenderedPageBreak/>
        <w:t xml:space="preserve">further analyses, </w:t>
      </w:r>
      <w:r w:rsidR="00AB0539">
        <w:t xml:space="preserve">as </w:t>
      </w:r>
      <w:r w:rsidR="00BC2C30">
        <w:t xml:space="preserve">previous studies </w:t>
      </w:r>
      <w:r w:rsidR="00AB0539">
        <w:t xml:space="preserve">have shown </w:t>
      </w:r>
      <w:r w:rsidRPr="00702A26">
        <w:t>that forward sequences are sufficient to capture AMF diversity (Davison et al 2012), totalin</w:t>
      </w:r>
      <w:r w:rsidRPr="003B296D">
        <w:t>g 7,092,099 reads</w:t>
      </w:r>
      <w:r w:rsidRPr="00702A26">
        <w:t xml:space="preserve">. Sequences were included if they were reported at least 10 times and in 3 or more samples. OTUs were clustered at 97% (96 OTUs) using </w:t>
      </w:r>
      <w:proofErr w:type="spellStart"/>
      <w:r w:rsidRPr="00702A26">
        <w:t>vsearch</w:t>
      </w:r>
      <w:proofErr w:type="spellEnd"/>
      <w:r w:rsidRPr="00702A26">
        <w:t xml:space="preserve"> and chimeras and borderline chimeras were removed. Taxonomy was assigned using the q2-feature-classifier (</w:t>
      </w:r>
      <w:proofErr w:type="spellStart"/>
      <w:r w:rsidRPr="00702A26">
        <w:t>Bokulich</w:t>
      </w:r>
      <w:proofErr w:type="spellEnd"/>
      <w:r w:rsidRPr="00702A26">
        <w:t xml:space="preserve"> et al 2018) naïve bayes classifier with </w:t>
      </w:r>
      <w:proofErr w:type="spellStart"/>
      <w:r w:rsidRPr="00702A26">
        <w:t>MaarjAm</w:t>
      </w:r>
      <w:proofErr w:type="spellEnd"/>
      <w:r w:rsidRPr="00702A26">
        <w:t xml:space="preserve"> reference sequences</w:t>
      </w:r>
      <w:r w:rsidR="00696EB3">
        <w:t xml:space="preserve"> (</w:t>
      </w:r>
      <w:proofErr w:type="spellStart"/>
      <w:r w:rsidR="00696EB3" w:rsidRPr="00702A26">
        <w:t>Öpik</w:t>
      </w:r>
      <w:proofErr w:type="spellEnd"/>
      <w:r w:rsidR="00696EB3" w:rsidRPr="00702A26">
        <w:t xml:space="preserve"> et al 2010</w:t>
      </w:r>
      <w:r w:rsidR="00696EB3">
        <w:t>)</w:t>
      </w:r>
      <w:r w:rsidRPr="00702A26">
        <w:t xml:space="preserve">. OTUs with less than 80% alignment to </w:t>
      </w:r>
      <w:proofErr w:type="spellStart"/>
      <w:r w:rsidRPr="00702A26">
        <w:t>MaarjAm</w:t>
      </w:r>
      <w:proofErr w:type="spellEnd"/>
      <w:r w:rsidRPr="00702A26">
        <w:t xml:space="preserve"> reference sequences were removed. OTUs were blasted against the </w:t>
      </w:r>
      <w:proofErr w:type="spellStart"/>
      <w:r w:rsidRPr="00702A26">
        <w:t>MaarjAm</w:t>
      </w:r>
      <w:proofErr w:type="spellEnd"/>
      <w:r w:rsidRPr="00702A26">
        <w:t xml:space="preserve"> Database (</w:t>
      </w:r>
      <w:proofErr w:type="spellStart"/>
      <w:r w:rsidRPr="00702A26">
        <w:t>Öpik</w:t>
      </w:r>
      <w:proofErr w:type="spellEnd"/>
      <w:r w:rsidRPr="00702A26">
        <w:t xml:space="preserve"> et al 2010) and GenBank (Benson et al. 2012) to determine AMF diversity.</w:t>
      </w:r>
    </w:p>
    <w:p w14:paraId="6D367113" w14:textId="5D126919" w:rsidR="008D1720" w:rsidRDefault="008D1720" w:rsidP="00385163">
      <w:pPr>
        <w:ind w:firstLine="720"/>
        <w:rPr>
          <w:shd w:val="clear" w:color="auto" w:fill="FFFFFF"/>
        </w:rPr>
      </w:pPr>
      <w:r w:rsidRPr="00702A26">
        <w:rPr>
          <w:shd w:val="clear" w:color="auto" w:fill="FFFFFF"/>
        </w:rPr>
        <w:t>Sequences that could not be identified to AMF family level were aligned in CLUSTAL Omega using default parameters, and the percent identities among sequences determined. Pairwise sequences or multiple-sequence alignments with &gt;97% similarity were classified as the same OTU. This resulted in 47 unique sequences for phylogenetic analyses. Unique sequences were then concatenated with a reference set of SSU sequences (</w:t>
      </w:r>
      <w:proofErr w:type="spellStart"/>
      <w:r w:rsidRPr="00702A26">
        <w:rPr>
          <w:shd w:val="clear" w:color="auto" w:fill="FFFFFF"/>
        </w:rPr>
        <w:t>Krüger</w:t>
      </w:r>
      <w:proofErr w:type="spellEnd"/>
      <w:r w:rsidRPr="00702A26">
        <w:rPr>
          <w:shd w:val="clear" w:color="auto" w:fill="FFFFFF"/>
        </w:rPr>
        <w:t xml:space="preserve"> et al. 2012) for major AMF genera (</w:t>
      </w:r>
      <w:proofErr w:type="spellStart"/>
      <w:r w:rsidRPr="00702A26">
        <w:rPr>
          <w:i/>
          <w:iCs/>
          <w:shd w:val="clear" w:color="auto" w:fill="FFFFFF"/>
        </w:rPr>
        <w:t>Scutellospora</w:t>
      </w:r>
      <w:proofErr w:type="spellEnd"/>
      <w:r w:rsidRPr="00702A26">
        <w:rPr>
          <w:i/>
          <w:iCs/>
          <w:shd w:val="clear" w:color="auto" w:fill="FFFFFF"/>
        </w:rPr>
        <w:t xml:space="preserve">, </w:t>
      </w:r>
      <w:proofErr w:type="spellStart"/>
      <w:r w:rsidRPr="00702A26">
        <w:rPr>
          <w:i/>
          <w:iCs/>
          <w:shd w:val="clear" w:color="auto" w:fill="FFFFFF"/>
        </w:rPr>
        <w:t>Gigaspora</w:t>
      </w:r>
      <w:proofErr w:type="spellEnd"/>
      <w:r w:rsidRPr="00702A26">
        <w:rPr>
          <w:i/>
          <w:iCs/>
          <w:shd w:val="clear" w:color="auto" w:fill="FFFFFF"/>
        </w:rPr>
        <w:t xml:space="preserve">, </w:t>
      </w:r>
      <w:proofErr w:type="spellStart"/>
      <w:r w:rsidRPr="00702A26">
        <w:rPr>
          <w:i/>
          <w:iCs/>
          <w:shd w:val="clear" w:color="auto" w:fill="FFFFFF"/>
        </w:rPr>
        <w:t>Acaulospora</w:t>
      </w:r>
      <w:proofErr w:type="spellEnd"/>
      <w:r w:rsidRPr="00702A26">
        <w:rPr>
          <w:shd w:val="clear" w:color="auto" w:fill="FFFFFF"/>
        </w:rPr>
        <w:t xml:space="preserve">) as well as </w:t>
      </w:r>
      <w:r w:rsidRPr="00702A26">
        <w:rPr>
          <w:i/>
          <w:iCs/>
          <w:shd w:val="clear" w:color="auto" w:fill="FFFFFF"/>
        </w:rPr>
        <w:t>Glomus</w:t>
      </w:r>
      <w:r w:rsidRPr="00702A26">
        <w:rPr>
          <w:shd w:val="clear" w:color="auto" w:fill="FFFFFF"/>
        </w:rPr>
        <w:t> species and allied taxa (</w:t>
      </w:r>
      <w:proofErr w:type="spellStart"/>
      <w:r w:rsidRPr="00702A26">
        <w:rPr>
          <w:i/>
          <w:iCs/>
          <w:shd w:val="clear" w:color="auto" w:fill="FFFFFF"/>
        </w:rPr>
        <w:t>Archaeospora</w:t>
      </w:r>
      <w:proofErr w:type="spellEnd"/>
      <w:r w:rsidRPr="00702A26">
        <w:rPr>
          <w:i/>
          <w:iCs/>
          <w:shd w:val="clear" w:color="auto" w:fill="FFFFFF"/>
        </w:rPr>
        <w:t xml:space="preserve">, </w:t>
      </w:r>
      <w:proofErr w:type="spellStart"/>
      <w:r w:rsidRPr="00702A26">
        <w:rPr>
          <w:i/>
          <w:iCs/>
          <w:shd w:val="clear" w:color="auto" w:fill="FFFFFF"/>
        </w:rPr>
        <w:t>Claroideoglomus</w:t>
      </w:r>
      <w:proofErr w:type="spellEnd"/>
      <w:r w:rsidRPr="00702A26">
        <w:rPr>
          <w:i/>
          <w:iCs/>
          <w:shd w:val="clear" w:color="auto" w:fill="FFFFFF"/>
        </w:rPr>
        <w:t xml:space="preserve">, </w:t>
      </w:r>
      <w:proofErr w:type="spellStart"/>
      <w:r w:rsidRPr="00702A26">
        <w:rPr>
          <w:i/>
          <w:iCs/>
          <w:shd w:val="clear" w:color="auto" w:fill="FFFFFF"/>
        </w:rPr>
        <w:t>Ambispora</w:t>
      </w:r>
      <w:proofErr w:type="spellEnd"/>
      <w:r w:rsidRPr="00702A26">
        <w:rPr>
          <w:i/>
          <w:iCs/>
          <w:shd w:val="clear" w:color="auto" w:fill="FFFFFF"/>
        </w:rPr>
        <w:t xml:space="preserve">, </w:t>
      </w:r>
      <w:proofErr w:type="spellStart"/>
      <w:r w:rsidRPr="00702A26">
        <w:rPr>
          <w:i/>
          <w:iCs/>
          <w:shd w:val="clear" w:color="auto" w:fill="FFFFFF"/>
        </w:rPr>
        <w:t>Funneliformis</w:t>
      </w:r>
      <w:proofErr w:type="spellEnd"/>
      <w:r w:rsidRPr="00702A26">
        <w:rPr>
          <w:i/>
          <w:iCs/>
          <w:shd w:val="clear" w:color="auto" w:fill="FFFFFF"/>
        </w:rPr>
        <w:t xml:space="preserve">, </w:t>
      </w:r>
      <w:proofErr w:type="spellStart"/>
      <w:r w:rsidRPr="00702A26">
        <w:rPr>
          <w:i/>
          <w:iCs/>
          <w:shd w:val="clear" w:color="auto" w:fill="FFFFFF"/>
        </w:rPr>
        <w:t>Paraglomus</w:t>
      </w:r>
      <w:proofErr w:type="spellEnd"/>
      <w:r w:rsidRPr="00702A26">
        <w:rPr>
          <w:i/>
          <w:iCs/>
          <w:shd w:val="clear" w:color="auto" w:fill="FFFFFF"/>
        </w:rPr>
        <w:t xml:space="preserve">, </w:t>
      </w:r>
      <w:proofErr w:type="spellStart"/>
      <w:r w:rsidRPr="00702A26">
        <w:rPr>
          <w:i/>
          <w:iCs/>
          <w:shd w:val="clear" w:color="auto" w:fill="FFFFFF"/>
        </w:rPr>
        <w:t>Rhizophagus</w:t>
      </w:r>
      <w:proofErr w:type="spellEnd"/>
      <w:r w:rsidRPr="00702A26">
        <w:rPr>
          <w:shd w:val="clear" w:color="auto" w:fill="FFFFFF"/>
        </w:rPr>
        <w:t xml:space="preserve">). Alignments were trimmed and a maximum likelihood phylogenetic tree was inferred for the concatenated data set using </w:t>
      </w:r>
      <w:proofErr w:type="spellStart"/>
      <w:r w:rsidRPr="00702A26">
        <w:rPr>
          <w:shd w:val="clear" w:color="auto" w:fill="FFFFFF"/>
        </w:rPr>
        <w:t>RAxML</w:t>
      </w:r>
      <w:proofErr w:type="spellEnd"/>
      <w:r w:rsidRPr="00702A26">
        <w:rPr>
          <w:shd w:val="clear" w:color="auto" w:fill="FFFFFF"/>
        </w:rPr>
        <w:t xml:space="preserve"> with default options. Eighteen</w:t>
      </w:r>
      <w:r w:rsidR="0040375E">
        <w:rPr>
          <w:shd w:val="clear" w:color="auto" w:fill="FFFFFF"/>
        </w:rPr>
        <w:t xml:space="preserve"> </w:t>
      </w:r>
      <w:r w:rsidRPr="00702A26">
        <w:rPr>
          <w:shd w:val="clear" w:color="auto" w:fill="FFFFFF"/>
        </w:rPr>
        <w:t>sequences could be placed with</w:t>
      </w:r>
      <w:r w:rsidR="0040375E">
        <w:rPr>
          <w:shd w:val="clear" w:color="auto" w:fill="FFFFFF"/>
        </w:rPr>
        <w:t>in</w:t>
      </w:r>
      <w:r w:rsidRPr="00702A26">
        <w:rPr>
          <w:shd w:val="clear" w:color="auto" w:fill="FFFFFF"/>
        </w:rPr>
        <w:t xml:space="preserve"> the </w:t>
      </w:r>
      <w:r w:rsidRPr="00702A26">
        <w:rPr>
          <w:i/>
          <w:iCs/>
          <w:shd w:val="clear" w:color="auto" w:fill="FFFFFF"/>
        </w:rPr>
        <w:t>Glomus</w:t>
      </w:r>
      <w:r w:rsidRPr="00702A26">
        <w:rPr>
          <w:shd w:val="clear" w:color="auto" w:fill="FFFFFF"/>
        </w:rPr>
        <w:t xml:space="preserve"> clade, while the remaining 29 sequences were consistent with </w:t>
      </w:r>
      <w:proofErr w:type="spellStart"/>
      <w:r w:rsidRPr="00702A26">
        <w:rPr>
          <w:shd w:val="clear" w:color="auto" w:fill="FFFFFF"/>
        </w:rPr>
        <w:t>Glomeraceae</w:t>
      </w:r>
      <w:proofErr w:type="spellEnd"/>
      <w:r w:rsidRPr="00702A26">
        <w:rPr>
          <w:shd w:val="clear" w:color="auto" w:fill="FFFFFF"/>
        </w:rPr>
        <w:t xml:space="preserve"> but showed no specific phylogenetic placement. </w:t>
      </w:r>
      <w:proofErr w:type="spellStart"/>
      <w:r w:rsidRPr="00702A26">
        <w:rPr>
          <w:shd w:val="clear" w:color="auto" w:fill="FFFFFF"/>
        </w:rPr>
        <w:t>Clustal</w:t>
      </w:r>
      <w:proofErr w:type="spellEnd"/>
      <w:r w:rsidRPr="00702A26">
        <w:rPr>
          <w:shd w:val="clear" w:color="auto" w:fill="FFFFFF"/>
        </w:rPr>
        <w:t xml:space="preserve"> Omega and </w:t>
      </w:r>
      <w:proofErr w:type="spellStart"/>
      <w:r w:rsidRPr="00702A26">
        <w:rPr>
          <w:shd w:val="clear" w:color="auto" w:fill="FFFFFF"/>
        </w:rPr>
        <w:t>RAxML</w:t>
      </w:r>
      <w:proofErr w:type="spellEnd"/>
      <w:r w:rsidRPr="00702A26">
        <w:rPr>
          <w:shd w:val="clear" w:color="auto" w:fill="FFFFFF"/>
        </w:rPr>
        <w:t xml:space="preserve"> analyses were undertaken on the CIPRES gateway (v3.3) at the San Diego Supercomputer Center (</w:t>
      </w:r>
      <w:hyperlink r:id="rId9" w:tgtFrame="_blank" w:history="1">
        <w:r w:rsidRPr="00702A26">
          <w:rPr>
            <w:u w:val="single"/>
            <w:shd w:val="clear" w:color="auto" w:fill="FFFFFF"/>
          </w:rPr>
          <w:t>www.phylo.org</w:t>
        </w:r>
      </w:hyperlink>
      <w:r w:rsidRPr="00702A26">
        <w:rPr>
          <w:shd w:val="clear" w:color="auto" w:fill="FFFFFF"/>
        </w:rPr>
        <w:t>).</w:t>
      </w:r>
    </w:p>
    <w:p w14:paraId="41CA1FEE" w14:textId="77777777" w:rsidR="00A23BBA" w:rsidRDefault="00A23BBA" w:rsidP="00A23BBA">
      <w:pPr>
        <w:rPr>
          <w:i/>
          <w:iCs/>
        </w:rPr>
      </w:pPr>
    </w:p>
    <w:p w14:paraId="5E067E00" w14:textId="5287E0DB" w:rsidR="00A23BBA" w:rsidRDefault="00A23BBA" w:rsidP="00A23BBA">
      <w:pPr>
        <w:rPr>
          <w:i/>
          <w:iCs/>
        </w:rPr>
      </w:pPr>
      <w:r>
        <w:rPr>
          <w:i/>
          <w:iCs/>
        </w:rPr>
        <w:t xml:space="preserve">Statistical Analysis </w:t>
      </w:r>
    </w:p>
    <w:p w14:paraId="3A1CA084" w14:textId="21A3BF0F" w:rsidR="00A23BBA" w:rsidRDefault="00A8422B" w:rsidP="00A23BBA">
      <w:pPr>
        <w:ind w:firstLine="720"/>
      </w:pPr>
      <w:r>
        <w:t xml:space="preserve">Statistical analyses were performed in R version 3.6.2 </w:t>
      </w:r>
      <w:r w:rsidRPr="00702A26">
        <w:t xml:space="preserve">(R Core Team, 2019). </w:t>
      </w:r>
      <w:r w:rsidR="00B813B1">
        <w:t>We used linear m</w:t>
      </w:r>
      <w:r w:rsidR="00A23BBA" w:rsidRPr="00BC3E56">
        <w:t>odel</w:t>
      </w:r>
      <w:r w:rsidR="00B813B1">
        <w:t xml:space="preserve">s and linear mixed-effects models </w:t>
      </w:r>
      <w:r w:rsidR="00A23BBA" w:rsidRPr="00BC3E56">
        <w:t>to determine the effects of s</w:t>
      </w:r>
      <w:r w:rsidR="00B813B1">
        <w:t>tate</w:t>
      </w:r>
      <w:r w:rsidR="00A23BBA" w:rsidRPr="00BC3E56">
        <w:t>, invasion</w:t>
      </w:r>
      <w:r w:rsidR="00A23BBA">
        <w:t xml:space="preserve"> history</w:t>
      </w:r>
      <w:r w:rsidR="00A23BBA" w:rsidRPr="00BC3E56">
        <w:t xml:space="preserve">, and </w:t>
      </w:r>
      <w:r w:rsidR="00A23BBA">
        <w:t>fertilization as well as their interactions on biomass, plant presence, plant NUR, and plant %N</w:t>
      </w:r>
      <w:r w:rsidR="00BC0D4B">
        <w:t xml:space="preserve"> </w:t>
      </w:r>
      <w:r w:rsidR="00A23BBA">
        <w:t>(Appendix 1)</w:t>
      </w:r>
      <w:r w:rsidR="00A23BBA" w:rsidRPr="00BC3E56">
        <w:t xml:space="preserve">. Model fit was verified using histograms and the </w:t>
      </w:r>
      <w:proofErr w:type="spellStart"/>
      <w:r w:rsidR="00A23BBA" w:rsidRPr="00BC3E56">
        <w:t>qqPlot</w:t>
      </w:r>
      <w:proofErr w:type="spellEnd"/>
      <w:r w:rsidR="00A23BBA" w:rsidRPr="00BC3E56">
        <w:t xml:space="preserve"> function in the </w:t>
      </w:r>
      <w:r w:rsidR="006669C1">
        <w:t>‘</w:t>
      </w:r>
      <w:r w:rsidR="00A23BBA" w:rsidRPr="00BC3E56">
        <w:t>car</w:t>
      </w:r>
      <w:r w:rsidR="006669C1">
        <w:t>’</w:t>
      </w:r>
      <w:r w:rsidR="00A23BBA" w:rsidRPr="00BC3E56">
        <w:t xml:space="preserve"> package (Fox &amp; Weisberg 2019). </w:t>
      </w:r>
      <w:r w:rsidR="00A23BBA">
        <w:t>S</w:t>
      </w:r>
      <w:r w:rsidR="00A23BBA" w:rsidRPr="00BC3E56">
        <w:t>tatistical significance was designated by a p-value</w:t>
      </w:r>
      <w:r w:rsidR="00A23BBA">
        <w:t xml:space="preserve"> </w:t>
      </w:r>
      <w:r w:rsidR="00A23BBA" w:rsidRPr="00225619">
        <w:t>≤</w:t>
      </w:r>
      <w:r w:rsidR="00A23BBA" w:rsidRPr="00BC3E56">
        <w:t xml:space="preserve">0.05 (Fox &amp; Weisberg 2019). </w:t>
      </w:r>
      <w:r w:rsidR="009C2144">
        <w:t>W</w:t>
      </w:r>
      <w:r w:rsidR="00A23BBA">
        <w:t xml:space="preserve">e </w:t>
      </w:r>
      <w:r w:rsidR="009C2144">
        <w:t xml:space="preserve">also </w:t>
      </w:r>
      <w:r w:rsidR="00A23BBA" w:rsidRPr="00BC3E56">
        <w:t>performed Tukey post-hoc tests to determine which treatments were significantly</w:t>
      </w:r>
      <w:r w:rsidR="00E80FF5">
        <w:t xml:space="preserve"> different</w:t>
      </w:r>
      <w:r w:rsidR="00A23BBA" w:rsidRPr="00BC3E56">
        <w:t xml:space="preserve">. Results were then visualized using </w:t>
      </w:r>
      <w:r w:rsidR="00EE6D37">
        <w:t xml:space="preserve">the </w:t>
      </w:r>
      <w:proofErr w:type="spellStart"/>
      <w:r w:rsidR="00EE6D37">
        <w:t>ggplot</w:t>
      </w:r>
      <w:proofErr w:type="spellEnd"/>
      <w:r w:rsidR="00EE6D37">
        <w:t xml:space="preserve"> function in the ‘</w:t>
      </w:r>
      <w:r w:rsidR="00A23BBA" w:rsidRPr="00BC3E56">
        <w:t>ggplot2</w:t>
      </w:r>
      <w:r w:rsidR="00EE6D37">
        <w:t>’</w:t>
      </w:r>
      <w:r w:rsidR="00A23BBA" w:rsidRPr="00BC3E56">
        <w:t xml:space="preserve"> </w:t>
      </w:r>
      <w:r w:rsidR="00EE6D37">
        <w:t xml:space="preserve">package </w:t>
      </w:r>
      <w:r w:rsidR="00A23BBA" w:rsidRPr="00BC3E56">
        <w:t xml:space="preserve">(Wickham 2016). </w:t>
      </w:r>
    </w:p>
    <w:p w14:paraId="7746AB9C" w14:textId="5A79738A" w:rsidR="00A23BBA" w:rsidRDefault="00A23BBA" w:rsidP="00A23BBA">
      <w:pPr>
        <w:ind w:firstLine="720"/>
      </w:pPr>
      <w:r w:rsidRPr="00BC3E56">
        <w:t xml:space="preserve">Presence and absence of plants was designated with a 1 or 0, respectively, across all pots by treating all pots with shoot biomass greater than 0 as a 1 and all other pots as a 0. </w:t>
      </w:r>
      <w:r>
        <w:t>M</w:t>
      </w:r>
      <w:r w:rsidRPr="00BC3E56">
        <w:t xml:space="preserve">ean plant presence </w:t>
      </w:r>
      <w:r>
        <w:t xml:space="preserve">was used as the response variable in models for each treatment. </w:t>
      </w:r>
      <w:r w:rsidRPr="00BC3E56">
        <w:t xml:space="preserve">To compare presence/absence among treatments, </w:t>
      </w:r>
      <w:r>
        <w:t>we</w:t>
      </w:r>
      <w:r w:rsidRPr="00BC3E56">
        <w:t xml:space="preserve"> used generalized linear models (GLM) with binomial distributions across all possible combinations of variables (fertiliz</w:t>
      </w:r>
      <w:r>
        <w:t>ation</w:t>
      </w:r>
      <w:r w:rsidRPr="00BC3E56">
        <w:t xml:space="preserve"> and invasion history)</w:t>
      </w:r>
      <w:r>
        <w:t xml:space="preserve"> within all datasets (site and plants grown)</w:t>
      </w:r>
      <w:r w:rsidRPr="00BC3E56">
        <w:t>.</w:t>
      </w:r>
    </w:p>
    <w:p w14:paraId="35DA34C0" w14:textId="77777777" w:rsidR="00582004" w:rsidRDefault="00A23BBA" w:rsidP="00A23BBA">
      <w:pPr>
        <w:ind w:firstLine="720"/>
      </w:pPr>
      <w:r>
        <w:t xml:space="preserve">To compare plant biomass across treatments, we divided </w:t>
      </w:r>
      <w:r w:rsidRPr="00BC3E56">
        <w:t>root and shoot biomass into datasets.</w:t>
      </w:r>
      <w:r>
        <w:t xml:space="preserve"> B</w:t>
      </w:r>
      <w:r w:rsidRPr="00BC3E56">
        <w:t xml:space="preserve">iomass </w:t>
      </w:r>
      <w:r>
        <w:t>was analyzed separately among plants grown (</w:t>
      </w:r>
      <w:r>
        <w:rPr>
          <w:i/>
          <w:iCs/>
        </w:rPr>
        <w:t xml:space="preserve">L. vulgaris </w:t>
      </w:r>
      <w:r>
        <w:t>or native species)</w:t>
      </w:r>
      <w:r w:rsidR="00424D36">
        <w:t xml:space="preserve">, </w:t>
      </w:r>
      <w:r>
        <w:t xml:space="preserve">and </w:t>
      </w:r>
      <w:r w:rsidR="00577CC6">
        <w:t xml:space="preserve">for each combination of </w:t>
      </w:r>
      <w:r w:rsidRPr="00BC3E56">
        <w:t>s</w:t>
      </w:r>
      <w:r w:rsidR="00693EAD">
        <w:t>tate</w:t>
      </w:r>
      <w:r w:rsidR="00577CC6">
        <w:t>s and invasion histories</w:t>
      </w:r>
      <w:r w:rsidRPr="00BC3E56">
        <w:t xml:space="preserve"> </w:t>
      </w:r>
      <w:r>
        <w:t xml:space="preserve">due to </w:t>
      </w:r>
      <w:r w:rsidRPr="00BC3E56">
        <w:t xml:space="preserve">varying sample sizes. </w:t>
      </w:r>
      <w:r>
        <w:t>We</w:t>
      </w:r>
      <w:r w:rsidRPr="00BC3E56">
        <w:t xml:space="preserve"> </w:t>
      </w:r>
      <w:r>
        <w:t xml:space="preserve">also </w:t>
      </w:r>
      <w:r w:rsidRPr="00BC3E56">
        <w:t xml:space="preserve">removed pots without biomass as these were evaluated in presence/absence analyses. </w:t>
      </w:r>
      <w:r>
        <w:t xml:space="preserve">We </w:t>
      </w:r>
      <w:r w:rsidRPr="00BC3E56">
        <w:t xml:space="preserve">used </w:t>
      </w:r>
      <w:r w:rsidR="00FA51C3">
        <w:t xml:space="preserve">linear </w:t>
      </w:r>
      <w:r w:rsidRPr="00BC3E56">
        <w:t>mix</w:t>
      </w:r>
      <w:r w:rsidR="00FA51C3">
        <w:t>ed-effect</w:t>
      </w:r>
      <w:r w:rsidRPr="00BC3E56">
        <w:t xml:space="preserve"> </w:t>
      </w:r>
      <w:r w:rsidR="00FA51C3">
        <w:t>models to compare biomass between s</w:t>
      </w:r>
      <w:r w:rsidR="002B5E67">
        <w:t>ite</w:t>
      </w:r>
      <w:r w:rsidR="00FA51C3">
        <w:t xml:space="preserve"> and invasion histories and </w:t>
      </w:r>
      <w:proofErr w:type="gramStart"/>
      <w:r w:rsidR="002B5E67">
        <w:t>plot</w:t>
      </w:r>
      <w:proofErr w:type="gramEnd"/>
      <w:r w:rsidR="002B5E67">
        <w:t xml:space="preserve"> </w:t>
      </w:r>
    </w:p>
    <w:p w14:paraId="6D3280B2" w14:textId="7254AF69" w:rsidR="00A23BBA" w:rsidRPr="00702A26" w:rsidRDefault="00FA51C3" w:rsidP="00582004">
      <w:r>
        <w:t xml:space="preserve">as a random effect using the </w:t>
      </w:r>
      <w:proofErr w:type="spellStart"/>
      <w:r>
        <w:t>lmer</w:t>
      </w:r>
      <w:proofErr w:type="spellEnd"/>
      <w:r>
        <w:t xml:space="preserve"> function in the </w:t>
      </w:r>
      <w:r w:rsidR="005B40DD">
        <w:t>‘</w:t>
      </w:r>
      <w:r>
        <w:t>lme4</w:t>
      </w:r>
      <w:r w:rsidR="005B40DD">
        <w:t>’</w:t>
      </w:r>
      <w:r>
        <w:t xml:space="preserve"> package (Bates et al 2015)</w:t>
      </w:r>
      <w:r w:rsidR="002D5B82">
        <w:t xml:space="preserve">. Biomass data for each combination of state and invasion histories was transformed </w:t>
      </w:r>
      <w:r w:rsidR="00724892">
        <w:t xml:space="preserve">by taking either the log or square to </w:t>
      </w:r>
      <w:r w:rsidR="00A23BBA" w:rsidRPr="00BC3E56">
        <w:t>account for non-normally distributed data</w:t>
      </w:r>
      <w:r w:rsidR="00A23BBA">
        <w:t>. T</w:t>
      </w:r>
      <w:r w:rsidR="00A23BBA" w:rsidRPr="00BC3E56">
        <w:t xml:space="preserve">he package </w:t>
      </w:r>
      <w:r w:rsidR="008850FB">
        <w:t>‘</w:t>
      </w:r>
      <w:proofErr w:type="spellStart"/>
      <w:r w:rsidR="00A23BBA" w:rsidRPr="00BC3E56">
        <w:t>emmeans</w:t>
      </w:r>
      <w:proofErr w:type="spellEnd"/>
      <w:r w:rsidR="008850FB">
        <w:t>’</w:t>
      </w:r>
      <w:r w:rsidR="00A23BBA" w:rsidRPr="00BC3E56">
        <w:t xml:space="preserve"> </w:t>
      </w:r>
      <w:r w:rsidR="00A23BBA">
        <w:t xml:space="preserve">was used </w:t>
      </w:r>
      <w:r w:rsidR="00B61423">
        <w:t xml:space="preserve">to generate </w:t>
      </w:r>
      <w:r w:rsidR="00DE4754">
        <w:t xml:space="preserve">Tukey </w:t>
      </w:r>
      <w:r w:rsidR="00A23BBA" w:rsidRPr="00BC3E56">
        <w:t>pairwise-comparisons (</w:t>
      </w:r>
      <w:proofErr w:type="spellStart"/>
      <w:r w:rsidR="00A23BBA" w:rsidRPr="00BC3E56">
        <w:t>Lenth</w:t>
      </w:r>
      <w:proofErr w:type="spellEnd"/>
      <w:r w:rsidR="00A23BBA" w:rsidRPr="00BC3E56">
        <w:t xml:space="preserve"> 2021).</w:t>
      </w:r>
    </w:p>
    <w:p w14:paraId="63FF8E64" w14:textId="3461DC4C" w:rsidR="00A23BBA" w:rsidRPr="00C34C00" w:rsidRDefault="00A23BBA" w:rsidP="00C34C00">
      <w:pPr>
        <w:rPr>
          <w:rFonts w:eastAsiaTheme="minorHAnsi"/>
        </w:rPr>
      </w:pPr>
      <w:r>
        <w:lastRenderedPageBreak/>
        <w:tab/>
      </w:r>
      <w:r>
        <w:rPr>
          <w:rFonts w:eastAsiaTheme="minorHAnsi"/>
        </w:rPr>
        <w:t>We</w:t>
      </w:r>
      <w:r w:rsidRPr="00BC3E56">
        <w:rPr>
          <w:rFonts w:eastAsiaTheme="minorHAnsi"/>
        </w:rPr>
        <w:t xml:space="preserve"> </w:t>
      </w:r>
      <w:r w:rsidR="008D4171">
        <w:rPr>
          <w:rFonts w:eastAsiaTheme="minorHAnsi"/>
        </w:rPr>
        <w:t xml:space="preserve">log-transformed </w:t>
      </w:r>
      <w:r w:rsidRPr="00BC3E56">
        <w:rPr>
          <w:rFonts w:eastAsiaTheme="minorHAnsi"/>
        </w:rPr>
        <w:t>plant N</w:t>
      </w:r>
      <w:r w:rsidR="00C34C00">
        <w:rPr>
          <w:rFonts w:eastAsiaTheme="minorHAnsi"/>
        </w:rPr>
        <w:t xml:space="preserve">UR </w:t>
      </w:r>
      <w:r w:rsidR="008D4171">
        <w:rPr>
          <w:rFonts w:eastAsiaTheme="minorHAnsi"/>
        </w:rPr>
        <w:t xml:space="preserve">and used </w:t>
      </w:r>
      <w:r w:rsidR="008D4171" w:rsidRPr="00BC3E56">
        <w:rPr>
          <w:rFonts w:eastAsiaTheme="minorHAnsi"/>
        </w:rPr>
        <w:t xml:space="preserve">linear models to compare </w:t>
      </w:r>
      <w:r w:rsidR="008D4171">
        <w:rPr>
          <w:rFonts w:eastAsiaTheme="minorHAnsi"/>
        </w:rPr>
        <w:t xml:space="preserve">NUR </w:t>
      </w:r>
      <w:r>
        <w:rPr>
          <w:rFonts w:eastAsiaTheme="minorHAnsi"/>
        </w:rPr>
        <w:t>across</w:t>
      </w:r>
      <w:r w:rsidRPr="00BC3E56">
        <w:rPr>
          <w:rFonts w:eastAsiaTheme="minorHAnsi"/>
        </w:rPr>
        <w:t xml:space="preserve"> invasion histor</w:t>
      </w:r>
      <w:r>
        <w:rPr>
          <w:rFonts w:eastAsiaTheme="minorHAnsi"/>
        </w:rPr>
        <w:t>ies</w:t>
      </w:r>
      <w:r w:rsidRPr="00BC3E56">
        <w:rPr>
          <w:rFonts w:eastAsiaTheme="minorHAnsi"/>
        </w:rPr>
        <w:t xml:space="preserve"> and fertiliz</w:t>
      </w:r>
      <w:r>
        <w:rPr>
          <w:rFonts w:eastAsiaTheme="minorHAnsi"/>
        </w:rPr>
        <w:t>ation</w:t>
      </w:r>
      <w:r w:rsidRPr="00BC3E56">
        <w:rPr>
          <w:rFonts w:eastAsiaTheme="minorHAnsi"/>
        </w:rPr>
        <w:t xml:space="preserve"> treatments.</w:t>
      </w:r>
      <w:r>
        <w:rPr>
          <w:rFonts w:eastAsiaTheme="minorHAnsi"/>
        </w:rPr>
        <w:t xml:space="preserve"> We created linear models to compare bulk %N across treatments. </w:t>
      </w:r>
      <w:r>
        <w:t xml:space="preserve">We also generated </w:t>
      </w:r>
      <w:r w:rsidR="00C73F1B">
        <w:t xml:space="preserve">linear </w:t>
      </w:r>
      <w:r w:rsidR="00FB26F5">
        <w:t xml:space="preserve">mixed-effects </w:t>
      </w:r>
      <w:r>
        <w:t>models</w:t>
      </w:r>
      <w:r w:rsidR="00C73F1B">
        <w:t xml:space="preserve"> </w:t>
      </w:r>
      <w:r w:rsidRPr="00702A26">
        <w:t xml:space="preserve">to test differences in soil </w:t>
      </w:r>
      <w:r>
        <w:t>pH, PO</w:t>
      </w:r>
      <w:r>
        <w:rPr>
          <w:vertAlign w:val="subscript"/>
        </w:rPr>
        <w:t>4</w:t>
      </w:r>
      <w:r>
        <w:t>, NO</w:t>
      </w:r>
      <w:r>
        <w:rPr>
          <w:vertAlign w:val="subscript"/>
        </w:rPr>
        <w:t>3</w:t>
      </w:r>
      <w:r>
        <w:t>, NH</w:t>
      </w:r>
      <w:r>
        <w:rPr>
          <w:vertAlign w:val="subscript"/>
        </w:rPr>
        <w:t>4</w:t>
      </w:r>
      <w:r w:rsidR="008F2ABB">
        <w:t xml:space="preserve"> (log-transformed) and percent clay, silt, and sand (untransformed)</w:t>
      </w:r>
      <w:r>
        <w:t xml:space="preserve">, </w:t>
      </w:r>
      <w:r w:rsidRPr="00702A26">
        <w:t>across s</w:t>
      </w:r>
      <w:r w:rsidR="00582004">
        <w:t>ites</w:t>
      </w:r>
      <w:r>
        <w:t xml:space="preserve"> </w:t>
      </w:r>
      <w:r w:rsidRPr="00702A26">
        <w:t>and</w:t>
      </w:r>
      <w:r>
        <w:t xml:space="preserve"> invasion histories</w:t>
      </w:r>
      <w:r w:rsidR="00496657">
        <w:t xml:space="preserve"> with </w:t>
      </w:r>
      <w:r w:rsidR="00582004">
        <w:t>plot</w:t>
      </w:r>
      <w:r w:rsidR="00496657">
        <w:t xml:space="preserve"> as a random effect</w:t>
      </w:r>
      <w:r>
        <w:t xml:space="preserve">. </w:t>
      </w:r>
    </w:p>
    <w:p w14:paraId="34C6455E" w14:textId="29894818" w:rsidR="005847CF" w:rsidRDefault="00667963" w:rsidP="00205E55">
      <w:pPr>
        <w:ind w:firstLine="720"/>
      </w:pPr>
      <w:r>
        <w:t>W</w:t>
      </w:r>
      <w:r w:rsidR="001A69B8">
        <w:t>e</w:t>
      </w:r>
      <w:r w:rsidR="001A69B8" w:rsidRPr="00702A26">
        <w:t xml:space="preserve"> performed permutational multivariate ANOVA</w:t>
      </w:r>
      <w:r w:rsidR="001A69B8">
        <w:t>s</w:t>
      </w:r>
      <w:r w:rsidR="001A69B8" w:rsidRPr="00702A26">
        <w:t xml:space="preserve"> (PERMANOVA</w:t>
      </w:r>
      <w:r w:rsidR="001A69B8">
        <w:t>s</w:t>
      </w:r>
      <w:r w:rsidR="001A69B8" w:rsidRPr="00702A26">
        <w:t xml:space="preserve">) using the adonis2 function in the ‘vegan’ package to test whether AMF communities </w:t>
      </w:r>
      <w:r w:rsidR="001A69B8">
        <w:t xml:space="preserve">were influenced by </w:t>
      </w:r>
      <w:r w:rsidR="001A69B8" w:rsidRPr="00702A26">
        <w:t>invasion history</w:t>
      </w:r>
      <w:r w:rsidR="001A69B8">
        <w:t>,</w:t>
      </w:r>
      <w:r w:rsidR="001A69B8" w:rsidRPr="00702A26">
        <w:t xml:space="preserve"> s</w:t>
      </w:r>
      <w:r w:rsidR="00361771">
        <w:t>ta</w:t>
      </w:r>
      <w:r w:rsidR="001A69B8">
        <w:t xml:space="preserve">te, and </w:t>
      </w:r>
      <w:r w:rsidR="00A45AD4">
        <w:t>individual edaphic</w:t>
      </w:r>
      <w:r w:rsidR="001A69B8">
        <w:t xml:space="preserve"> factors </w:t>
      </w:r>
      <w:r w:rsidR="001A69B8" w:rsidRPr="00702A26">
        <w:t>(Oksanen et al. 202</w:t>
      </w:r>
      <w:r w:rsidR="00613FDF">
        <w:t>2</w:t>
      </w:r>
      <w:r w:rsidR="001A69B8" w:rsidRPr="00702A26">
        <w:t xml:space="preserve">). </w:t>
      </w:r>
      <w:r w:rsidR="001A69B8">
        <w:t>We</w:t>
      </w:r>
      <w:r w:rsidR="001A69B8" w:rsidRPr="00702A26">
        <w:t xml:space="preserve"> </w:t>
      </w:r>
      <w:r w:rsidR="001A69B8">
        <w:t xml:space="preserve">performed an </w:t>
      </w:r>
      <w:r w:rsidR="001A69B8" w:rsidRPr="00702A26">
        <w:t xml:space="preserve">indicator species analyses using the </w:t>
      </w:r>
      <w:proofErr w:type="spellStart"/>
      <w:r w:rsidR="001A69B8" w:rsidRPr="00702A26">
        <w:t>multipatt</w:t>
      </w:r>
      <w:proofErr w:type="spellEnd"/>
      <w:r w:rsidR="001A69B8" w:rsidRPr="00702A26">
        <w:t xml:space="preserve"> function in the </w:t>
      </w:r>
      <w:proofErr w:type="spellStart"/>
      <w:r w:rsidR="001A69B8" w:rsidRPr="00702A26">
        <w:t>indicspecies</w:t>
      </w:r>
      <w:proofErr w:type="spellEnd"/>
      <w:r w:rsidR="001A69B8" w:rsidRPr="00702A26">
        <w:t xml:space="preserve"> package (</w:t>
      </w:r>
      <w:r w:rsidR="00175C05">
        <w:t>Appendix</w:t>
      </w:r>
      <w:r w:rsidR="001A69B8" w:rsidRPr="00702A26">
        <w:t xml:space="preserve"> 2,3; </w:t>
      </w:r>
      <w:proofErr w:type="spellStart"/>
      <w:r w:rsidR="001A69B8" w:rsidRPr="00702A26">
        <w:t>Cáceres</w:t>
      </w:r>
      <w:proofErr w:type="spellEnd"/>
      <w:r w:rsidR="001A69B8" w:rsidRPr="00702A26">
        <w:t xml:space="preserve"> et al 2010). </w:t>
      </w:r>
      <w:r w:rsidR="001A69B8">
        <w:t xml:space="preserve">We also </w:t>
      </w:r>
      <w:r w:rsidR="00984739">
        <w:t xml:space="preserve">compared </w:t>
      </w:r>
      <w:r w:rsidR="00D248A3">
        <w:t xml:space="preserve">individual </w:t>
      </w:r>
      <w:r w:rsidR="00A73232">
        <w:t xml:space="preserve">OTU </w:t>
      </w:r>
      <w:r w:rsidR="00984739">
        <w:t>and</w:t>
      </w:r>
      <w:r w:rsidR="001A69B8">
        <w:t xml:space="preserve"> famil</w:t>
      </w:r>
      <w:r w:rsidR="00984739">
        <w:t xml:space="preserve">y </w:t>
      </w:r>
      <w:r w:rsidR="00026C3F">
        <w:t xml:space="preserve">mean </w:t>
      </w:r>
      <w:r w:rsidR="00984739">
        <w:t>relative abundance</w:t>
      </w:r>
      <w:r w:rsidR="00026C3F">
        <w:t>s</w:t>
      </w:r>
      <w:r w:rsidR="001A69B8">
        <w:t xml:space="preserve"> </w:t>
      </w:r>
      <w:r w:rsidR="00984739">
        <w:t>across st</w:t>
      </w:r>
      <w:r w:rsidR="00E309F7">
        <w:t>at</w:t>
      </w:r>
      <w:r w:rsidR="00984739">
        <w:t xml:space="preserve">es and invasion histories </w:t>
      </w:r>
      <w:r w:rsidR="001A69B8">
        <w:t>us</w:t>
      </w:r>
      <w:r w:rsidR="00984739">
        <w:t>ing</w:t>
      </w:r>
      <w:r w:rsidR="001A69B8">
        <w:t xml:space="preserve"> Kruskal-Wallis tests. </w:t>
      </w:r>
      <w:r w:rsidR="001A69B8" w:rsidRPr="00702A26">
        <w:t xml:space="preserve">Relative abundances of AMF OTUs </w:t>
      </w:r>
      <w:r w:rsidR="00620BFE">
        <w:t xml:space="preserve">and edaphic factors </w:t>
      </w:r>
      <w:r w:rsidR="001A69B8" w:rsidRPr="00702A26">
        <w:t xml:space="preserve">were visualized on Nonmetric Multidimensional Scaling (NMDS) plots using the </w:t>
      </w:r>
      <w:proofErr w:type="spellStart"/>
      <w:r w:rsidR="001A69B8" w:rsidRPr="00702A26">
        <w:t>metaMDS</w:t>
      </w:r>
      <w:proofErr w:type="spellEnd"/>
      <w:r w:rsidR="001A69B8" w:rsidRPr="00702A26">
        <w:t xml:space="preserve"> function in the ‘vegan’ package (Oksanen et al. 2020). </w:t>
      </w:r>
      <w:r w:rsidR="00ED5D17" w:rsidRPr="000835BC">
        <w:rPr>
          <w:highlight w:val="yellow"/>
        </w:rPr>
        <w:t xml:space="preserve">We used the </w:t>
      </w:r>
      <w:r w:rsidR="00B66BDE" w:rsidRPr="000835BC">
        <w:rPr>
          <w:highlight w:val="yellow"/>
        </w:rPr>
        <w:t xml:space="preserve">diversity function in the </w:t>
      </w:r>
      <w:r w:rsidR="00AE1DEA" w:rsidRPr="000835BC">
        <w:rPr>
          <w:highlight w:val="yellow"/>
        </w:rPr>
        <w:t>‘</w:t>
      </w:r>
      <w:r w:rsidR="00B66BDE" w:rsidRPr="000835BC">
        <w:rPr>
          <w:highlight w:val="yellow"/>
        </w:rPr>
        <w:t>vegan</w:t>
      </w:r>
      <w:r w:rsidR="00AE1DEA" w:rsidRPr="000835BC">
        <w:rPr>
          <w:highlight w:val="yellow"/>
        </w:rPr>
        <w:t>’</w:t>
      </w:r>
      <w:r w:rsidR="00B66BDE" w:rsidRPr="000835BC">
        <w:rPr>
          <w:highlight w:val="yellow"/>
        </w:rPr>
        <w:t xml:space="preserve"> package to calculate Shannon’s diversity, which we used to calculate </w:t>
      </w:r>
      <w:proofErr w:type="spellStart"/>
      <w:r w:rsidR="00B66BDE" w:rsidRPr="000835BC">
        <w:rPr>
          <w:highlight w:val="yellow"/>
        </w:rPr>
        <w:t>Pielou’s</w:t>
      </w:r>
      <w:proofErr w:type="spellEnd"/>
      <w:r w:rsidR="00B66BDE" w:rsidRPr="000835BC">
        <w:rPr>
          <w:highlight w:val="yellow"/>
        </w:rPr>
        <w:t xml:space="preserve"> evenness for all OTUs</w:t>
      </w:r>
      <w:r w:rsidR="00381AB9" w:rsidRPr="000835BC">
        <w:rPr>
          <w:highlight w:val="yellow"/>
        </w:rPr>
        <w:t xml:space="preserve"> (</w:t>
      </w:r>
      <w:r w:rsidR="006A3A71" w:rsidRPr="000835BC">
        <w:rPr>
          <w:highlight w:val="yellow"/>
        </w:rPr>
        <w:t>Oksanen et al 2022</w:t>
      </w:r>
      <w:r w:rsidR="00381AB9" w:rsidRPr="000835BC">
        <w:rPr>
          <w:highlight w:val="yellow"/>
        </w:rPr>
        <w:t>)</w:t>
      </w:r>
      <w:r w:rsidR="00B66BDE" w:rsidRPr="000835BC">
        <w:rPr>
          <w:highlight w:val="yellow"/>
        </w:rPr>
        <w:t>.</w:t>
      </w:r>
      <w:r w:rsidR="00B66BDE">
        <w:t xml:space="preserve"> </w:t>
      </w:r>
      <w:r w:rsidR="00EA03C8">
        <w:t xml:space="preserve">We used </w:t>
      </w:r>
      <w:commentRangeStart w:id="3"/>
      <w:r w:rsidR="00EA03C8">
        <w:t xml:space="preserve">linear mixed-effects models </w:t>
      </w:r>
      <w:commentRangeEnd w:id="3"/>
      <w:r w:rsidR="00B2775E">
        <w:rPr>
          <w:rStyle w:val="CommentReference"/>
        </w:rPr>
        <w:commentReference w:id="3"/>
      </w:r>
      <w:r w:rsidR="00EA03C8">
        <w:t>to compare OTU and family richness</w:t>
      </w:r>
      <w:r w:rsidR="006D1FA0">
        <w:t xml:space="preserve"> </w:t>
      </w:r>
      <w:r w:rsidR="00EA03C8">
        <w:t xml:space="preserve">between states and invasion histories with </w:t>
      </w:r>
      <w:r w:rsidR="002A26E1">
        <w:t>plot</w:t>
      </w:r>
      <w:r w:rsidR="00EA03C8">
        <w:t xml:space="preserve"> as a random effect.</w:t>
      </w:r>
    </w:p>
    <w:p w14:paraId="06BEE15A" w14:textId="4E1BD4AB" w:rsidR="00A750BB" w:rsidRDefault="00A750BB" w:rsidP="00385163"/>
    <w:p w14:paraId="676978CF" w14:textId="6E487AB2" w:rsidR="00934702" w:rsidRDefault="00934702" w:rsidP="00227865">
      <w:pPr>
        <w:rPr>
          <w:b/>
          <w:bCs/>
        </w:rPr>
      </w:pPr>
      <w:r>
        <w:rPr>
          <w:b/>
          <w:bCs/>
        </w:rPr>
        <w:t>Results</w:t>
      </w:r>
    </w:p>
    <w:p w14:paraId="58D59B33" w14:textId="77777777" w:rsidR="00227865" w:rsidRPr="00BC3E56" w:rsidRDefault="00227865" w:rsidP="00227865">
      <w:pPr>
        <w:rPr>
          <w:i/>
          <w:iCs/>
        </w:rPr>
      </w:pPr>
      <w:r w:rsidRPr="00BC3E56">
        <w:rPr>
          <w:i/>
          <w:iCs/>
        </w:rPr>
        <w:t>Plant Presence and Biomass</w:t>
      </w:r>
    </w:p>
    <w:p w14:paraId="15AFDF0D" w14:textId="374346D6" w:rsidR="00227865" w:rsidRPr="00BC3E56" w:rsidRDefault="00CA5E06" w:rsidP="00227865">
      <w:pPr>
        <w:ind w:firstLine="720"/>
      </w:pPr>
      <w:r>
        <w:t>I</w:t>
      </w:r>
      <w:r w:rsidR="00227865" w:rsidRPr="00BC3E56">
        <w:t xml:space="preserve">n CO soil, </w:t>
      </w:r>
      <w:r>
        <w:t xml:space="preserve">overall </w:t>
      </w:r>
      <w:r w:rsidR="00227865" w:rsidRPr="00BC3E56">
        <w:t xml:space="preserve">plant presence varied significantly by </w:t>
      </w:r>
      <w:r w:rsidR="00227865">
        <w:t xml:space="preserve">the interaction of </w:t>
      </w:r>
      <w:r w:rsidR="00227865" w:rsidRPr="00BC3E56">
        <w:t>invasion history and species (</w:t>
      </w:r>
      <w:r w:rsidR="008B65E7">
        <w:t xml:space="preserve">Fig. 1, </w:t>
      </w:r>
      <w:r w:rsidR="00A4057E" w:rsidRPr="00370EAF">
        <w:rPr>
          <w:i/>
          <w:iCs/>
        </w:rPr>
        <w:t>X</w:t>
      </w:r>
      <w:r w:rsidR="00A4057E" w:rsidRPr="00370EAF">
        <w:rPr>
          <w:i/>
          <w:iCs/>
          <w:vertAlign w:val="superscript"/>
        </w:rPr>
        <w:t>2</w:t>
      </w:r>
      <w:r w:rsidR="00A4057E">
        <w:t xml:space="preserve"> = 12.1, </w:t>
      </w:r>
      <w:r w:rsidR="00A4057E" w:rsidRPr="00370EAF">
        <w:rPr>
          <w:i/>
          <w:iCs/>
        </w:rPr>
        <w:t>P</w:t>
      </w:r>
      <w:r w:rsidR="00A4057E">
        <w:t xml:space="preserve"> &lt; 0.001</w:t>
      </w:r>
      <w:r w:rsidR="00227865" w:rsidRPr="00BC3E56">
        <w:t xml:space="preserve">). In CO soil, </w:t>
      </w:r>
      <w:r w:rsidR="00227865" w:rsidRPr="00BC3E56">
        <w:rPr>
          <w:i/>
          <w:iCs/>
        </w:rPr>
        <w:t xml:space="preserve">L. vulgaris </w:t>
      </w:r>
      <w:r w:rsidR="00227865" w:rsidRPr="00BC3E56">
        <w:t>presence was significantly greater in invaded soil than uninvaded soil, irrespective of N fertilization treatment</w:t>
      </w:r>
      <w:r w:rsidR="00DE0442">
        <w:t xml:space="preserve"> (</w:t>
      </w:r>
      <w:r w:rsidR="00EA23ED" w:rsidRPr="008E4863">
        <w:rPr>
          <w:i/>
          <w:iCs/>
        </w:rPr>
        <w:t>X</w:t>
      </w:r>
      <w:r w:rsidR="00EA23ED" w:rsidRPr="008E4863">
        <w:rPr>
          <w:i/>
          <w:iCs/>
          <w:vertAlign w:val="superscript"/>
        </w:rPr>
        <w:t>2</w:t>
      </w:r>
      <w:r w:rsidR="00EA23ED">
        <w:t xml:space="preserve"> = </w:t>
      </w:r>
      <w:r w:rsidR="008E4863">
        <w:t>7.72</w:t>
      </w:r>
      <w:r w:rsidR="00EA23ED">
        <w:t xml:space="preserve">, </w:t>
      </w:r>
      <w:r w:rsidR="00EA23ED" w:rsidRPr="008E4863">
        <w:rPr>
          <w:i/>
          <w:iCs/>
        </w:rPr>
        <w:t xml:space="preserve">P </w:t>
      </w:r>
      <w:r w:rsidR="00EA23ED">
        <w:t>= 0.005</w:t>
      </w:r>
      <w:r w:rsidR="00BD1223">
        <w:t>)</w:t>
      </w:r>
      <w:r w:rsidR="00227865" w:rsidRPr="00BC3E56">
        <w:t xml:space="preserve">. In contrast, native plant presence </w:t>
      </w:r>
      <w:r w:rsidR="00227865">
        <w:t xml:space="preserve">in CO soil </w:t>
      </w:r>
      <w:r w:rsidR="00227865" w:rsidRPr="00E7533F">
        <w:t>was not affected by invasion history</w:t>
      </w:r>
      <w:r w:rsidR="00FC581F">
        <w:t xml:space="preserve"> or N fertilization</w:t>
      </w:r>
      <w:r w:rsidR="00227865" w:rsidRPr="00BC3E56">
        <w:t xml:space="preserve">. Overall, in IL soil, plant presence </w:t>
      </w:r>
      <w:r w:rsidR="00227865">
        <w:t xml:space="preserve">was </w:t>
      </w:r>
      <w:r w:rsidR="004118AD">
        <w:t xml:space="preserve">not </w:t>
      </w:r>
      <w:r w:rsidR="00227865" w:rsidRPr="00BC3E56">
        <w:t xml:space="preserve">significantly </w:t>
      </w:r>
      <w:r w:rsidR="00306DC2">
        <w:t xml:space="preserve">different between </w:t>
      </w:r>
      <w:r w:rsidR="0066445D" w:rsidRPr="00BC3E56">
        <w:t>species</w:t>
      </w:r>
      <w:r w:rsidR="0066445D">
        <w:t xml:space="preserve">, </w:t>
      </w:r>
      <w:r w:rsidR="00227865" w:rsidRPr="00BC3E56">
        <w:t>invasion histor</w:t>
      </w:r>
      <w:r w:rsidR="00306DC2">
        <w:t>ies</w:t>
      </w:r>
      <w:r w:rsidR="00022FA9">
        <w:t>, or their interaction</w:t>
      </w:r>
      <w:r w:rsidR="007E3378">
        <w:t xml:space="preserve">. </w:t>
      </w:r>
      <w:r w:rsidR="00227865" w:rsidRPr="00BC3E56">
        <w:t xml:space="preserve">In IL soil, </w:t>
      </w:r>
      <w:r w:rsidR="00227865" w:rsidRPr="00BC3E56">
        <w:rPr>
          <w:i/>
          <w:iCs/>
        </w:rPr>
        <w:t>L. vulgaris</w:t>
      </w:r>
      <w:r w:rsidR="00227865" w:rsidRPr="00BC3E56">
        <w:t xml:space="preserve"> was only present in uninvaded control pots, so </w:t>
      </w:r>
      <w:r w:rsidR="00C27E85">
        <w:t>we</w:t>
      </w:r>
      <w:r w:rsidR="00227865" w:rsidRPr="00BC3E56">
        <w:t xml:space="preserve"> could not compare presence across</w:t>
      </w:r>
      <w:r w:rsidR="001F1D3D">
        <w:t xml:space="preserve"> treatments</w:t>
      </w:r>
      <w:r w:rsidR="00227865" w:rsidRPr="00BC3E56">
        <w:t xml:space="preserve">. </w:t>
      </w:r>
      <w:r w:rsidR="00E21A5A">
        <w:t>N</w:t>
      </w:r>
      <w:r w:rsidR="00227865" w:rsidRPr="00BC3E56">
        <w:t xml:space="preserve">ative plant presence </w:t>
      </w:r>
      <w:r w:rsidR="00E21A5A">
        <w:t xml:space="preserve">in IL soil </w:t>
      </w:r>
      <w:r w:rsidR="00227865" w:rsidRPr="00BC3E56">
        <w:t xml:space="preserve">was </w:t>
      </w:r>
      <w:r w:rsidR="00227865">
        <w:t xml:space="preserve">not affected by </w:t>
      </w:r>
      <w:r w:rsidR="00227865" w:rsidRPr="00BC3E56">
        <w:t>inva</w:t>
      </w:r>
      <w:r w:rsidR="00227865">
        <w:t>sion history</w:t>
      </w:r>
      <w:r w:rsidR="006A6041">
        <w:t xml:space="preserve"> or N fertilization</w:t>
      </w:r>
      <w:r w:rsidR="00227865" w:rsidRPr="00BC3E56">
        <w:t xml:space="preserve">. </w:t>
      </w:r>
    </w:p>
    <w:p w14:paraId="170CC24D" w14:textId="77777777" w:rsidR="00227865" w:rsidRPr="00BC3E56" w:rsidRDefault="00227865" w:rsidP="00CE6D0E"/>
    <w:p w14:paraId="1A2CC5DF" w14:textId="5B8A0231" w:rsidR="002F7D3E" w:rsidRDefault="00880ADC" w:rsidP="00227865">
      <w:r>
        <w:rPr>
          <w:noProof/>
        </w:rPr>
        <w:drawing>
          <wp:inline distT="0" distB="0" distL="0" distR="0" wp14:anchorId="58830650" wp14:editId="5B814E08">
            <wp:extent cx="2695883" cy="2631233"/>
            <wp:effectExtent l="0" t="0" r="0" b="0"/>
            <wp:docPr id="358317308"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17308" name="Picture 1" descr="A picture containing text, diagram, screenshot,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9144" cy="2644176"/>
                    </a:xfrm>
                    <a:prstGeom prst="rect">
                      <a:avLst/>
                    </a:prstGeom>
                  </pic:spPr>
                </pic:pic>
              </a:graphicData>
            </a:graphic>
          </wp:inline>
        </w:drawing>
      </w:r>
    </w:p>
    <w:p w14:paraId="51E19E4A" w14:textId="28856C1C" w:rsidR="00227865" w:rsidRDefault="00227865" w:rsidP="00227865">
      <w:r w:rsidRPr="00BC3E56">
        <w:rPr>
          <w:b/>
          <w:bCs/>
        </w:rPr>
        <w:t xml:space="preserve">Figure </w:t>
      </w:r>
      <w:r w:rsidR="00366CAE">
        <w:rPr>
          <w:b/>
          <w:bCs/>
        </w:rPr>
        <w:t>1</w:t>
      </w:r>
      <w:r w:rsidRPr="00BC3E56">
        <w:rPr>
          <w:b/>
          <w:bCs/>
        </w:rPr>
        <w:t xml:space="preserve">. </w:t>
      </w:r>
      <w:r w:rsidRPr="007A3943">
        <w:t xml:space="preserve">Percent of </w:t>
      </w:r>
      <w:r>
        <w:t>p</w:t>
      </w:r>
      <w:r w:rsidRPr="007A3943">
        <w:t xml:space="preserve">ots with </w:t>
      </w:r>
      <w:r>
        <w:t>p</w:t>
      </w:r>
      <w:r w:rsidRPr="007A3943">
        <w:t xml:space="preserve">lant </w:t>
      </w:r>
      <w:r>
        <w:t>g</w:t>
      </w:r>
      <w:r w:rsidRPr="007A3943">
        <w:t>rowth representing</w:t>
      </w:r>
      <w:r>
        <w:rPr>
          <w:b/>
          <w:bCs/>
        </w:rPr>
        <w:t xml:space="preserve"> </w:t>
      </w:r>
      <w:r>
        <w:t>p</w:t>
      </w:r>
      <w:r w:rsidRPr="00BC3E56">
        <w:t xml:space="preserve">lant presence/absence </w:t>
      </w:r>
      <w:r>
        <w:t>(</w:t>
      </w:r>
      <w:r w:rsidRPr="00BC3E56">
        <w:t>1, 0) in pots containing CO soil (</w:t>
      </w:r>
      <w:r w:rsidRPr="001B1CBE">
        <w:rPr>
          <w:i/>
          <w:iCs/>
        </w:rPr>
        <w:t>n</w:t>
      </w:r>
      <w:r w:rsidRPr="00BC3E56">
        <w:t xml:space="preserve"> = 80). Error bars represent mean plus </w:t>
      </w:r>
      <w:r w:rsidR="00B34585">
        <w:t xml:space="preserve">one </w:t>
      </w:r>
      <w:r w:rsidRPr="00BC3E56">
        <w:t>standard error.</w:t>
      </w:r>
      <w:r w:rsidR="008656AC">
        <w:t xml:space="preserve"> Asterisks represent a P value ≤ 0.0</w:t>
      </w:r>
      <w:r w:rsidR="00F5346E">
        <w:t>1</w:t>
      </w:r>
      <w:r w:rsidR="008656AC">
        <w:t>.</w:t>
      </w:r>
    </w:p>
    <w:p w14:paraId="1C5BC62A" w14:textId="77777777" w:rsidR="005B4AD4" w:rsidRDefault="005B4AD4" w:rsidP="005B4AD4">
      <w:r>
        <w:rPr>
          <w:noProof/>
        </w:rPr>
        <w:lastRenderedPageBreak/>
        <w:drawing>
          <wp:inline distT="0" distB="0" distL="0" distR="0" wp14:anchorId="04BD1A6B" wp14:editId="65AB25CE">
            <wp:extent cx="3107410" cy="2914537"/>
            <wp:effectExtent l="0" t="0" r="4445" b="0"/>
            <wp:docPr id="9" name="Picture 9"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diagram,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811" cy="2940238"/>
                    </a:xfrm>
                    <a:prstGeom prst="rect">
                      <a:avLst/>
                    </a:prstGeom>
                  </pic:spPr>
                </pic:pic>
              </a:graphicData>
            </a:graphic>
          </wp:inline>
        </w:drawing>
      </w:r>
    </w:p>
    <w:p w14:paraId="07CDFF05" w14:textId="1E46F8C9" w:rsidR="005B4AD4" w:rsidRPr="00EA6541" w:rsidRDefault="005B4AD4" w:rsidP="005B4AD4">
      <w:r>
        <w:rPr>
          <w:b/>
          <w:bCs/>
        </w:rPr>
        <w:t>Figure 2</w:t>
      </w:r>
      <w:r w:rsidRPr="00EA6541">
        <w:rPr>
          <w:b/>
          <w:bCs/>
        </w:rPr>
        <w:t xml:space="preserve">. </w:t>
      </w:r>
      <w:r w:rsidRPr="00EA6541">
        <w:t>Percent of pots with plant growth representing</w:t>
      </w:r>
      <w:r w:rsidRPr="00EA6541">
        <w:rPr>
          <w:b/>
          <w:bCs/>
        </w:rPr>
        <w:t xml:space="preserve"> </w:t>
      </w:r>
      <w:r w:rsidRPr="00EA6541">
        <w:t>plant presence/absence (1, 0) in pots containing IL soil (</w:t>
      </w:r>
      <w:r w:rsidRPr="00EA6541">
        <w:rPr>
          <w:i/>
          <w:iCs/>
        </w:rPr>
        <w:t>n</w:t>
      </w:r>
      <w:r w:rsidRPr="00EA6541">
        <w:t xml:space="preserve"> = 80). Missing bars signify treatments without any plant presence. Error bars represent mean plus one standard error.</w:t>
      </w:r>
    </w:p>
    <w:p w14:paraId="29722E02" w14:textId="77777777" w:rsidR="005B4AD4" w:rsidRPr="00BC3E56" w:rsidRDefault="005B4AD4" w:rsidP="00227865"/>
    <w:p w14:paraId="243414D5" w14:textId="77777777" w:rsidR="00227865" w:rsidRPr="00BC3E56" w:rsidRDefault="00227865" w:rsidP="00227865"/>
    <w:p w14:paraId="31E9997E" w14:textId="7C96516F" w:rsidR="00BC560C" w:rsidRDefault="00227865" w:rsidP="00227865">
      <w:r w:rsidRPr="00BC3E56">
        <w:tab/>
      </w:r>
      <w:r w:rsidR="00AE0E95">
        <w:t xml:space="preserve">In CO soil, </w:t>
      </w:r>
      <w:r w:rsidR="00AE0E95" w:rsidRPr="000A6C65">
        <w:rPr>
          <w:i/>
          <w:iCs/>
        </w:rPr>
        <w:t>L. vulgaris</w:t>
      </w:r>
      <w:r w:rsidR="00AE0E95">
        <w:t xml:space="preserve"> shoot biomass was significantly greater in invaded than uninvaded soil (</w:t>
      </w:r>
      <w:r w:rsidR="00037A52">
        <w:t xml:space="preserve">Fig. 2, </w:t>
      </w:r>
      <w:r w:rsidR="00AE0E95" w:rsidRPr="006843DF">
        <w:rPr>
          <w:i/>
          <w:iCs/>
        </w:rPr>
        <w:t>X</w:t>
      </w:r>
      <w:r w:rsidR="00AE0E95" w:rsidRPr="006843DF">
        <w:rPr>
          <w:i/>
          <w:iCs/>
          <w:vertAlign w:val="superscript"/>
        </w:rPr>
        <w:t>2</w:t>
      </w:r>
      <w:r w:rsidR="00AE0E95" w:rsidRPr="006843DF">
        <w:rPr>
          <w:i/>
          <w:iCs/>
        </w:rPr>
        <w:t xml:space="preserve"> </w:t>
      </w:r>
      <w:r w:rsidR="00AE0E95">
        <w:t xml:space="preserve">= </w:t>
      </w:r>
      <w:r w:rsidR="00C25330">
        <w:t>3.98</w:t>
      </w:r>
      <w:r w:rsidR="00AE0E95">
        <w:t xml:space="preserve">, </w:t>
      </w:r>
      <w:r w:rsidR="00AE0E95" w:rsidRPr="006843DF">
        <w:rPr>
          <w:i/>
          <w:iCs/>
        </w:rPr>
        <w:t>P</w:t>
      </w:r>
      <w:r w:rsidR="00AE0E95">
        <w:t xml:space="preserve"> = 0.046)</w:t>
      </w:r>
      <w:r w:rsidR="005A7904">
        <w:t>, but not different between fertilized and control treatments</w:t>
      </w:r>
      <w:r w:rsidR="00AE0E95">
        <w:t xml:space="preserve">. </w:t>
      </w:r>
      <w:r w:rsidR="005A7904">
        <w:t xml:space="preserve">However, in IL soil, </w:t>
      </w:r>
      <w:r w:rsidR="005E29CB">
        <w:t xml:space="preserve">there was not enough data to compare </w:t>
      </w:r>
      <w:r w:rsidR="005A7904" w:rsidRPr="00305D55">
        <w:rPr>
          <w:i/>
          <w:iCs/>
        </w:rPr>
        <w:t>L. vulgaris</w:t>
      </w:r>
      <w:r w:rsidR="005A7904">
        <w:t xml:space="preserve"> shoot biomass between inva</w:t>
      </w:r>
      <w:r w:rsidR="00477310">
        <w:t xml:space="preserve">sion histories or fertilization treatments. </w:t>
      </w:r>
      <w:r w:rsidR="006775B8">
        <w:t xml:space="preserve">In </w:t>
      </w:r>
      <w:r w:rsidRPr="00BC3E56">
        <w:t>both CO and IL soils</w:t>
      </w:r>
      <w:r w:rsidR="00B81B0E">
        <w:t xml:space="preserve">, </w:t>
      </w:r>
      <w:r w:rsidRPr="00BC3E56">
        <w:t xml:space="preserve">native plant shoot biomass was not influenced by invasion history or fertilizer. </w:t>
      </w:r>
    </w:p>
    <w:p w14:paraId="10CAF65A" w14:textId="77777777" w:rsidR="00E63D26" w:rsidRDefault="00E63D26" w:rsidP="00227865"/>
    <w:p w14:paraId="440BBF31" w14:textId="77777777" w:rsidR="00193C6C" w:rsidRDefault="00193C6C" w:rsidP="00193C6C">
      <w:pPr>
        <w:rPr>
          <w:b/>
          <w:bCs/>
        </w:rPr>
      </w:pPr>
      <w:r>
        <w:rPr>
          <w:b/>
          <w:bCs/>
          <w:noProof/>
        </w:rPr>
        <w:drawing>
          <wp:inline distT="0" distB="0" distL="0" distR="0" wp14:anchorId="0D924B82" wp14:editId="1BE94E75">
            <wp:extent cx="2767154" cy="2575249"/>
            <wp:effectExtent l="0" t="0" r="1905" b="3175"/>
            <wp:docPr id="1551447815" name="Picture 155144781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diagram,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4845" cy="2601019"/>
                    </a:xfrm>
                    <a:prstGeom prst="rect">
                      <a:avLst/>
                    </a:prstGeom>
                  </pic:spPr>
                </pic:pic>
              </a:graphicData>
            </a:graphic>
          </wp:inline>
        </w:drawing>
      </w:r>
    </w:p>
    <w:p w14:paraId="11B2A5E0" w14:textId="35AD9649" w:rsidR="00193C6C" w:rsidRDefault="00193C6C" w:rsidP="00193C6C">
      <w:r>
        <w:rPr>
          <w:b/>
          <w:bCs/>
        </w:rPr>
        <w:t>Fig</w:t>
      </w:r>
      <w:r w:rsidR="0051136B">
        <w:rPr>
          <w:b/>
          <w:bCs/>
        </w:rPr>
        <w:t>ure</w:t>
      </w:r>
      <w:r>
        <w:rPr>
          <w:b/>
          <w:bCs/>
        </w:rPr>
        <w:t xml:space="preserve"> </w:t>
      </w:r>
      <w:r w:rsidR="0051136B">
        <w:rPr>
          <w:b/>
          <w:bCs/>
        </w:rPr>
        <w:t>3</w:t>
      </w:r>
      <w:r>
        <w:rPr>
          <w:b/>
          <w:bCs/>
        </w:rPr>
        <w:t xml:space="preserve">. </w:t>
      </w:r>
      <w:r>
        <w:t>Sh</w:t>
      </w:r>
      <w:r w:rsidRPr="00BC284E">
        <w:t xml:space="preserve">oot biomass for </w:t>
      </w:r>
      <w:r w:rsidRPr="00BC284E">
        <w:rPr>
          <w:i/>
          <w:iCs/>
        </w:rPr>
        <w:t xml:space="preserve">L. vulgaris </w:t>
      </w:r>
      <w:r w:rsidRPr="00BC284E">
        <w:t xml:space="preserve">and native plants grown in soil from </w:t>
      </w:r>
      <w:r>
        <w:t>CO</w:t>
      </w:r>
      <w:r w:rsidRPr="00BC284E">
        <w:t xml:space="preserve"> (n = </w:t>
      </w:r>
      <w:r>
        <w:t>47</w:t>
      </w:r>
      <w:r w:rsidRPr="00BC284E">
        <w:t>). Error bars represent mean plus standard error.</w:t>
      </w:r>
      <w:r>
        <w:t xml:space="preserve"> Asterisks represent a P value ≤ 0.05.</w:t>
      </w:r>
    </w:p>
    <w:p w14:paraId="696AABBD" w14:textId="77777777" w:rsidR="00E63D26" w:rsidRDefault="00E63D26" w:rsidP="00227865"/>
    <w:p w14:paraId="7D0FEBC5" w14:textId="084ED2A2" w:rsidR="00227865" w:rsidRPr="00BC3E56" w:rsidRDefault="0031628D" w:rsidP="00BC560C">
      <w:pPr>
        <w:ind w:firstLine="720"/>
      </w:pPr>
      <w:r>
        <w:lastRenderedPageBreak/>
        <w:t>I</w:t>
      </w:r>
      <w:r w:rsidR="00227865" w:rsidRPr="00BC3E56">
        <w:t xml:space="preserve">n CO soil, </w:t>
      </w:r>
      <w:r w:rsidR="00B249E8">
        <w:t xml:space="preserve">both </w:t>
      </w:r>
      <w:r w:rsidR="00227865" w:rsidRPr="00BC3E56">
        <w:rPr>
          <w:i/>
          <w:iCs/>
        </w:rPr>
        <w:t>L.</w:t>
      </w:r>
      <w:r w:rsidR="00227865" w:rsidRPr="00BC3E56">
        <w:t xml:space="preserve"> </w:t>
      </w:r>
      <w:r w:rsidR="00227865" w:rsidRPr="00BC3E56">
        <w:rPr>
          <w:i/>
          <w:iCs/>
        </w:rPr>
        <w:t xml:space="preserve">vulgaris </w:t>
      </w:r>
      <w:r w:rsidR="00B249E8">
        <w:t xml:space="preserve">and native plant </w:t>
      </w:r>
      <w:r w:rsidR="00227865" w:rsidRPr="00BC3E56">
        <w:t xml:space="preserve">root biomass was </w:t>
      </w:r>
      <w:r w:rsidR="00811C3C">
        <w:t xml:space="preserve">significantly </w:t>
      </w:r>
      <w:r w:rsidR="00B249E8">
        <w:t>different between</w:t>
      </w:r>
      <w:r w:rsidR="00811C3C">
        <w:t xml:space="preserve"> </w:t>
      </w:r>
      <w:r w:rsidR="00227865" w:rsidRPr="00BC3E56">
        <w:t>inva</w:t>
      </w:r>
      <w:r w:rsidR="00811C3C">
        <w:t xml:space="preserve">ded </w:t>
      </w:r>
      <w:r w:rsidR="00B249E8">
        <w:t xml:space="preserve">and </w:t>
      </w:r>
      <w:r w:rsidR="00811C3C">
        <w:t>uninvaded soil</w:t>
      </w:r>
      <w:r w:rsidR="00EC4E75">
        <w:t xml:space="preserve"> </w:t>
      </w:r>
      <w:r w:rsidR="00811C3C">
        <w:t xml:space="preserve">but was not different between </w:t>
      </w:r>
      <w:r w:rsidR="00227865" w:rsidRPr="00BC3E56">
        <w:t xml:space="preserve">fertilizer </w:t>
      </w:r>
      <w:r w:rsidR="001B1CBE">
        <w:t>treatment</w:t>
      </w:r>
      <w:r w:rsidR="00811C3C">
        <w:t xml:space="preserve">s or the interaction </w:t>
      </w:r>
      <w:r w:rsidR="00661454">
        <w:t>between</w:t>
      </w:r>
      <w:r w:rsidR="00811C3C">
        <w:t xml:space="preserve"> invasion history and fertilizer</w:t>
      </w:r>
      <w:r w:rsidR="00C2185F">
        <w:t xml:space="preserve"> (Fig. 3)</w:t>
      </w:r>
      <w:r w:rsidR="00227865" w:rsidRPr="00BC3E56">
        <w:t xml:space="preserve">. </w:t>
      </w:r>
      <w:r w:rsidR="00EC4E75" w:rsidRPr="00C677C4">
        <w:rPr>
          <w:i/>
          <w:iCs/>
        </w:rPr>
        <w:t>Linaria vulgaris</w:t>
      </w:r>
      <w:r w:rsidR="00EC4E75">
        <w:t xml:space="preserve"> root biomass was greater in invaded than uninvaded soil (</w:t>
      </w:r>
      <w:r w:rsidR="00EC4E75" w:rsidRPr="000A2B2C">
        <w:rPr>
          <w:i/>
          <w:iCs/>
        </w:rPr>
        <w:t>X</w:t>
      </w:r>
      <w:r w:rsidR="00EC4E75" w:rsidRPr="000A2B2C">
        <w:rPr>
          <w:i/>
          <w:iCs/>
          <w:vertAlign w:val="superscript"/>
        </w:rPr>
        <w:t>2</w:t>
      </w:r>
      <w:r w:rsidR="00EC4E75" w:rsidRPr="000A2B2C">
        <w:rPr>
          <w:i/>
          <w:iCs/>
        </w:rPr>
        <w:t xml:space="preserve"> </w:t>
      </w:r>
      <w:r w:rsidR="00EC4E75">
        <w:t xml:space="preserve">= 4.38, </w:t>
      </w:r>
      <w:r w:rsidR="00EC4E75" w:rsidRPr="000A2B2C">
        <w:rPr>
          <w:i/>
          <w:iCs/>
        </w:rPr>
        <w:t>P</w:t>
      </w:r>
      <w:r w:rsidR="00EC4E75">
        <w:t xml:space="preserve"> = 0.036), whereas n</w:t>
      </w:r>
      <w:r w:rsidR="00227865" w:rsidRPr="00BC3E56">
        <w:t xml:space="preserve">ative plant root biomass was </w:t>
      </w:r>
      <w:r w:rsidR="00B249E8">
        <w:t>greater in uninvaded than invaded soil</w:t>
      </w:r>
      <w:r w:rsidR="00A708F5">
        <w:t xml:space="preserve"> (</w:t>
      </w:r>
      <w:r w:rsidR="00C677C4" w:rsidRPr="00CF0438">
        <w:rPr>
          <w:i/>
          <w:iCs/>
        </w:rPr>
        <w:t>X</w:t>
      </w:r>
      <w:r w:rsidR="00C677C4" w:rsidRPr="00CF0438">
        <w:rPr>
          <w:i/>
          <w:iCs/>
          <w:vertAlign w:val="superscript"/>
        </w:rPr>
        <w:t>2</w:t>
      </w:r>
      <w:r w:rsidR="00C677C4">
        <w:t xml:space="preserve"> = </w:t>
      </w:r>
      <w:r w:rsidR="00CF0438">
        <w:t>4.31</w:t>
      </w:r>
      <w:r w:rsidR="00C677C4">
        <w:t xml:space="preserve">, </w:t>
      </w:r>
      <w:r w:rsidR="00C677C4" w:rsidRPr="00CF0438">
        <w:rPr>
          <w:i/>
          <w:iCs/>
        </w:rPr>
        <w:t>P</w:t>
      </w:r>
      <w:r w:rsidR="00C677C4">
        <w:t xml:space="preserve"> = 0.037)</w:t>
      </w:r>
      <w:r w:rsidR="00227865" w:rsidRPr="00BC3E56">
        <w:t xml:space="preserve">. In IL soil, native plant root biomass was </w:t>
      </w:r>
      <w:r w:rsidR="00871613">
        <w:t>not different between invasion histories, fertilizer treatments, or their interaction</w:t>
      </w:r>
      <w:r w:rsidR="008C2E36">
        <w:t xml:space="preserve">. </w:t>
      </w:r>
      <w:r w:rsidR="00227865" w:rsidRPr="00BC3E56">
        <w:t xml:space="preserve">However, not enough </w:t>
      </w:r>
      <w:r w:rsidR="00227865" w:rsidRPr="00BC3E56">
        <w:rPr>
          <w:i/>
          <w:iCs/>
        </w:rPr>
        <w:t xml:space="preserve">L. vulgaris </w:t>
      </w:r>
      <w:r w:rsidR="00227865" w:rsidRPr="00BC3E56">
        <w:t>plants sprouted in IL soil to make comparison</w:t>
      </w:r>
      <w:r w:rsidR="008D08CE">
        <w:t>s</w:t>
      </w:r>
      <w:r w:rsidR="00227865" w:rsidRPr="00BC3E56">
        <w:t xml:space="preserve"> across treatments.</w:t>
      </w:r>
    </w:p>
    <w:p w14:paraId="1F6A8459" w14:textId="77777777" w:rsidR="00227865" w:rsidRDefault="00227865" w:rsidP="00227865">
      <w:pPr>
        <w:rPr>
          <w:i/>
          <w:iCs/>
        </w:rPr>
      </w:pPr>
    </w:p>
    <w:p w14:paraId="25F4DD6F" w14:textId="77777777" w:rsidR="00C2185F" w:rsidRPr="00BC284E" w:rsidRDefault="00C2185F" w:rsidP="00C2185F">
      <w:r>
        <w:rPr>
          <w:noProof/>
        </w:rPr>
        <w:drawing>
          <wp:inline distT="0" distB="0" distL="0" distR="0" wp14:anchorId="4A31A9BC" wp14:editId="5B773CF2">
            <wp:extent cx="3012622" cy="2677886"/>
            <wp:effectExtent l="0" t="0" r="0" b="1905"/>
            <wp:docPr id="1666973363" name="Picture 1666973363" descr="A picture containing diagram, text,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text, screenshot, pla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4221" cy="2688196"/>
                    </a:xfrm>
                    <a:prstGeom prst="rect">
                      <a:avLst/>
                    </a:prstGeom>
                  </pic:spPr>
                </pic:pic>
              </a:graphicData>
            </a:graphic>
          </wp:inline>
        </w:drawing>
      </w:r>
    </w:p>
    <w:p w14:paraId="3DDFB50E" w14:textId="2623BFB5" w:rsidR="00C2185F" w:rsidRPr="00BC284E" w:rsidRDefault="00C2185F" w:rsidP="00C2185F">
      <w:r>
        <w:rPr>
          <w:b/>
          <w:bCs/>
        </w:rPr>
        <w:t>Fig</w:t>
      </w:r>
      <w:r w:rsidR="0051136B">
        <w:rPr>
          <w:b/>
          <w:bCs/>
        </w:rPr>
        <w:t>ure 4.</w:t>
      </w:r>
      <w:r>
        <w:rPr>
          <w:b/>
          <w:bCs/>
        </w:rPr>
        <w:t xml:space="preserve"> </w:t>
      </w:r>
      <w:r w:rsidRPr="00BC284E">
        <w:t xml:space="preserve">Root biomass for </w:t>
      </w:r>
      <w:r w:rsidRPr="00BC284E">
        <w:rPr>
          <w:i/>
          <w:iCs/>
        </w:rPr>
        <w:t xml:space="preserve">L. vulgaris </w:t>
      </w:r>
      <w:r w:rsidRPr="00BC284E">
        <w:t>and native plants grown in soil from CO (n = 47). Error bars represent mean plus standard error.</w:t>
      </w:r>
      <w:r>
        <w:t xml:space="preserve"> Asterisks represent a P value ≤ 0.05.</w:t>
      </w:r>
    </w:p>
    <w:p w14:paraId="16889D5C" w14:textId="77777777" w:rsidR="00C2185F" w:rsidRPr="00C2185F" w:rsidRDefault="00C2185F" w:rsidP="00227865"/>
    <w:p w14:paraId="546402AD" w14:textId="77777777" w:rsidR="00227865" w:rsidRPr="00BC3E56" w:rsidRDefault="00227865" w:rsidP="00227865">
      <w:pPr>
        <w:rPr>
          <w:i/>
          <w:iCs/>
        </w:rPr>
      </w:pPr>
      <w:r w:rsidRPr="00BC3E56">
        <w:rPr>
          <w:i/>
          <w:iCs/>
        </w:rPr>
        <w:t>Stable Isotope Analyses</w:t>
      </w:r>
    </w:p>
    <w:p w14:paraId="530A8A4B" w14:textId="4BFC6232" w:rsidR="00227865" w:rsidRPr="00BC3E56" w:rsidRDefault="00DE0AE2" w:rsidP="00470A6A">
      <w:pPr>
        <w:ind w:firstLine="720"/>
      </w:pPr>
      <w:r>
        <w:t xml:space="preserve">In CO soil, </w:t>
      </w:r>
      <w:r w:rsidR="00227865" w:rsidRPr="00BC3E56">
        <w:rPr>
          <w:i/>
          <w:iCs/>
        </w:rPr>
        <w:t xml:space="preserve">L. vulgaris </w:t>
      </w:r>
      <w:r w:rsidR="005263C3">
        <w:t xml:space="preserve">NUR </w:t>
      </w:r>
      <w:r>
        <w:t xml:space="preserve">and native plant NUR </w:t>
      </w:r>
      <w:r w:rsidR="00227865" w:rsidRPr="00BC3E56">
        <w:t>w</w:t>
      </w:r>
      <w:r>
        <w:t>ere</w:t>
      </w:r>
      <w:r w:rsidR="00227865" w:rsidRPr="00BC3E56">
        <w:t xml:space="preserve"> not </w:t>
      </w:r>
      <w:r w:rsidR="00731049">
        <w:t xml:space="preserve">significantly different between </w:t>
      </w:r>
      <w:r w:rsidR="00227865" w:rsidRPr="00BC3E56">
        <w:t>invasion history or fertilizer treatments (</w:t>
      </w:r>
      <w:r w:rsidR="00227865">
        <w:t xml:space="preserve">Appendix 1, Fig. </w:t>
      </w:r>
      <w:r w:rsidR="00C60A81">
        <w:t>3</w:t>
      </w:r>
      <w:r w:rsidR="00227865" w:rsidRPr="00BC3E56">
        <w:t xml:space="preserve">). In IL soil, native plant </w:t>
      </w:r>
      <w:r w:rsidR="00D1489F">
        <w:t xml:space="preserve">NUR </w:t>
      </w:r>
      <w:r w:rsidR="00227865" w:rsidRPr="00BC3E56">
        <w:t>w</w:t>
      </w:r>
      <w:r w:rsidR="00674ED1">
        <w:t xml:space="preserve">as </w:t>
      </w:r>
      <w:r w:rsidR="00227865" w:rsidRPr="00BC3E56">
        <w:t xml:space="preserve">not significantly </w:t>
      </w:r>
      <w:r w:rsidR="005E0BD8">
        <w:t xml:space="preserve">different between </w:t>
      </w:r>
      <w:r w:rsidR="00227865" w:rsidRPr="00BC3E56">
        <w:t>invasion history or fertilizer treatments (</w:t>
      </w:r>
      <w:r w:rsidR="00227865">
        <w:t xml:space="preserve">Appendix 1, Fig. </w:t>
      </w:r>
      <w:r w:rsidR="00C547A4">
        <w:t>4</w:t>
      </w:r>
      <w:r w:rsidR="00227865" w:rsidRPr="00BC3E56">
        <w:t xml:space="preserve">). </w:t>
      </w:r>
      <w:r w:rsidR="0059620B">
        <w:t>However, n</w:t>
      </w:r>
      <w:r w:rsidR="00227865" w:rsidRPr="00BC3E56">
        <w:t xml:space="preserve">ot enough </w:t>
      </w:r>
      <w:r w:rsidR="00227865" w:rsidRPr="00BC3E56">
        <w:rPr>
          <w:i/>
          <w:iCs/>
        </w:rPr>
        <w:t xml:space="preserve">L. vulgaris </w:t>
      </w:r>
      <w:r w:rsidR="00227865" w:rsidRPr="00BC3E56">
        <w:t xml:space="preserve">plants sprouted in IL soil to make a comparison </w:t>
      </w:r>
      <w:r w:rsidR="009E5533">
        <w:t xml:space="preserve">of </w:t>
      </w:r>
      <w:r w:rsidR="009E5533" w:rsidRPr="009E5533">
        <w:rPr>
          <w:i/>
          <w:iCs/>
        </w:rPr>
        <w:t>L. vulgaris</w:t>
      </w:r>
      <w:r w:rsidR="009E5533">
        <w:t xml:space="preserve"> NUR </w:t>
      </w:r>
      <w:r w:rsidR="00227865" w:rsidRPr="00BC3E56">
        <w:t>across treatments.</w:t>
      </w:r>
    </w:p>
    <w:p w14:paraId="4AE7CE5B" w14:textId="16C8175E" w:rsidR="00227865" w:rsidRPr="00BC3E56" w:rsidRDefault="00227865" w:rsidP="00227865"/>
    <w:p w14:paraId="3B17C88D" w14:textId="75D581D8" w:rsidR="00227865" w:rsidRPr="00BC3E56" w:rsidRDefault="00F53A22" w:rsidP="00227865">
      <w:pPr>
        <w:rPr>
          <w:i/>
          <w:iCs/>
        </w:rPr>
      </w:pPr>
      <w:r>
        <w:rPr>
          <w:i/>
          <w:iCs/>
        </w:rPr>
        <w:t>Soil Chemistry</w:t>
      </w:r>
      <w:r w:rsidR="00F634C2">
        <w:rPr>
          <w:i/>
          <w:iCs/>
        </w:rPr>
        <w:t xml:space="preserve"> and Texture</w:t>
      </w:r>
    </w:p>
    <w:p w14:paraId="1A759BF2" w14:textId="10A08AFF" w:rsidR="00227865" w:rsidRPr="00BC3E56" w:rsidRDefault="00227865" w:rsidP="00227865">
      <w:pPr>
        <w:ind w:firstLine="720"/>
      </w:pPr>
      <w:r w:rsidRPr="00BC3E56">
        <w:t xml:space="preserve">All </w:t>
      </w:r>
      <w:r w:rsidR="00F53A22">
        <w:t xml:space="preserve">soil chemistry </w:t>
      </w:r>
      <w:r w:rsidR="008411F9">
        <w:t xml:space="preserve">and texture </w:t>
      </w:r>
      <w:r w:rsidR="00F53A22">
        <w:t xml:space="preserve">variables </w:t>
      </w:r>
      <w:r w:rsidRPr="00BC3E56">
        <w:t xml:space="preserve">varied significantly by state, except for </w:t>
      </w:r>
      <w:r w:rsidRPr="006C75ED">
        <w:t>NO</w:t>
      </w:r>
      <w:r>
        <w:rPr>
          <w:vertAlign w:val="subscript"/>
        </w:rPr>
        <w:t>3</w:t>
      </w:r>
      <w:r>
        <w:t xml:space="preserve"> and </w:t>
      </w:r>
      <w:r w:rsidRPr="006C75ED">
        <w:t>PO4</w:t>
      </w:r>
      <w:r w:rsidRPr="00BC3E56">
        <w:t xml:space="preserve"> (Table 2</w:t>
      </w:r>
      <w:r w:rsidR="004502BA">
        <w:t>, Fig. 4</w:t>
      </w:r>
      <w:r w:rsidRPr="00BC3E56">
        <w:t xml:space="preserve">). </w:t>
      </w:r>
      <w:r>
        <w:t>A</w:t>
      </w:r>
      <w:r w:rsidRPr="00BC3E56">
        <w:t>mmonium</w:t>
      </w:r>
      <w:r w:rsidR="007A065B">
        <w:t xml:space="preserve"> and </w:t>
      </w:r>
      <w:r w:rsidR="001962CA">
        <w:t>c</w:t>
      </w:r>
      <w:r w:rsidR="007A065B">
        <w:t xml:space="preserve">lay </w:t>
      </w:r>
      <w:r w:rsidRPr="00BC3E56">
        <w:t>w</w:t>
      </w:r>
      <w:r w:rsidR="007A065B">
        <w:t>ere</w:t>
      </w:r>
      <w:r w:rsidRPr="00BC3E56">
        <w:t xml:space="preserve"> significantly higher in CO soil than IL soil. In contrast, pH</w:t>
      </w:r>
      <w:r w:rsidR="001962CA">
        <w:t>, silt, and sand</w:t>
      </w:r>
      <w:r w:rsidRPr="00BC3E56">
        <w:t xml:space="preserve"> w</w:t>
      </w:r>
      <w:r w:rsidR="001962CA">
        <w:t>ere</w:t>
      </w:r>
      <w:r w:rsidRPr="00BC3E56">
        <w:t xml:space="preserve"> significantly higher in IL soil than CO soil</w:t>
      </w:r>
      <w:r w:rsidR="001A6A08">
        <w:t xml:space="preserve">. </w:t>
      </w:r>
      <w:r w:rsidR="00045D2F">
        <w:t>None of the</w:t>
      </w:r>
      <w:r w:rsidR="001A6A08">
        <w:t xml:space="preserve"> soil chemistry and texture variables</w:t>
      </w:r>
      <w:r w:rsidRPr="00BC3E56">
        <w:t xml:space="preserve"> were significantly </w:t>
      </w:r>
      <w:r w:rsidR="00045D2F">
        <w:t xml:space="preserve">different between </w:t>
      </w:r>
      <w:r w:rsidRPr="00BC3E56">
        <w:t xml:space="preserve">invasion </w:t>
      </w:r>
      <w:r w:rsidR="00F54B27">
        <w:t xml:space="preserve">histories </w:t>
      </w:r>
      <w:r w:rsidRPr="00BC3E56">
        <w:t>or the interaction between state and invasion</w:t>
      </w:r>
      <w:r w:rsidR="00F25C4F">
        <w:t xml:space="preserve"> history</w:t>
      </w:r>
      <w:r w:rsidRPr="00BC3E56">
        <w:t>.</w:t>
      </w:r>
    </w:p>
    <w:p w14:paraId="2CEC5AC6" w14:textId="77777777" w:rsidR="00227865" w:rsidRPr="00BC3E56" w:rsidRDefault="00227865" w:rsidP="00227865">
      <w:pPr>
        <w:spacing w:line="480" w:lineRule="auto"/>
      </w:pPr>
    </w:p>
    <w:p w14:paraId="707D9755" w14:textId="32C877B7" w:rsidR="00152D53" w:rsidRPr="00702A26" w:rsidRDefault="00152D53" w:rsidP="00E862E4">
      <w:r w:rsidRPr="00702A26">
        <w:rPr>
          <w:b/>
          <w:bCs/>
        </w:rPr>
        <w:t xml:space="preserve">Table </w:t>
      </w:r>
      <w:r w:rsidR="00824064">
        <w:rPr>
          <w:b/>
          <w:bCs/>
        </w:rPr>
        <w:t>1</w:t>
      </w:r>
      <w:r w:rsidRPr="00702A26">
        <w:rPr>
          <w:b/>
          <w:bCs/>
        </w:rPr>
        <w:t xml:space="preserve">. </w:t>
      </w:r>
      <w:r w:rsidRPr="00702A26">
        <w:t xml:space="preserve">Summary of soil </w:t>
      </w:r>
      <w:r w:rsidR="001348A0">
        <w:t xml:space="preserve">chemistry and texture variables </w:t>
      </w:r>
      <w:r w:rsidRPr="00702A26">
        <w:t xml:space="preserve">by state of collection and invasion history including means </w:t>
      </w:r>
      <w:r>
        <w:sym w:font="Symbol" w:char="F0B1"/>
      </w:r>
      <w:r w:rsidRPr="00702A26">
        <w:t xml:space="preserve"> standard error and </w:t>
      </w:r>
      <w:r w:rsidR="002905D6">
        <w:t xml:space="preserve">best-fit </w:t>
      </w:r>
      <w:r w:rsidR="0050742B">
        <w:t xml:space="preserve">model </w:t>
      </w:r>
      <w:r w:rsidR="002905D6">
        <w:t>results</w:t>
      </w:r>
      <w:r w:rsidRPr="00702A26">
        <w:t>. Significant p-values are denoted in bold.</w:t>
      </w:r>
    </w:p>
    <w:tbl>
      <w:tblPr>
        <w:tblStyle w:val="PlainTable4"/>
        <w:tblW w:w="10620" w:type="dxa"/>
        <w:tblLayout w:type="fixed"/>
        <w:tblLook w:val="04A0" w:firstRow="1" w:lastRow="0" w:firstColumn="1" w:lastColumn="0" w:noHBand="0" w:noVBand="1"/>
      </w:tblPr>
      <w:tblGrid>
        <w:gridCol w:w="900"/>
        <w:gridCol w:w="90"/>
        <w:gridCol w:w="1350"/>
        <w:gridCol w:w="936"/>
        <w:gridCol w:w="774"/>
        <w:gridCol w:w="1440"/>
        <w:gridCol w:w="1710"/>
        <w:gridCol w:w="1170"/>
        <w:gridCol w:w="1170"/>
        <w:gridCol w:w="1080"/>
      </w:tblGrid>
      <w:tr w:rsidR="00152D53" w:rsidRPr="00702A26" w14:paraId="14901338" w14:textId="77777777" w:rsidTr="00FE789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00" w:type="dxa"/>
          </w:tcPr>
          <w:p w14:paraId="1D2398FC" w14:textId="77777777" w:rsidR="00152D53" w:rsidRPr="00702A26" w:rsidRDefault="00152D53" w:rsidP="00E862E4">
            <w:pPr>
              <w:rPr>
                <w:b w:val="0"/>
                <w:bCs w:val="0"/>
              </w:rPr>
            </w:pPr>
          </w:p>
        </w:tc>
        <w:tc>
          <w:tcPr>
            <w:tcW w:w="2376" w:type="dxa"/>
            <w:gridSpan w:val="3"/>
          </w:tcPr>
          <w:p w14:paraId="79B0ADD2" w14:textId="77777777" w:rsidR="00152D53" w:rsidRPr="00702A26" w:rsidRDefault="00152D53" w:rsidP="00E862E4">
            <w:pPr>
              <w:jc w:val="center"/>
              <w:cnfStyle w:val="100000000000" w:firstRow="1" w:lastRow="0" w:firstColumn="0" w:lastColumn="0" w:oddVBand="0" w:evenVBand="0" w:oddHBand="0" w:evenHBand="0" w:firstRowFirstColumn="0" w:firstRowLastColumn="0" w:lastRowFirstColumn="0" w:lastRowLastColumn="0"/>
              <w:rPr>
                <w:b w:val="0"/>
                <w:bCs w:val="0"/>
              </w:rPr>
            </w:pPr>
            <w:r w:rsidRPr="00702A26">
              <w:rPr>
                <w:b w:val="0"/>
                <w:bCs w:val="0"/>
              </w:rPr>
              <w:t>CO Soil</w:t>
            </w:r>
          </w:p>
        </w:tc>
        <w:tc>
          <w:tcPr>
            <w:tcW w:w="3924" w:type="dxa"/>
            <w:gridSpan w:val="3"/>
          </w:tcPr>
          <w:p w14:paraId="0A094CED" w14:textId="77777777" w:rsidR="00152D53" w:rsidRPr="00702A26" w:rsidRDefault="00152D53" w:rsidP="00E862E4">
            <w:pPr>
              <w:jc w:val="center"/>
              <w:cnfStyle w:val="100000000000" w:firstRow="1" w:lastRow="0" w:firstColumn="0" w:lastColumn="0" w:oddVBand="0" w:evenVBand="0" w:oddHBand="0" w:evenHBand="0" w:firstRowFirstColumn="0" w:firstRowLastColumn="0" w:lastRowFirstColumn="0" w:lastRowLastColumn="0"/>
              <w:rPr>
                <w:b w:val="0"/>
                <w:bCs w:val="0"/>
              </w:rPr>
            </w:pPr>
            <w:r w:rsidRPr="00702A26">
              <w:rPr>
                <w:b w:val="0"/>
                <w:bCs w:val="0"/>
              </w:rPr>
              <w:t>IL Soil</w:t>
            </w:r>
          </w:p>
        </w:tc>
        <w:tc>
          <w:tcPr>
            <w:tcW w:w="3420" w:type="dxa"/>
            <w:gridSpan w:val="3"/>
          </w:tcPr>
          <w:p w14:paraId="21D8C87C" w14:textId="77777777" w:rsidR="00152D53" w:rsidRPr="00702A26" w:rsidRDefault="00152D53" w:rsidP="00E862E4">
            <w:pPr>
              <w:cnfStyle w:val="100000000000" w:firstRow="1" w:lastRow="0" w:firstColumn="0" w:lastColumn="0" w:oddVBand="0" w:evenVBand="0" w:oddHBand="0" w:evenHBand="0" w:firstRowFirstColumn="0" w:firstRowLastColumn="0" w:lastRowFirstColumn="0" w:lastRowLastColumn="0"/>
              <w:rPr>
                <w:b w:val="0"/>
                <w:bCs w:val="0"/>
              </w:rPr>
            </w:pPr>
            <w:r w:rsidRPr="00702A26">
              <w:rPr>
                <w:b w:val="0"/>
                <w:bCs w:val="0"/>
              </w:rPr>
              <w:t>Statistical Comparisons</w:t>
            </w:r>
          </w:p>
        </w:tc>
      </w:tr>
      <w:tr w:rsidR="00FE7896" w:rsidRPr="00702A26" w14:paraId="1A02062B" w14:textId="77777777" w:rsidTr="00FE789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90" w:type="dxa"/>
            <w:gridSpan w:val="2"/>
          </w:tcPr>
          <w:p w14:paraId="763DFA78" w14:textId="77777777" w:rsidR="00152D53" w:rsidRPr="002007AD" w:rsidRDefault="00152D53" w:rsidP="00E862E4">
            <w:pPr>
              <w:rPr>
                <w:b w:val="0"/>
                <w:bCs w:val="0"/>
              </w:rPr>
            </w:pPr>
            <w:r w:rsidRPr="002007AD">
              <w:rPr>
                <w:b w:val="0"/>
                <w:bCs w:val="0"/>
              </w:rPr>
              <w:lastRenderedPageBreak/>
              <w:t>Soil Factor</w:t>
            </w:r>
          </w:p>
        </w:tc>
        <w:tc>
          <w:tcPr>
            <w:tcW w:w="1350" w:type="dxa"/>
          </w:tcPr>
          <w:p w14:paraId="42BED776" w14:textId="77777777" w:rsidR="00152D53" w:rsidRPr="002007AD" w:rsidRDefault="00152D53" w:rsidP="00E862E4">
            <w:pPr>
              <w:cnfStyle w:val="000000100000" w:firstRow="0" w:lastRow="0" w:firstColumn="0" w:lastColumn="0" w:oddVBand="0" w:evenVBand="0" w:oddHBand="1" w:evenHBand="0" w:firstRowFirstColumn="0" w:firstRowLastColumn="0" w:lastRowFirstColumn="0" w:lastRowLastColumn="0"/>
            </w:pPr>
            <w:r w:rsidRPr="002007AD">
              <w:t>Invaded</w:t>
            </w:r>
          </w:p>
        </w:tc>
        <w:tc>
          <w:tcPr>
            <w:tcW w:w="1710" w:type="dxa"/>
            <w:gridSpan w:val="2"/>
          </w:tcPr>
          <w:p w14:paraId="2E5CAC19" w14:textId="77777777" w:rsidR="00152D53" w:rsidRPr="002007AD" w:rsidRDefault="00152D53" w:rsidP="00E862E4">
            <w:pPr>
              <w:cnfStyle w:val="000000100000" w:firstRow="0" w:lastRow="0" w:firstColumn="0" w:lastColumn="0" w:oddVBand="0" w:evenVBand="0" w:oddHBand="1" w:evenHBand="0" w:firstRowFirstColumn="0" w:firstRowLastColumn="0" w:lastRowFirstColumn="0" w:lastRowLastColumn="0"/>
            </w:pPr>
            <w:r w:rsidRPr="002007AD">
              <w:t>Uninvaded</w:t>
            </w:r>
          </w:p>
        </w:tc>
        <w:tc>
          <w:tcPr>
            <w:tcW w:w="1440" w:type="dxa"/>
          </w:tcPr>
          <w:p w14:paraId="344319F1" w14:textId="77777777" w:rsidR="00152D53" w:rsidRPr="002007AD" w:rsidRDefault="00152D53" w:rsidP="00E862E4">
            <w:pPr>
              <w:cnfStyle w:val="000000100000" w:firstRow="0" w:lastRow="0" w:firstColumn="0" w:lastColumn="0" w:oddVBand="0" w:evenVBand="0" w:oddHBand="1" w:evenHBand="0" w:firstRowFirstColumn="0" w:firstRowLastColumn="0" w:lastRowFirstColumn="0" w:lastRowLastColumn="0"/>
            </w:pPr>
            <w:r w:rsidRPr="002007AD">
              <w:t>Invaded</w:t>
            </w:r>
          </w:p>
        </w:tc>
        <w:tc>
          <w:tcPr>
            <w:tcW w:w="1710" w:type="dxa"/>
          </w:tcPr>
          <w:p w14:paraId="0D470ABF" w14:textId="77777777" w:rsidR="00152D53" w:rsidRPr="002007AD" w:rsidRDefault="00152D53" w:rsidP="00E862E4">
            <w:pPr>
              <w:cnfStyle w:val="000000100000" w:firstRow="0" w:lastRow="0" w:firstColumn="0" w:lastColumn="0" w:oddVBand="0" w:evenVBand="0" w:oddHBand="1" w:evenHBand="0" w:firstRowFirstColumn="0" w:firstRowLastColumn="0" w:lastRowFirstColumn="0" w:lastRowLastColumn="0"/>
            </w:pPr>
            <w:r w:rsidRPr="002007AD">
              <w:t>Uninvaded</w:t>
            </w:r>
          </w:p>
        </w:tc>
        <w:tc>
          <w:tcPr>
            <w:tcW w:w="1170" w:type="dxa"/>
          </w:tcPr>
          <w:p w14:paraId="7973ECD8" w14:textId="77777777" w:rsidR="00152D53" w:rsidRPr="002007AD" w:rsidRDefault="00152D53" w:rsidP="00E862E4">
            <w:pPr>
              <w:jc w:val="both"/>
              <w:cnfStyle w:val="000000100000" w:firstRow="0" w:lastRow="0" w:firstColumn="0" w:lastColumn="0" w:oddVBand="0" w:evenVBand="0" w:oddHBand="1" w:evenHBand="0" w:firstRowFirstColumn="0" w:firstRowLastColumn="0" w:lastRowFirstColumn="0" w:lastRowLastColumn="0"/>
            </w:pPr>
            <w:r w:rsidRPr="002007AD">
              <w:t>State</w:t>
            </w:r>
          </w:p>
        </w:tc>
        <w:tc>
          <w:tcPr>
            <w:tcW w:w="1170" w:type="dxa"/>
          </w:tcPr>
          <w:p w14:paraId="6F5201CB" w14:textId="77777777" w:rsidR="00152D53" w:rsidRPr="002007AD" w:rsidRDefault="00152D53" w:rsidP="00E862E4">
            <w:pPr>
              <w:jc w:val="both"/>
              <w:cnfStyle w:val="000000100000" w:firstRow="0" w:lastRow="0" w:firstColumn="0" w:lastColumn="0" w:oddVBand="0" w:evenVBand="0" w:oddHBand="1" w:evenHBand="0" w:firstRowFirstColumn="0" w:firstRowLastColumn="0" w:lastRowFirstColumn="0" w:lastRowLastColumn="0"/>
            </w:pPr>
            <w:r w:rsidRPr="002007AD">
              <w:t>Invasion</w:t>
            </w:r>
          </w:p>
        </w:tc>
        <w:tc>
          <w:tcPr>
            <w:tcW w:w="1080" w:type="dxa"/>
          </w:tcPr>
          <w:p w14:paraId="381BB52B" w14:textId="77777777" w:rsidR="00152D53" w:rsidRPr="002007AD" w:rsidRDefault="00152D53" w:rsidP="00E862E4">
            <w:pPr>
              <w:jc w:val="both"/>
              <w:cnfStyle w:val="000000100000" w:firstRow="0" w:lastRow="0" w:firstColumn="0" w:lastColumn="0" w:oddVBand="0" w:evenVBand="0" w:oddHBand="1" w:evenHBand="0" w:firstRowFirstColumn="0" w:firstRowLastColumn="0" w:lastRowFirstColumn="0" w:lastRowLastColumn="0"/>
            </w:pPr>
            <w:r w:rsidRPr="002007AD">
              <w:t>State* Invasion</w:t>
            </w:r>
          </w:p>
        </w:tc>
      </w:tr>
      <w:tr w:rsidR="00152D53" w:rsidRPr="00702A26" w14:paraId="552778AF" w14:textId="77777777" w:rsidTr="00FE7896">
        <w:trPr>
          <w:trHeight w:val="513"/>
        </w:trPr>
        <w:tc>
          <w:tcPr>
            <w:cnfStyle w:val="001000000000" w:firstRow="0" w:lastRow="0" w:firstColumn="1" w:lastColumn="0" w:oddVBand="0" w:evenVBand="0" w:oddHBand="0" w:evenHBand="0" w:firstRowFirstColumn="0" w:firstRowLastColumn="0" w:lastRowFirstColumn="0" w:lastRowLastColumn="0"/>
            <w:tcW w:w="900" w:type="dxa"/>
          </w:tcPr>
          <w:p w14:paraId="5AB36767" w14:textId="77777777" w:rsidR="00152D53" w:rsidRPr="00702A26" w:rsidRDefault="00152D53" w:rsidP="00E862E4">
            <w:pPr>
              <w:rPr>
                <w:b w:val="0"/>
                <w:bCs w:val="0"/>
              </w:rPr>
            </w:pPr>
            <w:r w:rsidRPr="00702A26">
              <w:rPr>
                <w:b w:val="0"/>
                <w:bCs w:val="0"/>
              </w:rPr>
              <w:t>pH</w:t>
            </w:r>
          </w:p>
        </w:tc>
        <w:tc>
          <w:tcPr>
            <w:tcW w:w="1440" w:type="dxa"/>
            <w:gridSpan w:val="2"/>
          </w:tcPr>
          <w:p w14:paraId="2F92B4B5" w14:textId="0658BD41"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6.6</w:t>
            </w:r>
            <w:r w:rsidR="00047BA8">
              <w:t>5</w:t>
            </w:r>
            <w:r w:rsidRPr="00702A26">
              <w:t xml:space="preserve"> </w:t>
            </w:r>
            <w:r>
              <w:sym w:font="Symbol" w:char="F0B1"/>
            </w:r>
            <w:r>
              <w:t xml:space="preserve"> </w:t>
            </w:r>
            <w:r w:rsidRPr="00702A26">
              <w:t>0.</w:t>
            </w:r>
            <w:r>
              <w:t>1</w:t>
            </w:r>
          </w:p>
        </w:tc>
        <w:tc>
          <w:tcPr>
            <w:tcW w:w="1710" w:type="dxa"/>
            <w:gridSpan w:val="2"/>
          </w:tcPr>
          <w:p w14:paraId="2A2B58E0" w14:textId="07DFFB1D"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6.</w:t>
            </w:r>
            <w:r w:rsidR="00047BA8">
              <w:t>66</w:t>
            </w:r>
            <w:r w:rsidRPr="00702A26">
              <w:t xml:space="preserve"> </w:t>
            </w:r>
            <w:r>
              <w:sym w:font="Symbol" w:char="F0B1"/>
            </w:r>
            <w:r w:rsidRPr="00702A26">
              <w:t xml:space="preserve"> 0.</w:t>
            </w:r>
            <w:r w:rsidR="00047BA8">
              <w:t>1</w:t>
            </w:r>
          </w:p>
        </w:tc>
        <w:tc>
          <w:tcPr>
            <w:tcW w:w="1440" w:type="dxa"/>
          </w:tcPr>
          <w:p w14:paraId="5BFD4A09" w14:textId="14323E5C"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7.8</w:t>
            </w:r>
            <w:r w:rsidR="00C30157">
              <w:t>9</w:t>
            </w:r>
            <w:r w:rsidRPr="00702A26">
              <w:t xml:space="preserve"> </w:t>
            </w:r>
            <w:r>
              <w:sym w:font="Symbol" w:char="F0B1"/>
            </w:r>
            <w:r w:rsidRPr="00702A26">
              <w:t xml:space="preserve"> 0.1</w:t>
            </w:r>
          </w:p>
        </w:tc>
        <w:tc>
          <w:tcPr>
            <w:tcW w:w="1710" w:type="dxa"/>
          </w:tcPr>
          <w:p w14:paraId="1F0E321C" w14:textId="69462AF5" w:rsidR="00152D53" w:rsidRPr="00702A26" w:rsidRDefault="00C30157" w:rsidP="00E862E4">
            <w:pPr>
              <w:cnfStyle w:val="000000000000" w:firstRow="0" w:lastRow="0" w:firstColumn="0" w:lastColumn="0" w:oddVBand="0" w:evenVBand="0" w:oddHBand="0" w:evenHBand="0" w:firstRowFirstColumn="0" w:firstRowLastColumn="0" w:lastRowFirstColumn="0" w:lastRowLastColumn="0"/>
            </w:pPr>
            <w:r>
              <w:t>7.99</w:t>
            </w:r>
            <w:r w:rsidR="00152D53" w:rsidRPr="00702A26">
              <w:t xml:space="preserve"> </w:t>
            </w:r>
            <w:r w:rsidR="00152D53">
              <w:sym w:font="Symbol" w:char="F0B1"/>
            </w:r>
            <w:r w:rsidR="00152D53" w:rsidRPr="00702A26">
              <w:t xml:space="preserve"> 0.</w:t>
            </w:r>
            <w:r w:rsidR="00152D53">
              <w:t>1</w:t>
            </w:r>
          </w:p>
        </w:tc>
        <w:tc>
          <w:tcPr>
            <w:tcW w:w="1170" w:type="dxa"/>
          </w:tcPr>
          <w:p w14:paraId="7EA512CB" w14:textId="77777777" w:rsidR="00152D53" w:rsidRDefault="00152D53" w:rsidP="00E862E4">
            <w:pPr>
              <w:cnfStyle w:val="000000000000" w:firstRow="0" w:lastRow="0" w:firstColumn="0" w:lastColumn="0" w:oddVBand="0" w:evenVBand="0" w:oddHBand="0" w:evenHBand="0" w:firstRowFirstColumn="0" w:firstRowLastColumn="0" w:lastRowFirstColumn="0" w:lastRowLastColumn="0"/>
              <w:rPr>
                <w:b/>
                <w:bCs/>
              </w:rPr>
            </w:pPr>
            <w:r w:rsidRPr="00702A26">
              <w:rPr>
                <w:b/>
                <w:bCs/>
              </w:rPr>
              <w:t>&lt;0.001</w:t>
            </w:r>
          </w:p>
          <w:p w14:paraId="1DCEDF8C" w14:textId="551E9201"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w:t>
            </w:r>
            <w:r w:rsidR="000F7321">
              <w:t>78</w:t>
            </w:r>
          </w:p>
          <w:p w14:paraId="2462C39F" w14:textId="7DC3852E" w:rsidR="00152D53" w:rsidRPr="00A44DA6" w:rsidRDefault="00152D53" w:rsidP="00E862E4">
            <w:pPr>
              <w:cnfStyle w:val="000000000000" w:firstRow="0" w:lastRow="0" w:firstColumn="0" w:lastColumn="0" w:oddVBand="0" w:evenVBand="0" w:oddHBand="0" w:evenHBand="0" w:firstRowFirstColumn="0" w:firstRowLastColumn="0" w:lastRowFirstColumn="0" w:lastRowLastColumn="0"/>
            </w:pPr>
            <w:proofErr w:type="spellStart"/>
            <w:r>
              <w:t>df</w:t>
            </w:r>
            <w:proofErr w:type="spellEnd"/>
            <w:r>
              <w:t xml:space="preserve"> = </w:t>
            </w:r>
            <w:r w:rsidR="000F7321">
              <w:t>6</w:t>
            </w:r>
            <w:r w:rsidR="00D5592F">
              <w:t>8</w:t>
            </w:r>
          </w:p>
        </w:tc>
        <w:tc>
          <w:tcPr>
            <w:tcW w:w="1170" w:type="dxa"/>
          </w:tcPr>
          <w:p w14:paraId="7BF7625B" w14:textId="425F8967" w:rsidR="00152D53" w:rsidRDefault="00152D53" w:rsidP="00E862E4">
            <w:pPr>
              <w:cnfStyle w:val="000000000000" w:firstRow="0" w:lastRow="0" w:firstColumn="0" w:lastColumn="0" w:oddVBand="0" w:evenVBand="0" w:oddHBand="0" w:evenHBand="0" w:firstRowFirstColumn="0" w:firstRowLastColumn="0" w:lastRowFirstColumn="0" w:lastRowLastColumn="0"/>
            </w:pPr>
            <w:r w:rsidRPr="00702A26">
              <w:t>0.</w:t>
            </w:r>
            <w:r w:rsidR="00007117">
              <w:t>230</w:t>
            </w:r>
          </w:p>
          <w:p w14:paraId="5C8534B8" w14:textId="119714BB"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 xml:space="preserve">2 </w:t>
            </w:r>
            <w:r>
              <w:t xml:space="preserve">= </w:t>
            </w:r>
            <w:r w:rsidR="0032082B">
              <w:t>71</w:t>
            </w:r>
          </w:p>
          <w:p w14:paraId="7D4453D4" w14:textId="329B9518" w:rsidR="00152D53" w:rsidRPr="00A44DA6" w:rsidRDefault="00152D53" w:rsidP="00E862E4">
            <w:pPr>
              <w:cnfStyle w:val="000000000000" w:firstRow="0" w:lastRow="0" w:firstColumn="0" w:lastColumn="0" w:oddVBand="0" w:evenVBand="0" w:oddHBand="0" w:evenHBand="0" w:firstRowFirstColumn="0" w:firstRowLastColumn="0" w:lastRowFirstColumn="0" w:lastRowLastColumn="0"/>
            </w:pPr>
            <w:proofErr w:type="spellStart"/>
            <w:r>
              <w:t>df</w:t>
            </w:r>
            <w:proofErr w:type="spellEnd"/>
            <w:r>
              <w:t xml:space="preserve"> = </w:t>
            </w:r>
            <w:r w:rsidR="0032082B">
              <w:t>6</w:t>
            </w:r>
            <w:r w:rsidR="00415255">
              <w:t>8</w:t>
            </w:r>
          </w:p>
        </w:tc>
        <w:tc>
          <w:tcPr>
            <w:tcW w:w="1080" w:type="dxa"/>
          </w:tcPr>
          <w:p w14:paraId="4150D5D1" w14:textId="6700E954"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0.</w:t>
            </w:r>
            <w:r w:rsidR="00995258">
              <w:t>588</w:t>
            </w:r>
          </w:p>
        </w:tc>
      </w:tr>
      <w:tr w:rsidR="00152D53" w:rsidRPr="00702A26" w14:paraId="0EAE0F78" w14:textId="77777777" w:rsidTr="00FE789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00" w:type="dxa"/>
          </w:tcPr>
          <w:p w14:paraId="664DAF88" w14:textId="77777777" w:rsidR="00152D53" w:rsidRPr="008A1154" w:rsidRDefault="00152D53" w:rsidP="00E862E4">
            <w:pPr>
              <w:rPr>
                <w:b w:val="0"/>
                <w:bCs w:val="0"/>
              </w:rPr>
            </w:pPr>
            <w:r w:rsidRPr="00702A26">
              <w:rPr>
                <w:b w:val="0"/>
                <w:bCs w:val="0"/>
              </w:rPr>
              <w:t>NO</w:t>
            </w:r>
            <w:r w:rsidRPr="00702A26">
              <w:rPr>
                <w:b w:val="0"/>
                <w:bCs w:val="0"/>
                <w:vertAlign w:val="subscript"/>
              </w:rPr>
              <w:t>3</w:t>
            </w:r>
            <w:r>
              <w:rPr>
                <w:b w:val="0"/>
                <w:bCs w:val="0"/>
                <w:vertAlign w:val="subscript"/>
              </w:rPr>
              <w:t xml:space="preserve"> </w:t>
            </w:r>
            <w:r>
              <w:rPr>
                <w:b w:val="0"/>
                <w:bCs w:val="0"/>
              </w:rPr>
              <w:t>(</w:t>
            </w:r>
            <w:r>
              <w:rPr>
                <w:b w:val="0"/>
                <w:bCs w:val="0"/>
              </w:rPr>
              <w:sym w:font="Symbol" w:char="F06D"/>
            </w:r>
            <w:r>
              <w:rPr>
                <w:b w:val="0"/>
                <w:bCs w:val="0"/>
              </w:rPr>
              <w:t>/g)</w:t>
            </w:r>
          </w:p>
        </w:tc>
        <w:tc>
          <w:tcPr>
            <w:tcW w:w="1440" w:type="dxa"/>
            <w:gridSpan w:val="2"/>
          </w:tcPr>
          <w:p w14:paraId="4D53EC11" w14:textId="78FAE9DE"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 xml:space="preserve">13.6 </w:t>
            </w:r>
            <w:r>
              <w:sym w:font="Symbol" w:char="F0B1"/>
            </w:r>
            <w:r w:rsidRPr="00702A26">
              <w:t xml:space="preserve"> </w:t>
            </w:r>
            <w:r w:rsidR="00AE4F74">
              <w:t>1</w:t>
            </w:r>
            <w:r w:rsidRPr="00702A26">
              <w:t>.0</w:t>
            </w:r>
          </w:p>
        </w:tc>
        <w:tc>
          <w:tcPr>
            <w:tcW w:w="1710" w:type="dxa"/>
            <w:gridSpan w:val="2"/>
          </w:tcPr>
          <w:p w14:paraId="27942517" w14:textId="3FAC99B2"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1</w:t>
            </w:r>
            <w:r w:rsidR="00AE4F74">
              <w:t>3.8</w:t>
            </w:r>
            <w:r w:rsidRPr="00702A26">
              <w:t xml:space="preserve"> </w:t>
            </w:r>
            <w:r>
              <w:sym w:font="Symbol" w:char="F0B1"/>
            </w:r>
            <w:r w:rsidRPr="00702A26">
              <w:t xml:space="preserve"> </w:t>
            </w:r>
            <w:r w:rsidR="00AE4F74">
              <w:t>0.9</w:t>
            </w:r>
          </w:p>
        </w:tc>
        <w:tc>
          <w:tcPr>
            <w:tcW w:w="1440" w:type="dxa"/>
          </w:tcPr>
          <w:p w14:paraId="795F9FD2" w14:textId="69E5163C" w:rsidR="00152D53" w:rsidRPr="00702A26" w:rsidRDefault="002F2605" w:rsidP="00E862E4">
            <w:pPr>
              <w:cnfStyle w:val="000000100000" w:firstRow="0" w:lastRow="0" w:firstColumn="0" w:lastColumn="0" w:oddVBand="0" w:evenVBand="0" w:oddHBand="1" w:evenHBand="0" w:firstRowFirstColumn="0" w:firstRowLastColumn="0" w:lastRowFirstColumn="0" w:lastRowLastColumn="0"/>
            </w:pPr>
            <w:r>
              <w:t>9.48</w:t>
            </w:r>
            <w:r w:rsidR="00152D53" w:rsidRPr="00702A26">
              <w:t xml:space="preserve"> </w:t>
            </w:r>
            <w:r w:rsidR="00152D53">
              <w:sym w:font="Symbol" w:char="F0B1"/>
            </w:r>
            <w:r w:rsidR="00152D53" w:rsidRPr="00702A26">
              <w:t xml:space="preserve"> </w:t>
            </w:r>
            <w:r>
              <w:t>0.9</w:t>
            </w:r>
          </w:p>
        </w:tc>
        <w:tc>
          <w:tcPr>
            <w:tcW w:w="1710" w:type="dxa"/>
          </w:tcPr>
          <w:p w14:paraId="64832B88" w14:textId="62F1DF2A" w:rsidR="00152D53" w:rsidRPr="00702A26" w:rsidRDefault="002F2605" w:rsidP="00E862E4">
            <w:pPr>
              <w:cnfStyle w:val="000000100000" w:firstRow="0" w:lastRow="0" w:firstColumn="0" w:lastColumn="0" w:oddVBand="0" w:evenVBand="0" w:oddHBand="1" w:evenHBand="0" w:firstRowFirstColumn="0" w:firstRowLastColumn="0" w:lastRowFirstColumn="0" w:lastRowLastColumn="0"/>
            </w:pPr>
            <w:r>
              <w:t xml:space="preserve">13.1 </w:t>
            </w:r>
            <w:r w:rsidR="00152D53">
              <w:sym w:font="Symbol" w:char="F0B1"/>
            </w:r>
            <w:r w:rsidR="00152D53">
              <w:t xml:space="preserve"> </w:t>
            </w:r>
            <w:r w:rsidR="00152D53" w:rsidRPr="00702A26">
              <w:t>2.</w:t>
            </w:r>
            <w:r>
              <w:t>2</w:t>
            </w:r>
          </w:p>
        </w:tc>
        <w:tc>
          <w:tcPr>
            <w:tcW w:w="1170" w:type="dxa"/>
          </w:tcPr>
          <w:p w14:paraId="1729DE25" w14:textId="05EC58B1" w:rsidR="00152D53" w:rsidRPr="0076725C" w:rsidRDefault="00152D53" w:rsidP="00E862E4">
            <w:pPr>
              <w:cnfStyle w:val="000000100000" w:firstRow="0" w:lastRow="0" w:firstColumn="0" w:lastColumn="0" w:oddVBand="0" w:evenVBand="0" w:oddHBand="1" w:evenHBand="0" w:firstRowFirstColumn="0" w:firstRowLastColumn="0" w:lastRowFirstColumn="0" w:lastRowLastColumn="0"/>
              <w:rPr>
                <w:b/>
                <w:bCs/>
              </w:rPr>
            </w:pPr>
            <w:r w:rsidRPr="0076725C">
              <w:rPr>
                <w:b/>
                <w:bCs/>
              </w:rPr>
              <w:t>0.</w:t>
            </w:r>
            <w:r w:rsidR="0076725C" w:rsidRPr="0076725C">
              <w:rPr>
                <w:b/>
                <w:bCs/>
              </w:rPr>
              <w:t>0</w:t>
            </w:r>
            <w:r w:rsidR="003632D9">
              <w:rPr>
                <w:b/>
                <w:bCs/>
              </w:rPr>
              <w:t>28</w:t>
            </w:r>
          </w:p>
          <w:p w14:paraId="3C3BEDD6" w14:textId="77777777" w:rsidR="00152D53" w:rsidRDefault="00152D53" w:rsidP="00E862E4">
            <w:pPr>
              <w:cnfStyle w:val="000000100000" w:firstRow="0" w:lastRow="0" w:firstColumn="0" w:lastColumn="0" w:oddVBand="0" w:evenVBand="0" w:oddHBand="1" w:evenHBand="0" w:firstRowFirstColumn="0" w:firstRowLastColumn="0" w:lastRowFirstColumn="0" w:lastRowLastColumn="0"/>
            </w:pPr>
            <w:r>
              <w:t>X</w:t>
            </w:r>
            <w:r>
              <w:rPr>
                <w:vertAlign w:val="superscript"/>
              </w:rPr>
              <w:t>2</w:t>
            </w:r>
            <w:r>
              <w:t xml:space="preserve"> = 77</w:t>
            </w:r>
          </w:p>
          <w:p w14:paraId="621FEDA7" w14:textId="77777777" w:rsidR="00152D53" w:rsidRPr="00A44DA6" w:rsidRDefault="00152D53" w:rsidP="00E862E4">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 73</w:t>
            </w:r>
          </w:p>
        </w:tc>
        <w:tc>
          <w:tcPr>
            <w:tcW w:w="1170" w:type="dxa"/>
          </w:tcPr>
          <w:p w14:paraId="7DED015F" w14:textId="45FB3F05" w:rsidR="00152D53" w:rsidRDefault="00152D53" w:rsidP="00E862E4">
            <w:pPr>
              <w:cnfStyle w:val="000000100000" w:firstRow="0" w:lastRow="0" w:firstColumn="0" w:lastColumn="0" w:oddVBand="0" w:evenVBand="0" w:oddHBand="1" w:evenHBand="0" w:firstRowFirstColumn="0" w:firstRowLastColumn="0" w:lastRowFirstColumn="0" w:lastRowLastColumn="0"/>
            </w:pPr>
            <w:r w:rsidRPr="00702A26">
              <w:t>0.</w:t>
            </w:r>
            <w:r w:rsidR="00B32561">
              <w:t>367</w:t>
            </w:r>
          </w:p>
          <w:p w14:paraId="085A9453" w14:textId="176A8420" w:rsidR="00152D53" w:rsidRDefault="00152D53" w:rsidP="00E862E4">
            <w:pPr>
              <w:cnfStyle w:val="000000100000" w:firstRow="0" w:lastRow="0" w:firstColumn="0" w:lastColumn="0" w:oddVBand="0" w:evenVBand="0" w:oddHBand="1" w:evenHBand="0" w:firstRowFirstColumn="0" w:firstRowLastColumn="0" w:lastRowFirstColumn="0" w:lastRowLastColumn="0"/>
            </w:pPr>
            <w:r>
              <w:t>X</w:t>
            </w:r>
            <w:r>
              <w:rPr>
                <w:vertAlign w:val="superscript"/>
              </w:rPr>
              <w:t>2</w:t>
            </w:r>
            <w:r>
              <w:t xml:space="preserve"> = </w:t>
            </w:r>
            <w:r w:rsidR="003A0A90">
              <w:t>72</w:t>
            </w:r>
          </w:p>
          <w:p w14:paraId="15F8DC8B" w14:textId="592CF399"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 </w:t>
            </w:r>
            <w:r w:rsidR="003A0A90">
              <w:t>73</w:t>
            </w:r>
          </w:p>
        </w:tc>
        <w:tc>
          <w:tcPr>
            <w:tcW w:w="1080" w:type="dxa"/>
          </w:tcPr>
          <w:p w14:paraId="0731704E" w14:textId="05D45E4B"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0.</w:t>
            </w:r>
            <w:r w:rsidR="00660DD7">
              <w:t>967</w:t>
            </w:r>
          </w:p>
        </w:tc>
      </w:tr>
      <w:tr w:rsidR="00152D53" w:rsidRPr="00702A26" w14:paraId="04FF225B" w14:textId="77777777" w:rsidTr="00FE7896">
        <w:trPr>
          <w:trHeight w:val="524"/>
        </w:trPr>
        <w:tc>
          <w:tcPr>
            <w:cnfStyle w:val="001000000000" w:firstRow="0" w:lastRow="0" w:firstColumn="1" w:lastColumn="0" w:oddVBand="0" w:evenVBand="0" w:oddHBand="0" w:evenHBand="0" w:firstRowFirstColumn="0" w:firstRowLastColumn="0" w:lastRowFirstColumn="0" w:lastRowLastColumn="0"/>
            <w:tcW w:w="900" w:type="dxa"/>
          </w:tcPr>
          <w:p w14:paraId="46942BBC" w14:textId="77777777" w:rsidR="00152D53" w:rsidRPr="008A1154" w:rsidRDefault="00152D53" w:rsidP="00E862E4">
            <w:pPr>
              <w:rPr>
                <w:b w:val="0"/>
                <w:bCs w:val="0"/>
              </w:rPr>
            </w:pPr>
            <w:r w:rsidRPr="00702A26">
              <w:rPr>
                <w:b w:val="0"/>
                <w:bCs w:val="0"/>
              </w:rPr>
              <w:t>NH</w:t>
            </w:r>
            <w:r w:rsidRPr="00702A26">
              <w:rPr>
                <w:b w:val="0"/>
                <w:bCs w:val="0"/>
                <w:vertAlign w:val="subscript"/>
              </w:rPr>
              <w:t>4</w:t>
            </w:r>
            <w:r>
              <w:rPr>
                <w:b w:val="0"/>
                <w:bCs w:val="0"/>
              </w:rPr>
              <w:t xml:space="preserve"> (</w:t>
            </w:r>
            <w:r>
              <w:rPr>
                <w:b w:val="0"/>
                <w:bCs w:val="0"/>
              </w:rPr>
              <w:sym w:font="Symbol" w:char="F06D"/>
            </w:r>
            <w:r>
              <w:rPr>
                <w:b w:val="0"/>
                <w:bCs w:val="0"/>
              </w:rPr>
              <w:t>g/g)</w:t>
            </w:r>
          </w:p>
        </w:tc>
        <w:tc>
          <w:tcPr>
            <w:tcW w:w="1440" w:type="dxa"/>
            <w:gridSpan w:val="2"/>
          </w:tcPr>
          <w:p w14:paraId="3D5EAD87" w14:textId="7B747A52"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 xml:space="preserve">5.47 </w:t>
            </w:r>
            <w:r>
              <w:sym w:font="Symbol" w:char="F0B1"/>
            </w:r>
            <w:r w:rsidRPr="00702A26">
              <w:t xml:space="preserve"> 0.</w:t>
            </w:r>
            <w:r w:rsidR="00C23F4E">
              <w:t>1</w:t>
            </w:r>
          </w:p>
        </w:tc>
        <w:tc>
          <w:tcPr>
            <w:tcW w:w="1710" w:type="dxa"/>
            <w:gridSpan w:val="2"/>
          </w:tcPr>
          <w:p w14:paraId="7433F2E6" w14:textId="25E69AA6"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5.</w:t>
            </w:r>
            <w:r w:rsidR="00C23F4E">
              <w:t>91</w:t>
            </w:r>
            <w:r w:rsidRPr="00702A26">
              <w:t xml:space="preserve"> </w:t>
            </w:r>
            <w:r>
              <w:sym w:font="Symbol" w:char="F0B1"/>
            </w:r>
            <w:r w:rsidRPr="00702A26">
              <w:t xml:space="preserve"> 0.</w:t>
            </w:r>
            <w:r w:rsidR="00C23F4E">
              <w:t>1</w:t>
            </w:r>
          </w:p>
        </w:tc>
        <w:tc>
          <w:tcPr>
            <w:tcW w:w="1440" w:type="dxa"/>
          </w:tcPr>
          <w:p w14:paraId="07FA601D" w14:textId="76BAED82"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4.8</w:t>
            </w:r>
            <w:r w:rsidR="000B6F37">
              <w:t>8</w:t>
            </w:r>
            <w:r w:rsidRPr="00702A26">
              <w:t xml:space="preserve"> </w:t>
            </w:r>
            <w:r>
              <w:sym w:font="Symbol" w:char="F0B1"/>
            </w:r>
            <w:r>
              <w:t xml:space="preserve"> </w:t>
            </w:r>
            <w:r w:rsidRPr="00702A26">
              <w:t>0.</w:t>
            </w:r>
            <w:r w:rsidR="007D2FEB">
              <w:t>2</w:t>
            </w:r>
          </w:p>
        </w:tc>
        <w:tc>
          <w:tcPr>
            <w:tcW w:w="1710" w:type="dxa"/>
          </w:tcPr>
          <w:p w14:paraId="2B45E412" w14:textId="525F7A79"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4.8</w:t>
            </w:r>
            <w:r w:rsidR="000B6F37">
              <w:t>2</w:t>
            </w:r>
            <w:r w:rsidRPr="00702A26">
              <w:t xml:space="preserve"> </w:t>
            </w:r>
            <w:r>
              <w:sym w:font="Symbol" w:char="F0B1"/>
            </w:r>
            <w:r w:rsidRPr="00702A26">
              <w:t xml:space="preserve"> 0.</w:t>
            </w:r>
            <w:r w:rsidR="007D2FEB">
              <w:t>1</w:t>
            </w:r>
          </w:p>
        </w:tc>
        <w:tc>
          <w:tcPr>
            <w:tcW w:w="1170" w:type="dxa"/>
          </w:tcPr>
          <w:p w14:paraId="334B4E79" w14:textId="0EF4D2F2" w:rsidR="00152D53" w:rsidRDefault="00D97990" w:rsidP="00E862E4">
            <w:pPr>
              <w:cnfStyle w:val="000000000000" w:firstRow="0" w:lastRow="0" w:firstColumn="0" w:lastColumn="0" w:oddVBand="0" w:evenVBand="0" w:oddHBand="0" w:evenHBand="0" w:firstRowFirstColumn="0" w:firstRowLastColumn="0" w:lastRowFirstColumn="0" w:lastRowLastColumn="0"/>
              <w:rPr>
                <w:b/>
                <w:bCs/>
              </w:rPr>
            </w:pPr>
            <w:r>
              <w:rPr>
                <w:b/>
                <w:bCs/>
              </w:rPr>
              <w:t>&lt;</w:t>
            </w:r>
            <w:r w:rsidR="00152D53" w:rsidRPr="00702A26">
              <w:rPr>
                <w:b/>
                <w:bCs/>
              </w:rPr>
              <w:t>0.00</w:t>
            </w:r>
            <w:r>
              <w:rPr>
                <w:b/>
                <w:bCs/>
              </w:rPr>
              <w:t>1</w:t>
            </w:r>
          </w:p>
          <w:p w14:paraId="6B0E39D1" w14:textId="36A9B152"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w:t>
            </w:r>
            <w:r w:rsidR="007125D8">
              <w:t>72</w:t>
            </w:r>
          </w:p>
          <w:p w14:paraId="1BCCFA2B" w14:textId="3BB45283"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rPr>
                <w:b/>
                <w:bCs/>
              </w:rPr>
            </w:pPr>
            <w:proofErr w:type="spellStart"/>
            <w:r>
              <w:t>df</w:t>
            </w:r>
            <w:proofErr w:type="spellEnd"/>
            <w:r>
              <w:t xml:space="preserve"> = </w:t>
            </w:r>
            <w:r w:rsidR="007125D8">
              <w:t>69</w:t>
            </w:r>
          </w:p>
        </w:tc>
        <w:tc>
          <w:tcPr>
            <w:tcW w:w="1170" w:type="dxa"/>
          </w:tcPr>
          <w:p w14:paraId="21A6052F" w14:textId="700D228A" w:rsidR="00152D53" w:rsidRPr="00927CC3" w:rsidRDefault="00152D53" w:rsidP="00E862E4">
            <w:pPr>
              <w:cnfStyle w:val="000000000000" w:firstRow="0" w:lastRow="0" w:firstColumn="0" w:lastColumn="0" w:oddVBand="0" w:evenVBand="0" w:oddHBand="0" w:evenHBand="0" w:firstRowFirstColumn="0" w:firstRowLastColumn="0" w:lastRowFirstColumn="0" w:lastRowLastColumn="0"/>
            </w:pPr>
            <w:r w:rsidRPr="00927CC3">
              <w:t>0.</w:t>
            </w:r>
            <w:r w:rsidR="00927CC3" w:rsidRPr="00927CC3">
              <w:t>29</w:t>
            </w:r>
            <w:r w:rsidR="00845E32">
              <w:t>8</w:t>
            </w:r>
          </w:p>
          <w:p w14:paraId="7921B370" w14:textId="5C7BA49F"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w:t>
            </w:r>
            <w:r w:rsidR="00B67A9B">
              <w:t>70</w:t>
            </w:r>
          </w:p>
          <w:p w14:paraId="1CEDC7F3" w14:textId="6906B2C5"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proofErr w:type="spellStart"/>
            <w:r>
              <w:t>df</w:t>
            </w:r>
            <w:proofErr w:type="spellEnd"/>
            <w:r>
              <w:t xml:space="preserve"> = </w:t>
            </w:r>
            <w:r w:rsidR="00B67A9B">
              <w:t>69</w:t>
            </w:r>
          </w:p>
        </w:tc>
        <w:tc>
          <w:tcPr>
            <w:tcW w:w="1080" w:type="dxa"/>
          </w:tcPr>
          <w:p w14:paraId="691C7D48" w14:textId="37496389"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rsidRPr="00702A26">
              <w:t>0.</w:t>
            </w:r>
            <w:r w:rsidR="006A473D">
              <w:t>699</w:t>
            </w:r>
          </w:p>
        </w:tc>
      </w:tr>
      <w:tr w:rsidR="00152D53" w:rsidRPr="00702A26" w14:paraId="0BCDC3B6" w14:textId="77777777" w:rsidTr="00FE789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00" w:type="dxa"/>
          </w:tcPr>
          <w:p w14:paraId="4AD59F73" w14:textId="77777777" w:rsidR="00152D53" w:rsidRPr="008A1154" w:rsidRDefault="00152D53" w:rsidP="00E862E4">
            <w:pPr>
              <w:rPr>
                <w:b w:val="0"/>
                <w:bCs w:val="0"/>
              </w:rPr>
            </w:pPr>
            <w:r w:rsidRPr="00702A26">
              <w:rPr>
                <w:b w:val="0"/>
                <w:bCs w:val="0"/>
              </w:rPr>
              <w:t>PO</w:t>
            </w:r>
            <w:r w:rsidRPr="00702A26">
              <w:rPr>
                <w:b w:val="0"/>
                <w:bCs w:val="0"/>
                <w:vertAlign w:val="subscript"/>
              </w:rPr>
              <w:t>4</w:t>
            </w:r>
            <w:r>
              <w:rPr>
                <w:b w:val="0"/>
                <w:bCs w:val="0"/>
              </w:rPr>
              <w:t xml:space="preserve"> (</w:t>
            </w:r>
            <w:r>
              <w:rPr>
                <w:b w:val="0"/>
                <w:bCs w:val="0"/>
              </w:rPr>
              <w:sym w:font="Symbol" w:char="F06D"/>
            </w:r>
            <w:r>
              <w:rPr>
                <w:b w:val="0"/>
                <w:bCs w:val="0"/>
              </w:rPr>
              <w:t>/g)</w:t>
            </w:r>
          </w:p>
        </w:tc>
        <w:tc>
          <w:tcPr>
            <w:tcW w:w="1440" w:type="dxa"/>
            <w:gridSpan w:val="2"/>
          </w:tcPr>
          <w:p w14:paraId="0052E6EF" w14:textId="28D30103"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17.</w:t>
            </w:r>
            <w:r w:rsidR="0049397E">
              <w:t>5</w:t>
            </w:r>
            <w:r w:rsidRPr="00702A26">
              <w:t xml:space="preserve"> </w:t>
            </w:r>
            <w:r>
              <w:sym w:font="Symbol" w:char="F0B1"/>
            </w:r>
            <w:r w:rsidRPr="00702A26">
              <w:t xml:space="preserve"> 0.</w:t>
            </w:r>
            <w:r w:rsidR="0049397E">
              <w:t>3</w:t>
            </w:r>
          </w:p>
        </w:tc>
        <w:tc>
          <w:tcPr>
            <w:tcW w:w="1710" w:type="dxa"/>
            <w:gridSpan w:val="2"/>
          </w:tcPr>
          <w:p w14:paraId="0771FE5F" w14:textId="78C20EA7"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18.</w:t>
            </w:r>
            <w:r w:rsidR="0049397E">
              <w:t>3</w:t>
            </w:r>
            <w:r w:rsidRPr="00702A26">
              <w:t xml:space="preserve"> </w:t>
            </w:r>
            <w:r>
              <w:sym w:font="Symbol" w:char="F0B1"/>
            </w:r>
            <w:r w:rsidRPr="00702A26">
              <w:t xml:space="preserve"> 0.</w:t>
            </w:r>
            <w:r w:rsidR="0049397E">
              <w:t>4</w:t>
            </w:r>
          </w:p>
        </w:tc>
        <w:tc>
          <w:tcPr>
            <w:tcW w:w="1440" w:type="dxa"/>
          </w:tcPr>
          <w:p w14:paraId="3B38480C" w14:textId="7283DF05"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22.</w:t>
            </w:r>
            <w:r w:rsidR="000F1F20">
              <w:t>1</w:t>
            </w:r>
            <w:r w:rsidRPr="00702A26">
              <w:t xml:space="preserve"> </w:t>
            </w:r>
            <w:r>
              <w:sym w:font="Symbol" w:char="F0B1"/>
            </w:r>
            <w:r w:rsidRPr="00702A26">
              <w:t xml:space="preserve"> </w:t>
            </w:r>
            <w:r w:rsidR="0042617B">
              <w:t>1.5</w:t>
            </w:r>
          </w:p>
        </w:tc>
        <w:tc>
          <w:tcPr>
            <w:tcW w:w="1710" w:type="dxa"/>
          </w:tcPr>
          <w:p w14:paraId="7930CBCA" w14:textId="591D0A66"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rsidRPr="00702A26">
              <w:t>1</w:t>
            </w:r>
            <w:r w:rsidR="000F1F20">
              <w:t>6.5</w:t>
            </w:r>
            <w:r w:rsidRPr="00702A26">
              <w:t xml:space="preserve"> </w:t>
            </w:r>
            <w:r>
              <w:sym w:font="Symbol" w:char="F0B1"/>
            </w:r>
            <w:r w:rsidRPr="00702A26">
              <w:t xml:space="preserve"> </w:t>
            </w:r>
            <w:r w:rsidR="0042617B">
              <w:t>0.7</w:t>
            </w:r>
          </w:p>
        </w:tc>
        <w:tc>
          <w:tcPr>
            <w:tcW w:w="1170" w:type="dxa"/>
          </w:tcPr>
          <w:p w14:paraId="6006F453" w14:textId="39596709" w:rsidR="00152D53" w:rsidRPr="00AE7AB3" w:rsidRDefault="00AE7AB3" w:rsidP="00E862E4">
            <w:pPr>
              <w:cnfStyle w:val="000000100000" w:firstRow="0" w:lastRow="0" w:firstColumn="0" w:lastColumn="0" w:oddVBand="0" w:evenVBand="0" w:oddHBand="1" w:evenHBand="0" w:firstRowFirstColumn="0" w:firstRowLastColumn="0" w:lastRowFirstColumn="0" w:lastRowLastColumn="0"/>
            </w:pPr>
            <w:r>
              <w:t>0.545</w:t>
            </w:r>
          </w:p>
          <w:p w14:paraId="05D7FC62" w14:textId="06BECCAC" w:rsidR="00152D53" w:rsidRDefault="00152D53" w:rsidP="00E862E4">
            <w:pPr>
              <w:cnfStyle w:val="000000100000" w:firstRow="0" w:lastRow="0" w:firstColumn="0" w:lastColumn="0" w:oddVBand="0" w:evenVBand="0" w:oddHBand="1" w:evenHBand="0" w:firstRowFirstColumn="0" w:firstRowLastColumn="0" w:lastRowFirstColumn="0" w:lastRowLastColumn="0"/>
            </w:pPr>
            <w:r>
              <w:t>X</w:t>
            </w:r>
            <w:r>
              <w:rPr>
                <w:vertAlign w:val="superscript"/>
              </w:rPr>
              <w:t>2</w:t>
            </w:r>
            <w:r>
              <w:t xml:space="preserve"> = </w:t>
            </w:r>
            <w:r w:rsidR="00AE7AB3">
              <w:t>7</w:t>
            </w:r>
            <w:r w:rsidR="008B2B20">
              <w:t>6</w:t>
            </w:r>
          </w:p>
          <w:p w14:paraId="49F9E21D" w14:textId="447C2F1A"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w:t>
            </w:r>
            <w:r w:rsidR="00AE7AB3">
              <w:t>75</w:t>
            </w:r>
          </w:p>
        </w:tc>
        <w:tc>
          <w:tcPr>
            <w:tcW w:w="1170" w:type="dxa"/>
          </w:tcPr>
          <w:p w14:paraId="12645A50" w14:textId="7B9A6657" w:rsidR="00152D53" w:rsidRDefault="00152D53" w:rsidP="00E862E4">
            <w:pPr>
              <w:cnfStyle w:val="000000100000" w:firstRow="0" w:lastRow="0" w:firstColumn="0" w:lastColumn="0" w:oddVBand="0" w:evenVBand="0" w:oddHBand="1" w:evenHBand="0" w:firstRowFirstColumn="0" w:firstRowLastColumn="0" w:lastRowFirstColumn="0" w:lastRowLastColumn="0"/>
            </w:pPr>
            <w:r w:rsidRPr="00702A26">
              <w:t>0.</w:t>
            </w:r>
            <w:r w:rsidR="008B2B20">
              <w:t>221</w:t>
            </w:r>
          </w:p>
          <w:p w14:paraId="2EE9787E" w14:textId="22506CE3" w:rsidR="00152D53" w:rsidRDefault="00152D53" w:rsidP="00E862E4">
            <w:pPr>
              <w:cnfStyle w:val="000000100000" w:firstRow="0" w:lastRow="0" w:firstColumn="0" w:lastColumn="0" w:oddVBand="0" w:evenVBand="0" w:oddHBand="1" w:evenHBand="0" w:firstRowFirstColumn="0" w:firstRowLastColumn="0" w:lastRowFirstColumn="0" w:lastRowLastColumn="0"/>
            </w:pPr>
            <w:r>
              <w:t>X</w:t>
            </w:r>
            <w:r>
              <w:rPr>
                <w:vertAlign w:val="superscript"/>
              </w:rPr>
              <w:t>2</w:t>
            </w:r>
            <w:r>
              <w:t xml:space="preserve"> = </w:t>
            </w:r>
            <w:r w:rsidR="008B2B20">
              <w:t>78</w:t>
            </w:r>
          </w:p>
          <w:p w14:paraId="4DC053E9" w14:textId="1E6B91BC"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 </w:t>
            </w:r>
            <w:r w:rsidR="008B2B20">
              <w:t>75</w:t>
            </w:r>
          </w:p>
        </w:tc>
        <w:tc>
          <w:tcPr>
            <w:tcW w:w="1080" w:type="dxa"/>
          </w:tcPr>
          <w:p w14:paraId="665FFF30" w14:textId="0BEF6D67" w:rsidR="00152D53" w:rsidRPr="009538BA" w:rsidRDefault="00152D53" w:rsidP="00E862E4">
            <w:pPr>
              <w:cnfStyle w:val="000000100000" w:firstRow="0" w:lastRow="0" w:firstColumn="0" w:lastColumn="0" w:oddVBand="0" w:evenVBand="0" w:oddHBand="1" w:evenHBand="0" w:firstRowFirstColumn="0" w:firstRowLastColumn="0" w:lastRowFirstColumn="0" w:lastRowLastColumn="0"/>
            </w:pPr>
            <w:r w:rsidRPr="009538BA">
              <w:t>0.</w:t>
            </w:r>
            <w:r w:rsidR="00D350AF" w:rsidRPr="009538BA">
              <w:t>0</w:t>
            </w:r>
            <w:r w:rsidR="005F572C" w:rsidRPr="009538BA">
              <w:t>60</w:t>
            </w:r>
          </w:p>
        </w:tc>
      </w:tr>
      <w:tr w:rsidR="00152D53" w:rsidRPr="00702A26" w14:paraId="6C063331" w14:textId="77777777" w:rsidTr="00FE7896">
        <w:trPr>
          <w:trHeight w:val="524"/>
        </w:trPr>
        <w:tc>
          <w:tcPr>
            <w:cnfStyle w:val="001000000000" w:firstRow="0" w:lastRow="0" w:firstColumn="1" w:lastColumn="0" w:oddVBand="0" w:evenVBand="0" w:oddHBand="0" w:evenHBand="0" w:firstRowFirstColumn="0" w:firstRowLastColumn="0" w:lastRowFirstColumn="0" w:lastRowLastColumn="0"/>
            <w:tcW w:w="900" w:type="dxa"/>
          </w:tcPr>
          <w:p w14:paraId="6FD9C67A" w14:textId="77777777" w:rsidR="00152D53" w:rsidRPr="00202B67" w:rsidRDefault="00152D53" w:rsidP="00E862E4">
            <w:pPr>
              <w:rPr>
                <w:b w:val="0"/>
                <w:bCs w:val="0"/>
              </w:rPr>
            </w:pPr>
            <w:r w:rsidRPr="00202B67">
              <w:rPr>
                <w:b w:val="0"/>
                <w:bCs w:val="0"/>
              </w:rPr>
              <w:t>Sand</w:t>
            </w:r>
            <w:r>
              <w:rPr>
                <w:b w:val="0"/>
                <w:bCs w:val="0"/>
              </w:rPr>
              <w:t xml:space="preserve"> (%)</w:t>
            </w:r>
          </w:p>
        </w:tc>
        <w:tc>
          <w:tcPr>
            <w:tcW w:w="1440" w:type="dxa"/>
            <w:gridSpan w:val="2"/>
          </w:tcPr>
          <w:p w14:paraId="10A01A5A"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60.9 </w:t>
            </w:r>
            <w:r>
              <w:sym w:font="Symbol" w:char="F0B1"/>
            </w:r>
            <w:r>
              <w:t xml:space="preserve"> 3.9</w:t>
            </w:r>
          </w:p>
        </w:tc>
        <w:tc>
          <w:tcPr>
            <w:tcW w:w="1710" w:type="dxa"/>
            <w:gridSpan w:val="2"/>
          </w:tcPr>
          <w:p w14:paraId="691FB50D"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59.6 </w:t>
            </w:r>
            <w:r>
              <w:sym w:font="Symbol" w:char="F0B1"/>
            </w:r>
            <w:r>
              <w:t xml:space="preserve"> 4.6</w:t>
            </w:r>
          </w:p>
        </w:tc>
        <w:tc>
          <w:tcPr>
            <w:tcW w:w="1440" w:type="dxa"/>
          </w:tcPr>
          <w:p w14:paraId="0071A312"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70.0 </w:t>
            </w:r>
            <w:r>
              <w:sym w:font="Symbol" w:char="F0B1"/>
            </w:r>
            <w:r>
              <w:t xml:space="preserve"> 4.3</w:t>
            </w:r>
          </w:p>
        </w:tc>
        <w:tc>
          <w:tcPr>
            <w:tcW w:w="1710" w:type="dxa"/>
          </w:tcPr>
          <w:p w14:paraId="228999DF"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67.9 </w:t>
            </w:r>
            <w:r>
              <w:sym w:font="Symbol" w:char="F0B1"/>
            </w:r>
            <w:r>
              <w:t xml:space="preserve"> 4.0</w:t>
            </w:r>
          </w:p>
        </w:tc>
        <w:tc>
          <w:tcPr>
            <w:tcW w:w="1170" w:type="dxa"/>
          </w:tcPr>
          <w:p w14:paraId="13E0B990" w14:textId="24D15727" w:rsidR="00152D53" w:rsidRDefault="00152D53" w:rsidP="00E862E4">
            <w:pPr>
              <w:cnfStyle w:val="000000000000" w:firstRow="0" w:lastRow="0" w:firstColumn="0" w:lastColumn="0" w:oddVBand="0" w:evenVBand="0" w:oddHBand="0" w:evenHBand="0" w:firstRowFirstColumn="0" w:firstRowLastColumn="0" w:lastRowFirstColumn="0" w:lastRowLastColumn="0"/>
              <w:rPr>
                <w:b/>
                <w:bCs/>
              </w:rPr>
            </w:pPr>
            <w:r w:rsidRPr="00AE50C2">
              <w:rPr>
                <w:b/>
                <w:bCs/>
              </w:rPr>
              <w:t>0.0</w:t>
            </w:r>
            <w:r w:rsidR="006521F1">
              <w:rPr>
                <w:b/>
                <w:bCs/>
              </w:rPr>
              <w:t>04</w:t>
            </w:r>
          </w:p>
          <w:p w14:paraId="2F3B751C" w14:textId="77777777"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78</w:t>
            </w:r>
          </w:p>
          <w:p w14:paraId="17088050" w14:textId="77777777" w:rsidR="00152D53" w:rsidRPr="00AE50C2" w:rsidRDefault="00152D53" w:rsidP="00E862E4">
            <w:pPr>
              <w:cnfStyle w:val="000000000000" w:firstRow="0" w:lastRow="0" w:firstColumn="0" w:lastColumn="0" w:oddVBand="0" w:evenVBand="0" w:oddHBand="0" w:evenHBand="0" w:firstRowFirstColumn="0" w:firstRowLastColumn="0" w:lastRowFirstColumn="0" w:lastRowLastColumn="0"/>
              <w:rPr>
                <w:b/>
                <w:bCs/>
              </w:rPr>
            </w:pPr>
            <w:proofErr w:type="spellStart"/>
            <w:r>
              <w:t>df</w:t>
            </w:r>
            <w:proofErr w:type="spellEnd"/>
            <w:r>
              <w:t xml:space="preserve"> = 38</w:t>
            </w:r>
          </w:p>
        </w:tc>
        <w:tc>
          <w:tcPr>
            <w:tcW w:w="1170" w:type="dxa"/>
          </w:tcPr>
          <w:p w14:paraId="3C2F43AF" w14:textId="2412F012" w:rsidR="00152D53" w:rsidRDefault="00152D53" w:rsidP="00E862E4">
            <w:pPr>
              <w:cnfStyle w:val="000000000000" w:firstRow="0" w:lastRow="0" w:firstColumn="0" w:lastColumn="0" w:oddVBand="0" w:evenVBand="0" w:oddHBand="0" w:evenHBand="0" w:firstRowFirstColumn="0" w:firstRowLastColumn="0" w:lastRowFirstColumn="0" w:lastRowLastColumn="0"/>
            </w:pPr>
            <w:r>
              <w:t>0.</w:t>
            </w:r>
            <w:r w:rsidR="006521F1">
              <w:t>577</w:t>
            </w:r>
          </w:p>
          <w:p w14:paraId="7C445EC2" w14:textId="77777777"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78</w:t>
            </w:r>
          </w:p>
          <w:p w14:paraId="65F43A40"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proofErr w:type="spellStart"/>
            <w:r>
              <w:t>df</w:t>
            </w:r>
            <w:proofErr w:type="spellEnd"/>
            <w:r>
              <w:t xml:space="preserve"> = 38</w:t>
            </w:r>
          </w:p>
        </w:tc>
        <w:tc>
          <w:tcPr>
            <w:tcW w:w="1080" w:type="dxa"/>
          </w:tcPr>
          <w:p w14:paraId="656B9A2A" w14:textId="7B43B9EA" w:rsidR="00152D53" w:rsidRPr="00B01FD6" w:rsidRDefault="00152D53" w:rsidP="00E862E4">
            <w:pPr>
              <w:cnfStyle w:val="000000000000" w:firstRow="0" w:lastRow="0" w:firstColumn="0" w:lastColumn="0" w:oddVBand="0" w:evenVBand="0" w:oddHBand="0" w:evenHBand="0" w:firstRowFirstColumn="0" w:firstRowLastColumn="0" w:lastRowFirstColumn="0" w:lastRowLastColumn="0"/>
            </w:pPr>
            <w:r w:rsidRPr="00B01FD6">
              <w:t>0.</w:t>
            </w:r>
            <w:r w:rsidR="006521F1">
              <w:t>893</w:t>
            </w:r>
          </w:p>
        </w:tc>
      </w:tr>
      <w:tr w:rsidR="00152D53" w:rsidRPr="00702A26" w14:paraId="170DFB20" w14:textId="77777777" w:rsidTr="00FE789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00" w:type="dxa"/>
          </w:tcPr>
          <w:p w14:paraId="44E6DB42" w14:textId="77777777" w:rsidR="00152D53" w:rsidRPr="00202B67" w:rsidRDefault="00152D53" w:rsidP="00E862E4">
            <w:pPr>
              <w:rPr>
                <w:b w:val="0"/>
                <w:bCs w:val="0"/>
              </w:rPr>
            </w:pPr>
            <w:r w:rsidRPr="00202B67">
              <w:rPr>
                <w:b w:val="0"/>
                <w:bCs w:val="0"/>
              </w:rPr>
              <w:t>Silt</w:t>
            </w:r>
            <w:r>
              <w:rPr>
                <w:b w:val="0"/>
                <w:bCs w:val="0"/>
              </w:rPr>
              <w:t xml:space="preserve"> (%)</w:t>
            </w:r>
          </w:p>
        </w:tc>
        <w:tc>
          <w:tcPr>
            <w:tcW w:w="1440" w:type="dxa"/>
            <w:gridSpan w:val="2"/>
          </w:tcPr>
          <w:p w14:paraId="67764193" w14:textId="77777777"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t xml:space="preserve">28.4 </w:t>
            </w:r>
            <w:r>
              <w:sym w:font="Symbol" w:char="F0B1"/>
            </w:r>
            <w:r>
              <w:t xml:space="preserve"> 3.8</w:t>
            </w:r>
          </w:p>
        </w:tc>
        <w:tc>
          <w:tcPr>
            <w:tcW w:w="1710" w:type="dxa"/>
            <w:gridSpan w:val="2"/>
          </w:tcPr>
          <w:p w14:paraId="3EBE92FF" w14:textId="77777777"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t xml:space="preserve">29.0 </w:t>
            </w:r>
            <w:r>
              <w:sym w:font="Symbol" w:char="F0B1"/>
            </w:r>
            <w:r>
              <w:t xml:space="preserve"> 4.2</w:t>
            </w:r>
          </w:p>
        </w:tc>
        <w:tc>
          <w:tcPr>
            <w:tcW w:w="1440" w:type="dxa"/>
          </w:tcPr>
          <w:p w14:paraId="301A1E60" w14:textId="77777777"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t xml:space="preserve">17.9 </w:t>
            </w:r>
            <w:r>
              <w:sym w:font="Symbol" w:char="F0B1"/>
            </w:r>
            <w:r>
              <w:t xml:space="preserve"> 3.7</w:t>
            </w:r>
          </w:p>
        </w:tc>
        <w:tc>
          <w:tcPr>
            <w:tcW w:w="1710" w:type="dxa"/>
          </w:tcPr>
          <w:p w14:paraId="750C0544" w14:textId="77777777"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r>
              <w:t xml:space="preserve">19.0 </w:t>
            </w:r>
            <w:r>
              <w:sym w:font="Symbol" w:char="F0B1"/>
            </w:r>
            <w:r>
              <w:t xml:space="preserve"> 3.4</w:t>
            </w:r>
          </w:p>
        </w:tc>
        <w:tc>
          <w:tcPr>
            <w:tcW w:w="1170" w:type="dxa"/>
          </w:tcPr>
          <w:p w14:paraId="6932EAFA" w14:textId="11330F59" w:rsidR="00152D53" w:rsidRDefault="005B55C3" w:rsidP="00E862E4">
            <w:pPr>
              <w:cnfStyle w:val="000000100000" w:firstRow="0" w:lastRow="0" w:firstColumn="0" w:lastColumn="0" w:oddVBand="0" w:evenVBand="0" w:oddHBand="1" w:evenHBand="0" w:firstRowFirstColumn="0" w:firstRowLastColumn="0" w:lastRowFirstColumn="0" w:lastRowLastColumn="0"/>
              <w:rPr>
                <w:b/>
                <w:bCs/>
              </w:rPr>
            </w:pPr>
            <w:r>
              <w:rPr>
                <w:b/>
                <w:bCs/>
              </w:rPr>
              <w:t>&lt;</w:t>
            </w:r>
            <w:r w:rsidR="00152D53" w:rsidRPr="00A60422">
              <w:rPr>
                <w:b/>
                <w:bCs/>
              </w:rPr>
              <w:t>0.00</w:t>
            </w:r>
            <w:r>
              <w:rPr>
                <w:b/>
                <w:bCs/>
              </w:rPr>
              <w:t>1</w:t>
            </w:r>
          </w:p>
          <w:p w14:paraId="616D5A9A" w14:textId="77777777" w:rsidR="00152D53" w:rsidRDefault="00152D53" w:rsidP="00E862E4">
            <w:pPr>
              <w:cnfStyle w:val="000000100000" w:firstRow="0" w:lastRow="0" w:firstColumn="0" w:lastColumn="0" w:oddVBand="0" w:evenVBand="0" w:oddHBand="1" w:evenHBand="0" w:firstRowFirstColumn="0" w:firstRowLastColumn="0" w:lastRowFirstColumn="0" w:lastRowLastColumn="0"/>
            </w:pPr>
            <w:r>
              <w:t>X</w:t>
            </w:r>
            <w:r>
              <w:rPr>
                <w:vertAlign w:val="superscript"/>
              </w:rPr>
              <w:t>2</w:t>
            </w:r>
            <w:r>
              <w:t xml:space="preserve"> = 78</w:t>
            </w:r>
          </w:p>
          <w:p w14:paraId="3B39A15C" w14:textId="77777777" w:rsidR="00152D53" w:rsidRPr="00A60422" w:rsidRDefault="00152D53" w:rsidP="00E862E4">
            <w:pPr>
              <w:cnfStyle w:val="000000100000" w:firstRow="0" w:lastRow="0" w:firstColumn="0" w:lastColumn="0" w:oddVBand="0" w:evenVBand="0" w:oddHBand="1" w:evenHBand="0" w:firstRowFirstColumn="0" w:firstRowLastColumn="0" w:lastRowFirstColumn="0" w:lastRowLastColumn="0"/>
              <w:rPr>
                <w:b/>
                <w:bCs/>
              </w:rPr>
            </w:pPr>
            <w:proofErr w:type="spellStart"/>
            <w:r>
              <w:t>df</w:t>
            </w:r>
            <w:proofErr w:type="spellEnd"/>
            <w:r>
              <w:t xml:space="preserve"> = 38</w:t>
            </w:r>
          </w:p>
        </w:tc>
        <w:tc>
          <w:tcPr>
            <w:tcW w:w="1170" w:type="dxa"/>
          </w:tcPr>
          <w:p w14:paraId="2CF010FA" w14:textId="5BE429F2" w:rsidR="00152D53" w:rsidRDefault="00152D53" w:rsidP="00E862E4">
            <w:pPr>
              <w:cnfStyle w:val="000000100000" w:firstRow="0" w:lastRow="0" w:firstColumn="0" w:lastColumn="0" w:oddVBand="0" w:evenVBand="0" w:oddHBand="1" w:evenHBand="0" w:firstRowFirstColumn="0" w:firstRowLastColumn="0" w:lastRowFirstColumn="0" w:lastRowLastColumn="0"/>
            </w:pPr>
            <w:r>
              <w:t>0.</w:t>
            </w:r>
            <w:r w:rsidR="00A90B90">
              <w:t>747</w:t>
            </w:r>
          </w:p>
          <w:p w14:paraId="10C81666" w14:textId="77777777" w:rsidR="00152D53" w:rsidRDefault="00152D53" w:rsidP="00E862E4">
            <w:pPr>
              <w:cnfStyle w:val="000000100000" w:firstRow="0" w:lastRow="0" w:firstColumn="0" w:lastColumn="0" w:oddVBand="0" w:evenVBand="0" w:oddHBand="1" w:evenHBand="0" w:firstRowFirstColumn="0" w:firstRowLastColumn="0" w:lastRowFirstColumn="0" w:lastRowLastColumn="0"/>
            </w:pPr>
            <w:r>
              <w:t>X</w:t>
            </w:r>
            <w:r>
              <w:rPr>
                <w:vertAlign w:val="superscript"/>
              </w:rPr>
              <w:t>2</w:t>
            </w:r>
            <w:r>
              <w:t xml:space="preserve"> = 78</w:t>
            </w:r>
          </w:p>
          <w:p w14:paraId="670FF6C8" w14:textId="77777777" w:rsidR="00152D53" w:rsidRPr="00702A26" w:rsidRDefault="00152D53" w:rsidP="00E862E4">
            <w:pPr>
              <w:cnfStyle w:val="000000100000" w:firstRow="0" w:lastRow="0" w:firstColumn="0" w:lastColumn="0" w:oddVBand="0" w:evenVBand="0" w:oddHBand="1" w:evenHBand="0" w:firstRowFirstColumn="0" w:firstRowLastColumn="0" w:lastRowFirstColumn="0" w:lastRowLastColumn="0"/>
            </w:pPr>
            <w:proofErr w:type="spellStart"/>
            <w:r>
              <w:t>df</w:t>
            </w:r>
            <w:proofErr w:type="spellEnd"/>
            <w:r>
              <w:t xml:space="preserve"> = 38</w:t>
            </w:r>
          </w:p>
        </w:tc>
        <w:tc>
          <w:tcPr>
            <w:tcW w:w="1080" w:type="dxa"/>
          </w:tcPr>
          <w:p w14:paraId="6A7B4B8B" w14:textId="77777777" w:rsidR="00152D53" w:rsidRPr="00705CA7" w:rsidRDefault="00152D53" w:rsidP="00E862E4">
            <w:pPr>
              <w:cnfStyle w:val="000000100000" w:firstRow="0" w:lastRow="0" w:firstColumn="0" w:lastColumn="0" w:oddVBand="0" w:evenVBand="0" w:oddHBand="1" w:evenHBand="0" w:firstRowFirstColumn="0" w:firstRowLastColumn="0" w:lastRowFirstColumn="0" w:lastRowLastColumn="0"/>
            </w:pPr>
            <w:r w:rsidRPr="00705CA7">
              <w:t>0.941</w:t>
            </w:r>
          </w:p>
        </w:tc>
      </w:tr>
      <w:tr w:rsidR="00152D53" w:rsidRPr="00702A26" w14:paraId="28AFC135" w14:textId="77777777" w:rsidTr="00FE7896">
        <w:trPr>
          <w:trHeight w:val="524"/>
        </w:trPr>
        <w:tc>
          <w:tcPr>
            <w:cnfStyle w:val="001000000000" w:firstRow="0" w:lastRow="0" w:firstColumn="1" w:lastColumn="0" w:oddVBand="0" w:evenVBand="0" w:oddHBand="0" w:evenHBand="0" w:firstRowFirstColumn="0" w:firstRowLastColumn="0" w:lastRowFirstColumn="0" w:lastRowLastColumn="0"/>
            <w:tcW w:w="900" w:type="dxa"/>
          </w:tcPr>
          <w:p w14:paraId="0E67B61F" w14:textId="77777777" w:rsidR="00152D53" w:rsidRPr="00202B67" w:rsidRDefault="00152D53" w:rsidP="00E862E4">
            <w:pPr>
              <w:rPr>
                <w:b w:val="0"/>
                <w:bCs w:val="0"/>
              </w:rPr>
            </w:pPr>
            <w:r w:rsidRPr="00202B67">
              <w:rPr>
                <w:b w:val="0"/>
                <w:bCs w:val="0"/>
              </w:rPr>
              <w:t>Clay</w:t>
            </w:r>
            <w:r>
              <w:rPr>
                <w:b w:val="0"/>
                <w:bCs w:val="0"/>
              </w:rPr>
              <w:t xml:space="preserve"> (%)</w:t>
            </w:r>
          </w:p>
        </w:tc>
        <w:tc>
          <w:tcPr>
            <w:tcW w:w="1440" w:type="dxa"/>
            <w:gridSpan w:val="2"/>
          </w:tcPr>
          <w:p w14:paraId="3BC27F48"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10.7 </w:t>
            </w:r>
            <w:r>
              <w:sym w:font="Symbol" w:char="F0B1"/>
            </w:r>
            <w:r>
              <w:t xml:space="preserve"> 0.5</w:t>
            </w:r>
          </w:p>
        </w:tc>
        <w:tc>
          <w:tcPr>
            <w:tcW w:w="1710" w:type="dxa"/>
            <w:gridSpan w:val="2"/>
          </w:tcPr>
          <w:p w14:paraId="2F99B397"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11.4 </w:t>
            </w:r>
            <w:r>
              <w:sym w:font="Symbol" w:char="F0B1"/>
            </w:r>
            <w:r>
              <w:t xml:space="preserve"> 0.7</w:t>
            </w:r>
          </w:p>
        </w:tc>
        <w:tc>
          <w:tcPr>
            <w:tcW w:w="1440" w:type="dxa"/>
          </w:tcPr>
          <w:p w14:paraId="368B77CE" w14:textId="3919E654"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12.2 </w:t>
            </w:r>
            <w:r>
              <w:sym w:font="Symbol" w:char="F0B1"/>
            </w:r>
            <w:r>
              <w:t xml:space="preserve"> 0.</w:t>
            </w:r>
            <w:r w:rsidR="00CD5E72">
              <w:t>9</w:t>
            </w:r>
          </w:p>
        </w:tc>
        <w:tc>
          <w:tcPr>
            <w:tcW w:w="1710" w:type="dxa"/>
          </w:tcPr>
          <w:p w14:paraId="1F7FEC69"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r>
              <w:t xml:space="preserve">13.1 </w:t>
            </w:r>
            <w:r>
              <w:sym w:font="Symbol" w:char="F0B1"/>
            </w:r>
            <w:r>
              <w:t xml:space="preserve"> 1.0</w:t>
            </w:r>
          </w:p>
        </w:tc>
        <w:tc>
          <w:tcPr>
            <w:tcW w:w="1170" w:type="dxa"/>
          </w:tcPr>
          <w:p w14:paraId="099D3211" w14:textId="5274D73A" w:rsidR="00152D53" w:rsidRPr="00C50483" w:rsidRDefault="00152D53" w:rsidP="00E862E4">
            <w:pPr>
              <w:cnfStyle w:val="000000000000" w:firstRow="0" w:lastRow="0" w:firstColumn="0" w:lastColumn="0" w:oddVBand="0" w:evenVBand="0" w:oddHBand="0" w:evenHBand="0" w:firstRowFirstColumn="0" w:firstRowLastColumn="0" w:lastRowFirstColumn="0" w:lastRowLastColumn="0"/>
              <w:rPr>
                <w:b/>
                <w:bCs/>
              </w:rPr>
            </w:pPr>
            <w:r w:rsidRPr="00C50483">
              <w:rPr>
                <w:b/>
                <w:bCs/>
              </w:rPr>
              <w:t>0.0</w:t>
            </w:r>
            <w:r w:rsidR="00C50483" w:rsidRPr="00C50483">
              <w:rPr>
                <w:b/>
                <w:bCs/>
              </w:rPr>
              <w:t>05</w:t>
            </w:r>
          </w:p>
          <w:p w14:paraId="6E96794F" w14:textId="77777777"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64</w:t>
            </w:r>
          </w:p>
          <w:p w14:paraId="1DB8C250"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proofErr w:type="spellStart"/>
            <w:r>
              <w:t>df</w:t>
            </w:r>
            <w:proofErr w:type="spellEnd"/>
            <w:r>
              <w:t xml:space="preserve"> = 32</w:t>
            </w:r>
          </w:p>
        </w:tc>
        <w:tc>
          <w:tcPr>
            <w:tcW w:w="1170" w:type="dxa"/>
          </w:tcPr>
          <w:p w14:paraId="54033F38" w14:textId="19243812" w:rsidR="00152D53" w:rsidRDefault="00152D53" w:rsidP="00E862E4">
            <w:pPr>
              <w:cnfStyle w:val="000000000000" w:firstRow="0" w:lastRow="0" w:firstColumn="0" w:lastColumn="0" w:oddVBand="0" w:evenVBand="0" w:oddHBand="0" w:evenHBand="0" w:firstRowFirstColumn="0" w:firstRowLastColumn="0" w:lastRowFirstColumn="0" w:lastRowLastColumn="0"/>
            </w:pPr>
            <w:r>
              <w:t>0.</w:t>
            </w:r>
            <w:r w:rsidR="00C50483">
              <w:t>154</w:t>
            </w:r>
          </w:p>
          <w:p w14:paraId="1B9D1E1D" w14:textId="77777777" w:rsidR="00152D53" w:rsidRDefault="00152D53" w:rsidP="00E862E4">
            <w:pPr>
              <w:cnfStyle w:val="000000000000" w:firstRow="0" w:lastRow="0" w:firstColumn="0" w:lastColumn="0" w:oddVBand="0" w:evenVBand="0" w:oddHBand="0" w:evenHBand="0" w:firstRowFirstColumn="0" w:firstRowLastColumn="0" w:lastRowFirstColumn="0" w:lastRowLastColumn="0"/>
            </w:pPr>
            <w:r>
              <w:t>X</w:t>
            </w:r>
            <w:r>
              <w:rPr>
                <w:vertAlign w:val="superscript"/>
              </w:rPr>
              <w:t>2</w:t>
            </w:r>
            <w:r>
              <w:t xml:space="preserve"> = 63</w:t>
            </w:r>
          </w:p>
          <w:p w14:paraId="7598FF0C" w14:textId="77777777" w:rsidR="00152D53" w:rsidRPr="00702A26" w:rsidRDefault="00152D53" w:rsidP="00E862E4">
            <w:pPr>
              <w:cnfStyle w:val="000000000000" w:firstRow="0" w:lastRow="0" w:firstColumn="0" w:lastColumn="0" w:oddVBand="0" w:evenVBand="0" w:oddHBand="0" w:evenHBand="0" w:firstRowFirstColumn="0" w:firstRowLastColumn="0" w:lastRowFirstColumn="0" w:lastRowLastColumn="0"/>
            </w:pPr>
            <w:proofErr w:type="spellStart"/>
            <w:r>
              <w:t>df</w:t>
            </w:r>
            <w:proofErr w:type="spellEnd"/>
            <w:r>
              <w:t xml:space="preserve"> = 32</w:t>
            </w:r>
          </w:p>
        </w:tc>
        <w:tc>
          <w:tcPr>
            <w:tcW w:w="1080" w:type="dxa"/>
          </w:tcPr>
          <w:p w14:paraId="097D5843" w14:textId="78999930" w:rsidR="00152D53" w:rsidRPr="00056A56" w:rsidRDefault="00152D53" w:rsidP="00E862E4">
            <w:pPr>
              <w:cnfStyle w:val="000000000000" w:firstRow="0" w:lastRow="0" w:firstColumn="0" w:lastColumn="0" w:oddVBand="0" w:evenVBand="0" w:oddHBand="0" w:evenHBand="0" w:firstRowFirstColumn="0" w:firstRowLastColumn="0" w:lastRowFirstColumn="0" w:lastRowLastColumn="0"/>
            </w:pPr>
            <w:r w:rsidRPr="00056A56">
              <w:t>0.</w:t>
            </w:r>
            <w:r w:rsidR="00A90B90">
              <w:t>915</w:t>
            </w:r>
          </w:p>
        </w:tc>
      </w:tr>
    </w:tbl>
    <w:p w14:paraId="70EDDE7F" w14:textId="77777777" w:rsidR="00152D53" w:rsidRDefault="00152D53" w:rsidP="00B13132">
      <w:pPr>
        <w:spacing w:line="480" w:lineRule="auto"/>
        <w:rPr>
          <w:b/>
          <w:bCs/>
        </w:rPr>
      </w:pPr>
    </w:p>
    <w:p w14:paraId="1DAC309B" w14:textId="227801E8" w:rsidR="00B13132" w:rsidRPr="00CA1499" w:rsidRDefault="00B13132" w:rsidP="00CA1499">
      <w:pPr>
        <w:rPr>
          <w:b/>
          <w:bCs/>
        </w:rPr>
      </w:pPr>
      <w:r w:rsidRPr="00CA1499">
        <w:rPr>
          <w:b/>
          <w:bCs/>
        </w:rPr>
        <w:t>AMF Diversity</w:t>
      </w:r>
    </w:p>
    <w:p w14:paraId="6C66971D" w14:textId="1AF237D6" w:rsidR="00FC1402" w:rsidRPr="00CA1499" w:rsidRDefault="00B13132" w:rsidP="00C15C63">
      <w:pPr>
        <w:ind w:firstLine="720"/>
      </w:pPr>
      <w:r w:rsidRPr="00CA1499">
        <w:t xml:space="preserve"> </w:t>
      </w:r>
      <w:r w:rsidR="00705EC8">
        <w:t>Next Generation S</w:t>
      </w:r>
      <w:r w:rsidRPr="00CA1499">
        <w:t xml:space="preserve">equencing resolved 61 OTUs. Of these 61 OTUs, 29 </w:t>
      </w:r>
      <w:r w:rsidR="00382031">
        <w:t xml:space="preserve">could </w:t>
      </w:r>
      <w:r w:rsidRPr="00CA1499">
        <w:t xml:space="preserve">not </w:t>
      </w:r>
      <w:r w:rsidR="00382031">
        <w:t xml:space="preserve">be </w:t>
      </w:r>
      <w:r w:rsidRPr="00CA1499">
        <w:t xml:space="preserve">identified to family level. The remaining 32 OTUs belonged to 7 genera and 6 families. Average family abundances per sample in order from highest to lowest are: </w:t>
      </w:r>
      <w:proofErr w:type="spellStart"/>
      <w:r w:rsidRPr="00CA1499">
        <w:t>Glomeraceae</w:t>
      </w:r>
      <w:proofErr w:type="spellEnd"/>
      <w:r w:rsidRPr="00CA1499">
        <w:t xml:space="preserve"> (23 OTUs, 50.0% of total reads), </w:t>
      </w:r>
      <w:proofErr w:type="spellStart"/>
      <w:r w:rsidRPr="00CA1499">
        <w:t>Clarideoglomeraceae</w:t>
      </w:r>
      <w:proofErr w:type="spellEnd"/>
      <w:r w:rsidRPr="00CA1499">
        <w:t xml:space="preserve"> (2 OTUs, 20.6% of total reads), </w:t>
      </w:r>
      <w:proofErr w:type="spellStart"/>
      <w:r w:rsidRPr="00CA1499">
        <w:t>Paraglomeraceae</w:t>
      </w:r>
      <w:proofErr w:type="spellEnd"/>
      <w:r w:rsidRPr="00CA1499">
        <w:t xml:space="preserve"> (3 OTUs, 12.2% of total reads), </w:t>
      </w:r>
      <w:proofErr w:type="spellStart"/>
      <w:r w:rsidRPr="00CA1499">
        <w:t>Diversisporaceae</w:t>
      </w:r>
      <w:proofErr w:type="spellEnd"/>
      <w:r w:rsidRPr="00CA1499">
        <w:t xml:space="preserve"> (1 OTU, 4.5% of total reads), </w:t>
      </w:r>
      <w:proofErr w:type="spellStart"/>
      <w:r w:rsidRPr="00CA1499">
        <w:t>Archaesporaceae</w:t>
      </w:r>
      <w:proofErr w:type="spellEnd"/>
      <w:r w:rsidRPr="00CA1499">
        <w:t xml:space="preserve"> (2 OTUs, 1.8% of total reads), and </w:t>
      </w:r>
      <w:proofErr w:type="spellStart"/>
      <w:r w:rsidRPr="00CA1499">
        <w:t>Ambisporaceae</w:t>
      </w:r>
      <w:proofErr w:type="spellEnd"/>
      <w:r w:rsidRPr="00CA1499">
        <w:t xml:space="preserve"> (1 OTU, &lt;1% of total reads). The unidentified OTUs make up the remaining 10.7% of total reads.</w:t>
      </w:r>
      <w:r w:rsidR="00C15C63">
        <w:t xml:space="preserve"> </w:t>
      </w:r>
      <w:r w:rsidR="006B7732">
        <w:t xml:space="preserve">Our linear </w:t>
      </w:r>
      <w:r w:rsidR="00D943DF">
        <w:t xml:space="preserve">mixed-effects </w:t>
      </w:r>
      <w:r w:rsidR="006B7732">
        <w:t xml:space="preserve">models demonstrated </w:t>
      </w:r>
      <w:r w:rsidR="003678C4">
        <w:t>no</w:t>
      </w:r>
      <w:r w:rsidR="006B7732">
        <w:t xml:space="preserve"> significant difference in </w:t>
      </w:r>
      <w:r w:rsidR="005824E5">
        <w:t xml:space="preserve">either </w:t>
      </w:r>
      <w:r w:rsidR="006B7732">
        <w:t xml:space="preserve">OTU </w:t>
      </w:r>
      <w:r w:rsidR="005824E5">
        <w:t xml:space="preserve">or family </w:t>
      </w:r>
      <w:r w:rsidR="006B7732">
        <w:t>richness</w:t>
      </w:r>
      <w:r w:rsidR="00FC01A0">
        <w:t xml:space="preserve"> </w:t>
      </w:r>
      <w:r w:rsidR="006B7732">
        <w:t xml:space="preserve">between </w:t>
      </w:r>
      <w:r w:rsidR="00DE3DCC">
        <w:t>states</w:t>
      </w:r>
      <w:r w:rsidR="00D9458A">
        <w:t>,</w:t>
      </w:r>
      <w:r w:rsidR="006B7732">
        <w:t xml:space="preserve"> </w:t>
      </w:r>
      <w:r w:rsidR="00DE3DCC">
        <w:t>invasion histories</w:t>
      </w:r>
      <w:r w:rsidR="00D9458A">
        <w:t>, or the</w:t>
      </w:r>
      <w:r w:rsidR="006B7732">
        <w:t xml:space="preserve"> interaction between state and invasion history. </w:t>
      </w:r>
    </w:p>
    <w:p w14:paraId="07E8269F" w14:textId="77777777" w:rsidR="00B13132" w:rsidRPr="00CA1499" w:rsidRDefault="00B13132" w:rsidP="00CA1499"/>
    <w:p w14:paraId="701E4427" w14:textId="77777777" w:rsidR="00B13132" w:rsidRPr="00CA1499" w:rsidRDefault="00B13132" w:rsidP="00CA1499">
      <w:pPr>
        <w:rPr>
          <w:b/>
          <w:bCs/>
        </w:rPr>
      </w:pPr>
      <w:r w:rsidRPr="00CA1499">
        <w:rPr>
          <w:b/>
          <w:bCs/>
        </w:rPr>
        <w:t>AMF Community Composition</w:t>
      </w:r>
    </w:p>
    <w:p w14:paraId="33063D47" w14:textId="2AF54AA6" w:rsidR="00A41573" w:rsidRDefault="00DA3E77" w:rsidP="00A41573">
      <w:pPr>
        <w:ind w:firstLine="720"/>
      </w:pPr>
      <w:r>
        <w:t>Our</w:t>
      </w:r>
      <w:r w:rsidR="00B13132" w:rsidRPr="00CA1499">
        <w:t xml:space="preserve"> PERMANOVA revealed that there was a significant difference in AMF </w:t>
      </w:r>
      <w:r w:rsidR="00954EA8">
        <w:t>community</w:t>
      </w:r>
      <w:r w:rsidR="00B13132" w:rsidRPr="00CA1499">
        <w:t xml:space="preserve"> composition between soil collected from CO and IL (Fig</w:t>
      </w:r>
      <w:r w:rsidR="0018179D">
        <w:t>.</w:t>
      </w:r>
      <w:r w:rsidR="00B13132" w:rsidRPr="00CA1499">
        <w:t xml:space="preserve"> 1, </w:t>
      </w:r>
      <w:proofErr w:type="spellStart"/>
      <w:r w:rsidR="00917423" w:rsidRPr="00917423">
        <w:rPr>
          <w:i/>
          <w:iCs/>
        </w:rPr>
        <w:t>df</w:t>
      </w:r>
      <w:proofErr w:type="spellEnd"/>
      <w:r w:rsidR="00917423" w:rsidRPr="00917423">
        <w:rPr>
          <w:i/>
          <w:iCs/>
        </w:rPr>
        <w:t xml:space="preserve"> </w:t>
      </w:r>
      <w:r w:rsidR="00917423">
        <w:t xml:space="preserve">= 1, </w:t>
      </w:r>
      <w:r w:rsidR="00917423" w:rsidRPr="0042065B">
        <w:rPr>
          <w:i/>
          <w:iCs/>
        </w:rPr>
        <w:t>R</w:t>
      </w:r>
      <w:r w:rsidR="00917423" w:rsidRPr="0042065B">
        <w:rPr>
          <w:i/>
          <w:iCs/>
          <w:vertAlign w:val="superscript"/>
        </w:rPr>
        <w:t>2</w:t>
      </w:r>
      <w:r w:rsidR="00917423">
        <w:t xml:space="preserve"> = </w:t>
      </w:r>
      <w:r w:rsidR="00184D54">
        <w:t>0.12</w:t>
      </w:r>
      <w:r w:rsidR="00917423">
        <w:t xml:space="preserve">, </w:t>
      </w:r>
      <w:r w:rsidR="00E562C8" w:rsidRPr="00E562C8">
        <w:rPr>
          <w:i/>
          <w:iCs/>
        </w:rPr>
        <w:t>P</w:t>
      </w:r>
      <w:r w:rsidR="00992811">
        <w:rPr>
          <w:i/>
          <w:iCs/>
        </w:rPr>
        <w:t xml:space="preserve"> </w:t>
      </w:r>
      <w:r w:rsidR="00B13132" w:rsidRPr="00CA1499">
        <w:t>=</w:t>
      </w:r>
      <w:r w:rsidR="00992811">
        <w:t xml:space="preserve"> </w:t>
      </w:r>
      <w:r w:rsidR="00B13132" w:rsidRPr="00CA1499">
        <w:t xml:space="preserve">0.001). However, AMF OTU composition was not significantly different between invaded and uninvaded </w:t>
      </w:r>
      <w:r w:rsidR="007D4935">
        <w:t>plots</w:t>
      </w:r>
      <w:r w:rsidR="00B13132" w:rsidRPr="00CA1499">
        <w:t xml:space="preserve"> from both states (</w:t>
      </w:r>
      <w:proofErr w:type="spellStart"/>
      <w:r w:rsidR="00E87C2B" w:rsidRPr="00CC22D4">
        <w:rPr>
          <w:i/>
          <w:iCs/>
        </w:rPr>
        <w:t>df</w:t>
      </w:r>
      <w:proofErr w:type="spellEnd"/>
      <w:r w:rsidR="00E87C2B" w:rsidRPr="00CC22D4">
        <w:rPr>
          <w:i/>
          <w:iCs/>
        </w:rPr>
        <w:t xml:space="preserve"> </w:t>
      </w:r>
      <w:r w:rsidR="00E87C2B">
        <w:t xml:space="preserve">= 1, </w:t>
      </w:r>
      <w:r w:rsidR="00E87C2B" w:rsidRPr="00CC22D4">
        <w:rPr>
          <w:i/>
          <w:iCs/>
        </w:rPr>
        <w:t>R</w:t>
      </w:r>
      <w:r w:rsidR="00E87C2B" w:rsidRPr="00CC22D4">
        <w:rPr>
          <w:i/>
          <w:iCs/>
          <w:vertAlign w:val="superscript"/>
        </w:rPr>
        <w:t>2</w:t>
      </w:r>
      <w:r w:rsidR="00E87C2B">
        <w:t>=</w:t>
      </w:r>
      <w:r w:rsidR="00E87C2B">
        <w:rPr>
          <w:vertAlign w:val="superscript"/>
        </w:rPr>
        <w:t xml:space="preserve"> </w:t>
      </w:r>
      <w:r w:rsidR="00E87C2B">
        <w:t xml:space="preserve">0.007, </w:t>
      </w:r>
      <w:r w:rsidR="00E562C8" w:rsidRPr="00E562C8">
        <w:rPr>
          <w:i/>
          <w:iCs/>
        </w:rPr>
        <w:t>P</w:t>
      </w:r>
      <w:r w:rsidR="00B13132" w:rsidRPr="00CA1499">
        <w:t>=0.85</w:t>
      </w:r>
      <w:r w:rsidR="00E87C2B">
        <w:t>9</w:t>
      </w:r>
      <w:r w:rsidR="00B13132" w:rsidRPr="00CA1499">
        <w:t xml:space="preserve">). In CO soil, AMF OTU composition was not significantly different between invaded and uninvaded </w:t>
      </w:r>
      <w:r w:rsidR="00D20F88">
        <w:t>plot</w:t>
      </w:r>
      <w:r w:rsidR="00B13132" w:rsidRPr="00CA1499">
        <w:t>s (</w:t>
      </w:r>
      <w:proofErr w:type="spellStart"/>
      <w:r w:rsidR="00B610F1" w:rsidRPr="00B610F1">
        <w:rPr>
          <w:i/>
          <w:iCs/>
        </w:rPr>
        <w:t>df</w:t>
      </w:r>
      <w:proofErr w:type="spellEnd"/>
      <w:r w:rsidR="00B610F1" w:rsidRPr="00B610F1">
        <w:rPr>
          <w:i/>
          <w:iCs/>
        </w:rPr>
        <w:t xml:space="preserve"> </w:t>
      </w:r>
      <w:r w:rsidR="00B610F1">
        <w:t xml:space="preserve">= 1, </w:t>
      </w:r>
      <w:r w:rsidR="00B610F1" w:rsidRPr="00B610F1">
        <w:rPr>
          <w:i/>
          <w:iCs/>
        </w:rPr>
        <w:t>R</w:t>
      </w:r>
      <w:r w:rsidR="00B610F1" w:rsidRPr="00B610F1">
        <w:rPr>
          <w:i/>
          <w:iCs/>
          <w:vertAlign w:val="superscript"/>
        </w:rPr>
        <w:t>2</w:t>
      </w:r>
      <w:r w:rsidR="00B610F1">
        <w:t xml:space="preserve"> = 0.016, </w:t>
      </w:r>
      <w:r w:rsidR="00E562C8" w:rsidRPr="00E562C8">
        <w:rPr>
          <w:i/>
          <w:iCs/>
        </w:rPr>
        <w:t>P</w:t>
      </w:r>
      <w:r w:rsidR="00B13132" w:rsidRPr="00CA1499">
        <w:t>=0.7</w:t>
      </w:r>
      <w:r w:rsidR="00B610F1">
        <w:t>87</w:t>
      </w:r>
      <w:r w:rsidR="00B13132" w:rsidRPr="00CA1499">
        <w:t xml:space="preserve">). Similarly, in IL soil, AMF OTU composition was not significantly different between invaded and uninvaded </w:t>
      </w:r>
      <w:r w:rsidR="00D20F88">
        <w:t>plot</w:t>
      </w:r>
      <w:r w:rsidR="00B13132" w:rsidRPr="00CA1499">
        <w:t>s (</w:t>
      </w:r>
      <w:proofErr w:type="spellStart"/>
      <w:r w:rsidR="00D71C52" w:rsidRPr="00BF7B91">
        <w:rPr>
          <w:i/>
          <w:iCs/>
        </w:rPr>
        <w:t>df</w:t>
      </w:r>
      <w:proofErr w:type="spellEnd"/>
      <w:r w:rsidR="00D71C52">
        <w:t xml:space="preserve"> = 1, </w:t>
      </w:r>
      <w:r w:rsidR="00D71C52" w:rsidRPr="00BF7B91">
        <w:rPr>
          <w:i/>
          <w:iCs/>
        </w:rPr>
        <w:t>R</w:t>
      </w:r>
      <w:r w:rsidR="00D71C52" w:rsidRPr="00BF7B91">
        <w:rPr>
          <w:i/>
          <w:iCs/>
          <w:vertAlign w:val="superscript"/>
        </w:rPr>
        <w:t>2</w:t>
      </w:r>
      <w:r w:rsidR="00D71C52" w:rsidRPr="00BF7B91">
        <w:rPr>
          <w:i/>
          <w:iCs/>
        </w:rPr>
        <w:t xml:space="preserve"> </w:t>
      </w:r>
      <w:r w:rsidR="00D71C52">
        <w:t xml:space="preserve">= 0.021, </w:t>
      </w:r>
      <w:r w:rsidR="00E562C8" w:rsidRPr="00E562C8">
        <w:rPr>
          <w:i/>
          <w:iCs/>
        </w:rPr>
        <w:t>P</w:t>
      </w:r>
      <w:r w:rsidR="00B13132" w:rsidRPr="00CA1499">
        <w:t>=0.6</w:t>
      </w:r>
      <w:r w:rsidR="00D71C52">
        <w:t>38</w:t>
      </w:r>
      <w:r w:rsidR="00B13132" w:rsidRPr="00CA1499">
        <w:t>).</w:t>
      </w:r>
    </w:p>
    <w:p w14:paraId="054CD714" w14:textId="65E07027" w:rsidR="004E02F9" w:rsidRDefault="004E02F9" w:rsidP="002E245E">
      <w:pPr>
        <w:ind w:firstLine="720"/>
      </w:pPr>
      <w:r>
        <w:lastRenderedPageBreak/>
        <w:t xml:space="preserve">The indicator species analysis revealed several OTUs that differed by either state (Appendix 2) or invasion history (Appendix 3). Kruskal-Wallis tests on mean relative abundance of AMF families revealed that </w:t>
      </w:r>
      <w:proofErr w:type="spellStart"/>
      <w:r>
        <w:t>Diversisporaceae</w:t>
      </w:r>
      <w:proofErr w:type="spellEnd"/>
      <w:r>
        <w:t xml:space="preserve"> (</w:t>
      </w:r>
      <w:proofErr w:type="spellStart"/>
      <w:r w:rsidRPr="007B5A2A">
        <w:rPr>
          <w:i/>
          <w:iCs/>
        </w:rPr>
        <w:t>df</w:t>
      </w:r>
      <w:proofErr w:type="spellEnd"/>
      <w:r w:rsidRPr="007B5A2A">
        <w:rPr>
          <w:i/>
          <w:iCs/>
        </w:rPr>
        <w:t xml:space="preserve"> </w:t>
      </w:r>
      <w:r>
        <w:t xml:space="preserve">= 1, </w:t>
      </w:r>
      <w:r w:rsidRPr="007B5A2A">
        <w:rPr>
          <w:i/>
          <w:iCs/>
        </w:rPr>
        <w:t>X</w:t>
      </w:r>
      <w:r w:rsidRPr="007B5A2A">
        <w:rPr>
          <w:i/>
          <w:iCs/>
          <w:vertAlign w:val="superscript"/>
        </w:rPr>
        <w:t>2</w:t>
      </w:r>
      <w:r>
        <w:t xml:space="preserve"> = 35.2, </w:t>
      </w:r>
      <w:r w:rsidRPr="007B5A2A">
        <w:rPr>
          <w:i/>
          <w:iCs/>
        </w:rPr>
        <w:t>P</w:t>
      </w:r>
      <w:r>
        <w:t xml:space="preserve"> &lt;0.001) were more abundant in IL than CO soil and </w:t>
      </w:r>
      <w:proofErr w:type="spellStart"/>
      <w:r>
        <w:t>Archaeosporaceae</w:t>
      </w:r>
      <w:proofErr w:type="spellEnd"/>
      <w:r>
        <w:t xml:space="preserve"> (</w:t>
      </w:r>
      <w:proofErr w:type="spellStart"/>
      <w:r w:rsidRPr="00A501FC">
        <w:rPr>
          <w:i/>
          <w:iCs/>
        </w:rPr>
        <w:t>df</w:t>
      </w:r>
      <w:proofErr w:type="spellEnd"/>
      <w:r w:rsidRPr="00A501FC">
        <w:rPr>
          <w:i/>
          <w:iCs/>
        </w:rPr>
        <w:t xml:space="preserve"> </w:t>
      </w:r>
      <w:r>
        <w:t xml:space="preserve">= 1, </w:t>
      </w:r>
      <w:r w:rsidRPr="00A501FC">
        <w:rPr>
          <w:i/>
          <w:iCs/>
        </w:rPr>
        <w:t>X</w:t>
      </w:r>
      <w:r w:rsidRPr="00A501FC">
        <w:rPr>
          <w:i/>
          <w:iCs/>
          <w:vertAlign w:val="superscript"/>
        </w:rPr>
        <w:t>2</w:t>
      </w:r>
      <w:r>
        <w:t xml:space="preserve"> = 1</w:t>
      </w:r>
      <w:r w:rsidR="00581F61">
        <w:t>0.8</w:t>
      </w:r>
      <w:r>
        <w:t xml:space="preserve">, </w:t>
      </w:r>
      <w:r w:rsidRPr="00A501FC">
        <w:rPr>
          <w:i/>
          <w:iCs/>
        </w:rPr>
        <w:t>P</w:t>
      </w:r>
      <w:r>
        <w:t xml:space="preserve"> &lt; 0.001) were more abundant in CO than IL soil.</w:t>
      </w:r>
      <w:r w:rsidR="006C0947">
        <w:t xml:space="preserve"> Additionally, </w:t>
      </w:r>
      <w:proofErr w:type="spellStart"/>
      <w:r w:rsidR="006C0947">
        <w:t>Glomeraceae</w:t>
      </w:r>
      <w:proofErr w:type="spellEnd"/>
      <w:r>
        <w:t xml:space="preserve"> </w:t>
      </w:r>
      <w:r w:rsidR="006C0947">
        <w:t>were more abundant in u</w:t>
      </w:r>
      <w:r>
        <w:t>n</w:t>
      </w:r>
      <w:r w:rsidR="006C0947">
        <w:t>in</w:t>
      </w:r>
      <w:r>
        <w:t xml:space="preserve">vaded </w:t>
      </w:r>
      <w:r w:rsidR="006C0947">
        <w:t xml:space="preserve">than </w:t>
      </w:r>
      <w:r>
        <w:t>invaded soil</w:t>
      </w:r>
      <w:r w:rsidR="006C0947">
        <w:t xml:space="preserve"> across both sites (</w:t>
      </w:r>
      <w:proofErr w:type="spellStart"/>
      <w:r w:rsidR="006C0947" w:rsidRPr="006C0947">
        <w:rPr>
          <w:i/>
          <w:iCs/>
        </w:rPr>
        <w:t>df</w:t>
      </w:r>
      <w:proofErr w:type="spellEnd"/>
      <w:r w:rsidR="006C0947" w:rsidRPr="006C0947">
        <w:rPr>
          <w:i/>
          <w:iCs/>
        </w:rPr>
        <w:t xml:space="preserve"> </w:t>
      </w:r>
      <w:r w:rsidR="006C0947">
        <w:t xml:space="preserve">= </w:t>
      </w:r>
      <w:r w:rsidR="00B46CE3">
        <w:t>1</w:t>
      </w:r>
      <w:r w:rsidR="006C0947">
        <w:t xml:space="preserve">, </w:t>
      </w:r>
      <w:r w:rsidR="006C0947" w:rsidRPr="006C0947">
        <w:rPr>
          <w:i/>
          <w:iCs/>
        </w:rPr>
        <w:t>X</w:t>
      </w:r>
      <w:r w:rsidR="006C0947" w:rsidRPr="006C0947">
        <w:rPr>
          <w:i/>
          <w:iCs/>
          <w:vertAlign w:val="superscript"/>
        </w:rPr>
        <w:t>2</w:t>
      </w:r>
      <w:r w:rsidR="006C0947">
        <w:t xml:space="preserve"> = </w:t>
      </w:r>
      <w:r w:rsidR="00B46CE3">
        <w:t>4.64</w:t>
      </w:r>
      <w:r w:rsidR="006C0947">
        <w:t xml:space="preserve">, </w:t>
      </w:r>
      <w:r w:rsidR="006C0947" w:rsidRPr="006C0947">
        <w:rPr>
          <w:i/>
          <w:iCs/>
        </w:rPr>
        <w:t>P</w:t>
      </w:r>
      <w:r w:rsidR="006C0947">
        <w:t xml:space="preserve"> = </w:t>
      </w:r>
      <w:r w:rsidR="00B46CE3">
        <w:t>0.031</w:t>
      </w:r>
      <w:r w:rsidR="006C0947">
        <w:t>)</w:t>
      </w:r>
      <w:r>
        <w:t>.</w:t>
      </w:r>
    </w:p>
    <w:p w14:paraId="556033D9" w14:textId="02A39281" w:rsidR="00B13132" w:rsidRPr="00CA1499" w:rsidRDefault="00B13132" w:rsidP="00CA1499"/>
    <w:p w14:paraId="50D07426" w14:textId="6483F3CC" w:rsidR="00B13132" w:rsidRPr="00CA1499" w:rsidRDefault="00251452" w:rsidP="00CA1499">
      <w:r>
        <w:rPr>
          <w:noProof/>
        </w:rPr>
        <w:drawing>
          <wp:inline distT="0" distB="0" distL="0" distR="0" wp14:anchorId="352CB51F" wp14:editId="26E9E4EB">
            <wp:extent cx="4042410" cy="3569499"/>
            <wp:effectExtent l="0" t="0" r="0" b="0"/>
            <wp:docPr id="1" name="Picture 1" descr="A picture containing text, diagram, map,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map,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2933" cy="3587621"/>
                    </a:xfrm>
                    <a:prstGeom prst="rect">
                      <a:avLst/>
                    </a:prstGeom>
                  </pic:spPr>
                </pic:pic>
              </a:graphicData>
            </a:graphic>
          </wp:inline>
        </w:drawing>
      </w:r>
    </w:p>
    <w:p w14:paraId="4E786BCB" w14:textId="2CB0839D" w:rsidR="00791983" w:rsidRPr="00CA1499" w:rsidRDefault="00791983" w:rsidP="00791983">
      <w:r w:rsidRPr="00CA1499">
        <w:rPr>
          <w:b/>
          <w:bCs/>
        </w:rPr>
        <w:t>Fig</w:t>
      </w:r>
      <w:r w:rsidR="0068694A">
        <w:rPr>
          <w:b/>
          <w:bCs/>
        </w:rPr>
        <w:t>ure 5</w:t>
      </w:r>
      <w:r w:rsidRPr="00CA1499">
        <w:rPr>
          <w:b/>
          <w:bCs/>
        </w:rPr>
        <w:t xml:space="preserve">. </w:t>
      </w:r>
      <w:r w:rsidRPr="00CA1499">
        <w:t>Non-metric multidimensional scaling plot of AMF OTUs</w:t>
      </w:r>
      <w:r w:rsidR="00251452">
        <w:t xml:space="preserve">, soil chemistry, and texture </w:t>
      </w:r>
      <w:r w:rsidRPr="00CA1499">
        <w:t>in CO and IL soil.</w:t>
      </w:r>
      <w:r w:rsidR="00A945FE">
        <w:t xml:space="preserve"> Lines represent soil edaphic factors. </w:t>
      </w:r>
    </w:p>
    <w:p w14:paraId="6804B436" w14:textId="0DD27836" w:rsidR="00B13132" w:rsidRDefault="00B13132" w:rsidP="00CA1499"/>
    <w:p w14:paraId="5E5A6F9B" w14:textId="63F62F34" w:rsidR="00791983" w:rsidRPr="00CA1499" w:rsidRDefault="00CB1ECA" w:rsidP="00CA1499">
      <w:r>
        <w:rPr>
          <w:noProof/>
        </w:rPr>
        <w:lastRenderedPageBreak/>
        <w:drawing>
          <wp:inline distT="0" distB="0" distL="0" distR="0" wp14:anchorId="767DC31E" wp14:editId="6A1D5FE2">
            <wp:extent cx="4057903" cy="3339966"/>
            <wp:effectExtent l="0" t="0" r="0" b="635"/>
            <wp:docPr id="6" name="Picture 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line,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7903" cy="3339966"/>
                    </a:xfrm>
                    <a:prstGeom prst="rect">
                      <a:avLst/>
                    </a:prstGeom>
                  </pic:spPr>
                </pic:pic>
              </a:graphicData>
            </a:graphic>
          </wp:inline>
        </w:drawing>
      </w:r>
    </w:p>
    <w:p w14:paraId="178276BA" w14:textId="4B7BA10E" w:rsidR="00B13132" w:rsidRPr="00CA1499" w:rsidRDefault="00B13132" w:rsidP="00CA1499">
      <w:r w:rsidRPr="00CA1499">
        <w:rPr>
          <w:b/>
          <w:bCs/>
        </w:rPr>
        <w:t>Fi</w:t>
      </w:r>
      <w:r w:rsidR="009661C1">
        <w:rPr>
          <w:b/>
          <w:bCs/>
        </w:rPr>
        <w:t>g</w:t>
      </w:r>
      <w:r w:rsidR="00827DCA">
        <w:rPr>
          <w:b/>
          <w:bCs/>
        </w:rPr>
        <w:t>ure 6</w:t>
      </w:r>
      <w:r w:rsidRPr="00CA1499">
        <w:rPr>
          <w:b/>
          <w:bCs/>
        </w:rPr>
        <w:t>.</w:t>
      </w:r>
      <w:r w:rsidRPr="00CA1499">
        <w:t xml:space="preserve"> Non-metric multidimensional scaling plot of AMF OTUs</w:t>
      </w:r>
      <w:r w:rsidR="00CB1ECA">
        <w:t>, soil chemistry, and texture</w:t>
      </w:r>
      <w:r w:rsidRPr="00CA1499">
        <w:t xml:space="preserve"> in </w:t>
      </w:r>
      <w:r w:rsidRPr="00CA1499">
        <w:rPr>
          <w:i/>
          <w:iCs/>
        </w:rPr>
        <w:t xml:space="preserve">L. vulgaris </w:t>
      </w:r>
      <w:r w:rsidRPr="00CA1499">
        <w:t xml:space="preserve">invaded and uninvaded CO soil. </w:t>
      </w:r>
    </w:p>
    <w:p w14:paraId="031181C2" w14:textId="77777777" w:rsidR="00B13132" w:rsidRPr="00CA1499" w:rsidRDefault="00B13132" w:rsidP="00CA1499"/>
    <w:p w14:paraId="51ABAE31" w14:textId="77777777" w:rsidR="00B13132" w:rsidRPr="00CA1499" w:rsidRDefault="00B13132" w:rsidP="00CA1499"/>
    <w:p w14:paraId="2233C50E" w14:textId="7885F471" w:rsidR="00B13132" w:rsidRPr="00CA1499" w:rsidRDefault="00622AA3" w:rsidP="00CA1499">
      <w:pPr>
        <w:rPr>
          <w:b/>
          <w:bCs/>
        </w:rPr>
      </w:pPr>
      <w:r>
        <w:rPr>
          <w:b/>
          <w:bCs/>
          <w:noProof/>
        </w:rPr>
        <w:drawing>
          <wp:inline distT="0" distB="0" distL="0" distR="0" wp14:anchorId="45FF98CC" wp14:editId="43C23CCE">
            <wp:extent cx="4057650" cy="3287737"/>
            <wp:effectExtent l="0" t="0" r="0" b="1905"/>
            <wp:docPr id="13" name="Picture 1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agram, screensho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8711" cy="3296699"/>
                    </a:xfrm>
                    <a:prstGeom prst="rect">
                      <a:avLst/>
                    </a:prstGeom>
                  </pic:spPr>
                </pic:pic>
              </a:graphicData>
            </a:graphic>
          </wp:inline>
        </w:drawing>
      </w:r>
    </w:p>
    <w:p w14:paraId="371B8114" w14:textId="01F0D3C2" w:rsidR="00B13132" w:rsidRPr="00CA1499" w:rsidRDefault="00B13132" w:rsidP="00CA1499">
      <w:r w:rsidRPr="00CA1499">
        <w:rPr>
          <w:b/>
          <w:bCs/>
        </w:rPr>
        <w:t>Fi</w:t>
      </w:r>
      <w:r w:rsidR="00827DCA">
        <w:rPr>
          <w:b/>
          <w:bCs/>
        </w:rPr>
        <w:t>gure 7</w:t>
      </w:r>
      <w:r w:rsidRPr="00CA1499">
        <w:rPr>
          <w:b/>
          <w:bCs/>
        </w:rPr>
        <w:t>.</w:t>
      </w:r>
      <w:r w:rsidRPr="00CA1499">
        <w:t xml:space="preserve"> Non-metric multidimensional scaling plot of AMF OTUs</w:t>
      </w:r>
      <w:r w:rsidR="000B337B">
        <w:t>, soil chemistry, and texture</w:t>
      </w:r>
      <w:r w:rsidRPr="00CA1499">
        <w:t xml:space="preserve"> in </w:t>
      </w:r>
      <w:r w:rsidRPr="00CA1499">
        <w:rPr>
          <w:i/>
          <w:iCs/>
        </w:rPr>
        <w:t xml:space="preserve">L. vulgaris </w:t>
      </w:r>
      <w:r w:rsidRPr="00CA1499">
        <w:t xml:space="preserve">invaded and uninvaded IL soil. </w:t>
      </w:r>
    </w:p>
    <w:p w14:paraId="4216CA3B" w14:textId="77777777" w:rsidR="00B13132" w:rsidRDefault="00B13132" w:rsidP="00CA1499"/>
    <w:p w14:paraId="79ED288E" w14:textId="77777777" w:rsidR="00244812" w:rsidRDefault="00244812" w:rsidP="00244812">
      <w:pPr>
        <w:rPr>
          <w:b/>
          <w:bCs/>
        </w:rPr>
      </w:pPr>
      <w:r>
        <w:rPr>
          <w:b/>
          <w:bCs/>
          <w:noProof/>
        </w:rPr>
        <w:lastRenderedPageBreak/>
        <w:drawing>
          <wp:inline distT="0" distB="0" distL="0" distR="0" wp14:anchorId="576F3D37" wp14:editId="618C5E57">
            <wp:extent cx="4082025" cy="3881120"/>
            <wp:effectExtent l="0" t="0" r="0" b="5080"/>
            <wp:docPr id="258645296" name="Picture 1"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45296" name="Picture 1" descr="A picture containing diagram, text, technical drawing, pla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86995" cy="3885846"/>
                    </a:xfrm>
                    <a:prstGeom prst="rect">
                      <a:avLst/>
                    </a:prstGeom>
                  </pic:spPr>
                </pic:pic>
              </a:graphicData>
            </a:graphic>
          </wp:inline>
        </w:drawing>
      </w:r>
    </w:p>
    <w:p w14:paraId="48BB606E" w14:textId="5A9FD734" w:rsidR="00244812" w:rsidRDefault="00244812" w:rsidP="00244812">
      <w:r>
        <w:rPr>
          <w:b/>
          <w:bCs/>
        </w:rPr>
        <w:t>Fig</w:t>
      </w:r>
      <w:r w:rsidR="006E7289">
        <w:rPr>
          <w:b/>
          <w:bCs/>
        </w:rPr>
        <w:t>ure 8</w:t>
      </w:r>
      <w:r>
        <w:rPr>
          <w:b/>
          <w:bCs/>
        </w:rPr>
        <w:t xml:space="preserve">. </w:t>
      </w:r>
      <w:r>
        <w:t xml:space="preserve">Mean relative abundance of families by site. OTUs that could not be identified to family are listed as NA. Significantly different mean relative abundances from Kruskal-Wallis tests are represented by asterisks (*P &lt; 0.05, **P&lt;0.01, ***P&lt;0.001).    </w:t>
      </w:r>
    </w:p>
    <w:p w14:paraId="137E97CB" w14:textId="77777777" w:rsidR="00E122B1" w:rsidRDefault="00E122B1" w:rsidP="00E122B1">
      <w:r>
        <w:rPr>
          <w:noProof/>
        </w:rPr>
        <w:drawing>
          <wp:inline distT="0" distB="0" distL="0" distR="0" wp14:anchorId="50EAE3D4" wp14:editId="5E332EBB">
            <wp:extent cx="4081780" cy="3640240"/>
            <wp:effectExtent l="0" t="0" r="0" b="5080"/>
            <wp:docPr id="215827871" name="Picture 2" descr="A picture containing text, diagram, screensho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27871" name="Picture 2" descr="A picture containing text, diagram, screenshot, technical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00297" cy="3656754"/>
                    </a:xfrm>
                    <a:prstGeom prst="rect">
                      <a:avLst/>
                    </a:prstGeom>
                  </pic:spPr>
                </pic:pic>
              </a:graphicData>
            </a:graphic>
          </wp:inline>
        </w:drawing>
      </w:r>
    </w:p>
    <w:p w14:paraId="7A9212DF" w14:textId="691A49E9" w:rsidR="00E122B1" w:rsidRPr="004460B7" w:rsidRDefault="00E122B1" w:rsidP="00E122B1">
      <w:r w:rsidRPr="00E122B1">
        <w:rPr>
          <w:b/>
          <w:bCs/>
        </w:rPr>
        <w:lastRenderedPageBreak/>
        <w:t>Fig</w:t>
      </w:r>
      <w:r w:rsidR="006E7289">
        <w:rPr>
          <w:b/>
          <w:bCs/>
        </w:rPr>
        <w:t>ure 9</w:t>
      </w:r>
      <w:r w:rsidRPr="00E122B1">
        <w:rPr>
          <w:b/>
          <w:bCs/>
        </w:rPr>
        <w:t>.</w:t>
      </w:r>
      <w:r>
        <w:t xml:space="preserve"> Mean relative abundance of families by invasion history. OTUs that could not be identified to family are listed as NA. </w:t>
      </w:r>
      <w:r w:rsidR="00280604">
        <w:t xml:space="preserve">Significantly different mean relative abundances from Kruskal-Wallis tests are represented by asterisks (*P &lt; 0.05, **P&lt;0.01, ***P&lt;0.001).    </w:t>
      </w:r>
    </w:p>
    <w:p w14:paraId="27703CA6" w14:textId="77777777" w:rsidR="00244812" w:rsidRPr="00CA1499" w:rsidRDefault="00244812" w:rsidP="00CA1499"/>
    <w:p w14:paraId="7F5910CC" w14:textId="0D613F36" w:rsidR="00B13132" w:rsidRPr="00CA1499" w:rsidRDefault="00FC4494" w:rsidP="00162C8D">
      <w:pPr>
        <w:ind w:firstLine="720"/>
      </w:pPr>
      <w:r>
        <w:t>PERMANOVAs revealed that r</w:t>
      </w:r>
      <w:r w:rsidR="00B13132" w:rsidRPr="00CA1499">
        <w:t>elative abundance</w:t>
      </w:r>
      <w:r w:rsidR="002B7F7C">
        <w:t>s</w:t>
      </w:r>
      <w:r w:rsidR="00B13132" w:rsidRPr="00CA1499">
        <w:t xml:space="preserve"> of OTUs across s</w:t>
      </w:r>
      <w:r w:rsidR="00EE0C65">
        <w:t>ite</w:t>
      </w:r>
      <w:r w:rsidR="004165FE">
        <w:t>s</w:t>
      </w:r>
      <w:r w:rsidR="00B13132" w:rsidRPr="00CA1499">
        <w:t xml:space="preserve"> were affected by NO</w:t>
      </w:r>
      <w:r w:rsidR="00B13132" w:rsidRPr="00CA1499">
        <w:rPr>
          <w:vertAlign w:val="subscript"/>
        </w:rPr>
        <w:t>3</w:t>
      </w:r>
      <w:r w:rsidR="00B13132" w:rsidRPr="00CA1499">
        <w:t>, sand, and silt (Table 4). Relative abundances of OTUs affected by NH</w:t>
      </w:r>
      <w:r w:rsidR="00B13132" w:rsidRPr="00CA1499">
        <w:rPr>
          <w:vertAlign w:val="subscript"/>
        </w:rPr>
        <w:t>4</w:t>
      </w:r>
      <w:r w:rsidR="00B13132" w:rsidRPr="00CA1499">
        <w:t>, sand, and clay depended on s</w:t>
      </w:r>
      <w:r w:rsidR="00EE0C65">
        <w:t>ite</w:t>
      </w:r>
      <w:r w:rsidR="00B13132" w:rsidRPr="00CA1499">
        <w:t>. Relative abundances of OTUs were not affected by soil factors depending on invasion history or the interaction between state and invasion history.</w:t>
      </w:r>
    </w:p>
    <w:p w14:paraId="16E65A5F" w14:textId="77777777" w:rsidR="00B13132" w:rsidRPr="00CA1499" w:rsidRDefault="00B13132" w:rsidP="00CA1499">
      <w:pPr>
        <w:rPr>
          <w:b/>
          <w:bCs/>
        </w:rPr>
      </w:pPr>
    </w:p>
    <w:p w14:paraId="1E25B685" w14:textId="19736E94" w:rsidR="00B13132" w:rsidRPr="00CA1499" w:rsidRDefault="00B13132" w:rsidP="00CA1499">
      <w:commentRangeStart w:id="4"/>
      <w:r w:rsidRPr="00CA1499">
        <w:rPr>
          <w:b/>
          <w:bCs/>
        </w:rPr>
        <w:t xml:space="preserve">Table </w:t>
      </w:r>
      <w:r w:rsidR="00824064">
        <w:rPr>
          <w:b/>
          <w:bCs/>
        </w:rPr>
        <w:t>2</w:t>
      </w:r>
      <w:r w:rsidRPr="00CA1499">
        <w:rPr>
          <w:b/>
          <w:bCs/>
        </w:rPr>
        <w:t xml:space="preserve">. </w:t>
      </w:r>
      <w:r w:rsidR="007D1B3D">
        <w:t>PERMANOVA o</w:t>
      </w:r>
      <w:r w:rsidR="001C6607">
        <w:t>f</w:t>
      </w:r>
      <w:r w:rsidR="007D1B3D">
        <w:t xml:space="preserve"> </w:t>
      </w:r>
      <w:r w:rsidRPr="00CA1499">
        <w:t xml:space="preserve">effects of </w:t>
      </w:r>
      <w:r w:rsidR="00B53BBD">
        <w:t xml:space="preserve">edaphic </w:t>
      </w:r>
      <w:r w:rsidRPr="00CA1499">
        <w:t xml:space="preserve">factors </w:t>
      </w:r>
      <w:r w:rsidR="00DA0E5E" w:rsidRPr="00CA1499">
        <w:t xml:space="preserve">and their interactions with state, invasion, and state and invasion together </w:t>
      </w:r>
      <w:r w:rsidRPr="00CA1499">
        <w:t xml:space="preserve">on AMF community composition. Significant p-values are denoted in bold. </w:t>
      </w:r>
      <w:commentRangeEnd w:id="4"/>
      <w:r w:rsidR="00E43E3E">
        <w:rPr>
          <w:rStyle w:val="CommentReference"/>
        </w:rPr>
        <w:commentReference w:id="4"/>
      </w:r>
    </w:p>
    <w:tbl>
      <w:tblPr>
        <w:tblStyle w:val="PlainTable3"/>
        <w:tblW w:w="8280" w:type="dxa"/>
        <w:tblLayout w:type="fixed"/>
        <w:tblLook w:val="04A0" w:firstRow="1" w:lastRow="0" w:firstColumn="1" w:lastColumn="0" w:noHBand="0" w:noVBand="1"/>
      </w:tblPr>
      <w:tblGrid>
        <w:gridCol w:w="810"/>
        <w:gridCol w:w="1890"/>
        <w:gridCol w:w="1800"/>
        <w:gridCol w:w="126"/>
        <w:gridCol w:w="1737"/>
        <w:gridCol w:w="1917"/>
      </w:tblGrid>
      <w:tr w:rsidR="00B13132" w:rsidRPr="00CA1499" w14:paraId="31C41446" w14:textId="77777777" w:rsidTr="001568E8">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810" w:type="dxa"/>
          </w:tcPr>
          <w:p w14:paraId="27D7D526" w14:textId="77777777" w:rsidR="00B13132" w:rsidRPr="00CA1499" w:rsidRDefault="00B13132" w:rsidP="00CA1499"/>
        </w:tc>
        <w:tc>
          <w:tcPr>
            <w:tcW w:w="1890" w:type="dxa"/>
          </w:tcPr>
          <w:p w14:paraId="1E18DB90" w14:textId="14266089" w:rsidR="00B13132" w:rsidRPr="00CA1499" w:rsidRDefault="00B53BBD" w:rsidP="00CA1499">
            <w:pPr>
              <w:cnfStyle w:val="100000000000" w:firstRow="1" w:lastRow="0" w:firstColumn="0" w:lastColumn="0" w:oddVBand="0" w:evenVBand="0" w:oddHBand="0" w:evenHBand="0" w:firstRowFirstColumn="0" w:firstRowLastColumn="0" w:lastRowFirstColumn="0" w:lastRowLastColumn="0"/>
              <w:rPr>
                <w:caps w:val="0"/>
              </w:rPr>
            </w:pPr>
            <w:r>
              <w:rPr>
                <w:caps w:val="0"/>
              </w:rPr>
              <w:t xml:space="preserve">Edaphic </w:t>
            </w:r>
            <w:r w:rsidR="00B13132" w:rsidRPr="00CA1499">
              <w:rPr>
                <w:caps w:val="0"/>
              </w:rPr>
              <w:t>Factor</w:t>
            </w:r>
          </w:p>
        </w:tc>
        <w:tc>
          <w:tcPr>
            <w:tcW w:w="1926" w:type="dxa"/>
            <w:gridSpan w:val="2"/>
          </w:tcPr>
          <w:p w14:paraId="3AABE51A" w14:textId="77777777" w:rsidR="00B13132" w:rsidRPr="00CA1499" w:rsidRDefault="00B13132" w:rsidP="00CA1499">
            <w:pPr>
              <w:cnfStyle w:val="100000000000" w:firstRow="1" w:lastRow="0" w:firstColumn="0" w:lastColumn="0" w:oddVBand="0" w:evenVBand="0" w:oddHBand="0" w:evenHBand="0" w:firstRowFirstColumn="0" w:firstRowLastColumn="0" w:lastRowFirstColumn="0" w:lastRowLastColumn="0"/>
            </w:pPr>
            <w:r w:rsidRPr="00CA1499">
              <w:rPr>
                <w:caps w:val="0"/>
              </w:rPr>
              <w:t>*State</w:t>
            </w:r>
          </w:p>
        </w:tc>
        <w:tc>
          <w:tcPr>
            <w:tcW w:w="1737" w:type="dxa"/>
          </w:tcPr>
          <w:p w14:paraId="6F80DC5A" w14:textId="77777777" w:rsidR="00B13132" w:rsidRPr="00CA1499" w:rsidRDefault="00B13132" w:rsidP="00CA1499">
            <w:pPr>
              <w:cnfStyle w:val="100000000000" w:firstRow="1" w:lastRow="0" w:firstColumn="0" w:lastColumn="0" w:oddVBand="0" w:evenVBand="0" w:oddHBand="0" w:evenHBand="0" w:firstRowFirstColumn="0" w:firstRowLastColumn="0" w:lastRowFirstColumn="0" w:lastRowLastColumn="0"/>
            </w:pPr>
            <w:r w:rsidRPr="00CA1499">
              <w:rPr>
                <w:caps w:val="0"/>
              </w:rPr>
              <w:t>*Invasion</w:t>
            </w:r>
          </w:p>
        </w:tc>
        <w:tc>
          <w:tcPr>
            <w:tcW w:w="1917" w:type="dxa"/>
          </w:tcPr>
          <w:p w14:paraId="3D925498" w14:textId="77777777" w:rsidR="00B13132" w:rsidRPr="00CA1499" w:rsidRDefault="00B13132" w:rsidP="00CA1499">
            <w:pPr>
              <w:cnfStyle w:val="100000000000" w:firstRow="1" w:lastRow="0" w:firstColumn="0" w:lastColumn="0" w:oddVBand="0" w:evenVBand="0" w:oddHBand="0" w:evenHBand="0" w:firstRowFirstColumn="0" w:firstRowLastColumn="0" w:lastRowFirstColumn="0" w:lastRowLastColumn="0"/>
              <w:rPr>
                <w:caps w:val="0"/>
              </w:rPr>
            </w:pPr>
            <w:r w:rsidRPr="00CA1499">
              <w:rPr>
                <w:caps w:val="0"/>
              </w:rPr>
              <w:t>*State*Invasion</w:t>
            </w:r>
          </w:p>
        </w:tc>
      </w:tr>
      <w:tr w:rsidR="00B13132" w:rsidRPr="00CA1499" w14:paraId="68B9B442" w14:textId="77777777" w:rsidTr="0015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A4A9F17" w14:textId="77777777" w:rsidR="00B13132" w:rsidRPr="00333B04" w:rsidRDefault="00B13132" w:rsidP="00CA1499">
            <w:pPr>
              <w:rPr>
                <w:b w:val="0"/>
                <w:bCs w:val="0"/>
              </w:rPr>
            </w:pPr>
            <w:r w:rsidRPr="00333B04">
              <w:rPr>
                <w:b w:val="0"/>
                <w:bCs w:val="0"/>
                <w:caps w:val="0"/>
              </w:rPr>
              <w:t>pH</w:t>
            </w:r>
          </w:p>
        </w:tc>
        <w:tc>
          <w:tcPr>
            <w:tcW w:w="1890" w:type="dxa"/>
          </w:tcPr>
          <w:p w14:paraId="2BC61125"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0.379, R</w:t>
            </w:r>
            <w:r w:rsidRPr="00CA1499">
              <w:rPr>
                <w:vertAlign w:val="superscript"/>
              </w:rPr>
              <w:t>2</w:t>
            </w:r>
            <w:r w:rsidRPr="00CA1499">
              <w:t xml:space="preserve"> = 0.01</w:t>
            </w:r>
          </w:p>
        </w:tc>
        <w:tc>
          <w:tcPr>
            <w:tcW w:w="1800" w:type="dxa"/>
          </w:tcPr>
          <w:p w14:paraId="688C7F79"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0.772, R</w:t>
            </w:r>
            <w:r w:rsidRPr="00CA1499">
              <w:rPr>
                <w:vertAlign w:val="superscript"/>
              </w:rPr>
              <w:t>2</w:t>
            </w:r>
            <w:r w:rsidRPr="00CA1499">
              <w:t xml:space="preserve"> = 0.01</w:t>
            </w:r>
          </w:p>
        </w:tc>
        <w:tc>
          <w:tcPr>
            <w:tcW w:w="1863" w:type="dxa"/>
            <w:gridSpan w:val="2"/>
          </w:tcPr>
          <w:p w14:paraId="71032649"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0.830, R</w:t>
            </w:r>
            <w:r w:rsidRPr="00CA1499">
              <w:rPr>
                <w:vertAlign w:val="superscript"/>
              </w:rPr>
              <w:t>2</w:t>
            </w:r>
            <w:r w:rsidRPr="00CA1499">
              <w:t xml:space="preserve"> = 0.01</w:t>
            </w:r>
          </w:p>
        </w:tc>
        <w:tc>
          <w:tcPr>
            <w:tcW w:w="1917" w:type="dxa"/>
          </w:tcPr>
          <w:p w14:paraId="20E0BCDA"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0.373, R</w:t>
            </w:r>
            <w:r w:rsidRPr="00CA1499">
              <w:rPr>
                <w:vertAlign w:val="superscript"/>
              </w:rPr>
              <w:t>2</w:t>
            </w:r>
            <w:r w:rsidRPr="00CA1499">
              <w:t xml:space="preserve"> = 0.01</w:t>
            </w:r>
          </w:p>
        </w:tc>
      </w:tr>
      <w:tr w:rsidR="00B13132" w:rsidRPr="00CA1499" w14:paraId="065C86F7" w14:textId="77777777" w:rsidTr="001568E8">
        <w:tc>
          <w:tcPr>
            <w:cnfStyle w:val="001000000000" w:firstRow="0" w:lastRow="0" w:firstColumn="1" w:lastColumn="0" w:oddVBand="0" w:evenVBand="0" w:oddHBand="0" w:evenHBand="0" w:firstRowFirstColumn="0" w:firstRowLastColumn="0" w:lastRowFirstColumn="0" w:lastRowLastColumn="0"/>
            <w:tcW w:w="810" w:type="dxa"/>
          </w:tcPr>
          <w:p w14:paraId="3745499A" w14:textId="77777777" w:rsidR="00B13132" w:rsidRPr="00333B04" w:rsidRDefault="00B13132" w:rsidP="00CA1499">
            <w:pPr>
              <w:rPr>
                <w:b w:val="0"/>
                <w:bCs w:val="0"/>
              </w:rPr>
            </w:pPr>
            <w:r w:rsidRPr="00333B04">
              <w:rPr>
                <w:b w:val="0"/>
                <w:bCs w:val="0"/>
                <w:caps w:val="0"/>
              </w:rPr>
              <w:t>NO</w:t>
            </w:r>
            <w:r w:rsidRPr="00333B04">
              <w:rPr>
                <w:b w:val="0"/>
                <w:bCs w:val="0"/>
                <w:caps w:val="0"/>
                <w:vertAlign w:val="subscript"/>
              </w:rPr>
              <w:t>3</w:t>
            </w:r>
          </w:p>
        </w:tc>
        <w:tc>
          <w:tcPr>
            <w:tcW w:w="1890" w:type="dxa"/>
          </w:tcPr>
          <w:p w14:paraId="78257BEC"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rPr>
                <w:b/>
                <w:bCs/>
              </w:rPr>
            </w:pPr>
            <w:r w:rsidRPr="00CA1499">
              <w:rPr>
                <w:b/>
                <w:bCs/>
              </w:rPr>
              <w:t xml:space="preserve">0.015, </w:t>
            </w:r>
            <w:r w:rsidRPr="00CA1499">
              <w:t>R</w:t>
            </w:r>
            <w:r w:rsidRPr="00CA1499">
              <w:rPr>
                <w:vertAlign w:val="superscript"/>
              </w:rPr>
              <w:t>2</w:t>
            </w:r>
            <w:r w:rsidRPr="00CA1499">
              <w:t xml:space="preserve"> = 0.02</w:t>
            </w:r>
          </w:p>
        </w:tc>
        <w:tc>
          <w:tcPr>
            <w:tcW w:w="1800" w:type="dxa"/>
          </w:tcPr>
          <w:p w14:paraId="51100AEA"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0.155, R</w:t>
            </w:r>
            <w:r w:rsidRPr="00CA1499">
              <w:rPr>
                <w:vertAlign w:val="superscript"/>
              </w:rPr>
              <w:t>2</w:t>
            </w:r>
            <w:r w:rsidRPr="00CA1499">
              <w:t xml:space="preserve"> = 0.02</w:t>
            </w:r>
          </w:p>
        </w:tc>
        <w:tc>
          <w:tcPr>
            <w:tcW w:w="1863" w:type="dxa"/>
            <w:gridSpan w:val="2"/>
          </w:tcPr>
          <w:p w14:paraId="6F7F8859"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0.571, R</w:t>
            </w:r>
            <w:r w:rsidRPr="00CA1499">
              <w:rPr>
                <w:vertAlign w:val="superscript"/>
              </w:rPr>
              <w:t>2</w:t>
            </w:r>
            <w:r w:rsidRPr="00CA1499">
              <w:t xml:space="preserve"> = 0.01</w:t>
            </w:r>
          </w:p>
        </w:tc>
        <w:tc>
          <w:tcPr>
            <w:tcW w:w="1917" w:type="dxa"/>
          </w:tcPr>
          <w:p w14:paraId="0A9EBA44"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0.164, R</w:t>
            </w:r>
            <w:r w:rsidRPr="00CA1499">
              <w:rPr>
                <w:vertAlign w:val="superscript"/>
              </w:rPr>
              <w:t>2</w:t>
            </w:r>
            <w:r w:rsidRPr="00CA1499">
              <w:t xml:space="preserve"> = 0.02</w:t>
            </w:r>
          </w:p>
        </w:tc>
      </w:tr>
      <w:tr w:rsidR="00B13132" w:rsidRPr="00CA1499" w14:paraId="2AEE157D" w14:textId="77777777" w:rsidTr="0015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6B2776A" w14:textId="77777777" w:rsidR="00B13132" w:rsidRPr="00333B04" w:rsidRDefault="00B13132" w:rsidP="00CA1499">
            <w:pPr>
              <w:rPr>
                <w:b w:val="0"/>
                <w:bCs w:val="0"/>
              </w:rPr>
            </w:pPr>
            <w:r w:rsidRPr="00333B04">
              <w:rPr>
                <w:b w:val="0"/>
                <w:bCs w:val="0"/>
                <w:caps w:val="0"/>
              </w:rPr>
              <w:t>NH</w:t>
            </w:r>
            <w:r w:rsidRPr="00333B04">
              <w:rPr>
                <w:b w:val="0"/>
                <w:bCs w:val="0"/>
                <w:caps w:val="0"/>
                <w:vertAlign w:val="subscript"/>
              </w:rPr>
              <w:t>4</w:t>
            </w:r>
          </w:p>
        </w:tc>
        <w:tc>
          <w:tcPr>
            <w:tcW w:w="1890" w:type="dxa"/>
          </w:tcPr>
          <w:p w14:paraId="279BF480"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0.101, R</w:t>
            </w:r>
            <w:r w:rsidRPr="00CA1499">
              <w:rPr>
                <w:vertAlign w:val="superscript"/>
              </w:rPr>
              <w:t>2</w:t>
            </w:r>
            <w:r w:rsidRPr="00CA1499">
              <w:t xml:space="preserve"> = 0.02</w:t>
            </w:r>
          </w:p>
        </w:tc>
        <w:tc>
          <w:tcPr>
            <w:tcW w:w="1800" w:type="dxa"/>
          </w:tcPr>
          <w:p w14:paraId="24FFA7EC"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rPr>
                <w:b/>
                <w:bCs/>
              </w:rPr>
              <w:t>0.017</w:t>
            </w:r>
            <w:r w:rsidRPr="00CA1499">
              <w:t>, R</w:t>
            </w:r>
            <w:r w:rsidRPr="00CA1499">
              <w:rPr>
                <w:vertAlign w:val="superscript"/>
              </w:rPr>
              <w:t>2</w:t>
            </w:r>
            <w:r w:rsidRPr="00CA1499">
              <w:t xml:space="preserve"> = 0.02</w:t>
            </w:r>
          </w:p>
        </w:tc>
        <w:tc>
          <w:tcPr>
            <w:tcW w:w="1863" w:type="dxa"/>
            <w:gridSpan w:val="2"/>
          </w:tcPr>
          <w:p w14:paraId="7ED9BEE7"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0.401, R</w:t>
            </w:r>
            <w:r w:rsidRPr="00CA1499">
              <w:rPr>
                <w:vertAlign w:val="superscript"/>
              </w:rPr>
              <w:t>2</w:t>
            </w:r>
            <w:r w:rsidRPr="00CA1499">
              <w:t xml:space="preserve"> = 0.01</w:t>
            </w:r>
          </w:p>
        </w:tc>
        <w:tc>
          <w:tcPr>
            <w:tcW w:w="1917" w:type="dxa"/>
          </w:tcPr>
          <w:p w14:paraId="027DB0A3"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0.161, R</w:t>
            </w:r>
            <w:r w:rsidRPr="00CA1499">
              <w:rPr>
                <w:vertAlign w:val="superscript"/>
              </w:rPr>
              <w:t>2</w:t>
            </w:r>
            <w:r w:rsidRPr="00CA1499">
              <w:t xml:space="preserve"> = 0.02</w:t>
            </w:r>
          </w:p>
        </w:tc>
      </w:tr>
      <w:tr w:rsidR="00B13132" w:rsidRPr="00CA1499" w14:paraId="3AA9C9B3" w14:textId="77777777" w:rsidTr="001568E8">
        <w:tc>
          <w:tcPr>
            <w:cnfStyle w:val="001000000000" w:firstRow="0" w:lastRow="0" w:firstColumn="1" w:lastColumn="0" w:oddVBand="0" w:evenVBand="0" w:oddHBand="0" w:evenHBand="0" w:firstRowFirstColumn="0" w:firstRowLastColumn="0" w:lastRowFirstColumn="0" w:lastRowLastColumn="0"/>
            <w:tcW w:w="810" w:type="dxa"/>
          </w:tcPr>
          <w:p w14:paraId="0ABB1FB4" w14:textId="77777777" w:rsidR="00B13132" w:rsidRPr="00333B04" w:rsidRDefault="00B13132" w:rsidP="00CA1499">
            <w:pPr>
              <w:rPr>
                <w:b w:val="0"/>
                <w:bCs w:val="0"/>
              </w:rPr>
            </w:pPr>
            <w:r w:rsidRPr="00333B04">
              <w:rPr>
                <w:b w:val="0"/>
                <w:bCs w:val="0"/>
                <w:caps w:val="0"/>
              </w:rPr>
              <w:t>PO</w:t>
            </w:r>
            <w:r w:rsidRPr="00333B04">
              <w:rPr>
                <w:b w:val="0"/>
                <w:bCs w:val="0"/>
                <w:caps w:val="0"/>
                <w:vertAlign w:val="subscript"/>
              </w:rPr>
              <w:t>4</w:t>
            </w:r>
          </w:p>
        </w:tc>
        <w:tc>
          <w:tcPr>
            <w:tcW w:w="1890" w:type="dxa"/>
          </w:tcPr>
          <w:p w14:paraId="47BBE4DA"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0.169, R</w:t>
            </w:r>
            <w:r w:rsidRPr="00CA1499">
              <w:rPr>
                <w:vertAlign w:val="superscript"/>
              </w:rPr>
              <w:t>2</w:t>
            </w:r>
            <w:r w:rsidRPr="00CA1499">
              <w:t xml:space="preserve"> = 0.02</w:t>
            </w:r>
          </w:p>
        </w:tc>
        <w:tc>
          <w:tcPr>
            <w:tcW w:w="1800" w:type="dxa"/>
          </w:tcPr>
          <w:p w14:paraId="0E475C56"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0.148, R</w:t>
            </w:r>
            <w:r w:rsidRPr="00CA1499">
              <w:rPr>
                <w:vertAlign w:val="superscript"/>
              </w:rPr>
              <w:t>2</w:t>
            </w:r>
            <w:r w:rsidRPr="00CA1499">
              <w:t xml:space="preserve"> = 0.02</w:t>
            </w:r>
          </w:p>
        </w:tc>
        <w:tc>
          <w:tcPr>
            <w:tcW w:w="1863" w:type="dxa"/>
            <w:gridSpan w:val="2"/>
          </w:tcPr>
          <w:p w14:paraId="62ADFA40"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0.283, R</w:t>
            </w:r>
            <w:r w:rsidRPr="00CA1499">
              <w:rPr>
                <w:vertAlign w:val="superscript"/>
              </w:rPr>
              <w:t>2</w:t>
            </w:r>
            <w:r w:rsidRPr="00CA1499">
              <w:t xml:space="preserve"> = 0.01</w:t>
            </w:r>
          </w:p>
        </w:tc>
        <w:tc>
          <w:tcPr>
            <w:tcW w:w="1917" w:type="dxa"/>
          </w:tcPr>
          <w:p w14:paraId="47664D21"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0.467, R</w:t>
            </w:r>
            <w:r w:rsidRPr="00CA1499">
              <w:rPr>
                <w:vertAlign w:val="superscript"/>
              </w:rPr>
              <w:t>2</w:t>
            </w:r>
            <w:r w:rsidRPr="00CA1499">
              <w:t xml:space="preserve"> = 0.01</w:t>
            </w:r>
          </w:p>
        </w:tc>
      </w:tr>
      <w:tr w:rsidR="00B13132" w:rsidRPr="00CA1499" w14:paraId="48BC4AFD" w14:textId="77777777" w:rsidTr="0015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EABA249" w14:textId="77777777" w:rsidR="00B13132" w:rsidRPr="00333B04" w:rsidRDefault="00B13132" w:rsidP="00CA1499">
            <w:pPr>
              <w:rPr>
                <w:b w:val="0"/>
                <w:bCs w:val="0"/>
              </w:rPr>
            </w:pPr>
            <w:r w:rsidRPr="00333B04">
              <w:rPr>
                <w:b w:val="0"/>
                <w:bCs w:val="0"/>
                <w:caps w:val="0"/>
              </w:rPr>
              <w:t>Sand</w:t>
            </w:r>
          </w:p>
        </w:tc>
        <w:tc>
          <w:tcPr>
            <w:tcW w:w="1890" w:type="dxa"/>
          </w:tcPr>
          <w:p w14:paraId="397D7E39"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rPr>
                <w:b/>
                <w:bCs/>
              </w:rPr>
              <w:t>0.006</w:t>
            </w:r>
            <w:r w:rsidRPr="00CA1499">
              <w:t>, R</w:t>
            </w:r>
            <w:r w:rsidRPr="00CA1499">
              <w:rPr>
                <w:vertAlign w:val="superscript"/>
              </w:rPr>
              <w:t>2</w:t>
            </w:r>
            <w:r w:rsidRPr="00CA1499">
              <w:t xml:space="preserve"> = 0.03</w:t>
            </w:r>
          </w:p>
        </w:tc>
        <w:tc>
          <w:tcPr>
            <w:tcW w:w="1800" w:type="dxa"/>
          </w:tcPr>
          <w:p w14:paraId="1E6010EC"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rPr>
                <w:b/>
                <w:bCs/>
              </w:rPr>
              <w:t>0.050</w:t>
            </w:r>
            <w:r w:rsidRPr="00CA1499">
              <w:t>, R</w:t>
            </w:r>
            <w:r w:rsidRPr="00CA1499">
              <w:rPr>
                <w:vertAlign w:val="superscript"/>
              </w:rPr>
              <w:t>2</w:t>
            </w:r>
            <w:r w:rsidRPr="00CA1499">
              <w:t xml:space="preserve"> = 0.02</w:t>
            </w:r>
          </w:p>
        </w:tc>
        <w:tc>
          <w:tcPr>
            <w:tcW w:w="1863" w:type="dxa"/>
            <w:gridSpan w:val="2"/>
          </w:tcPr>
          <w:p w14:paraId="6675FAC2"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0.923, R</w:t>
            </w:r>
            <w:r w:rsidRPr="00CA1499">
              <w:rPr>
                <w:vertAlign w:val="superscript"/>
              </w:rPr>
              <w:t>2</w:t>
            </w:r>
            <w:r w:rsidRPr="00CA1499">
              <w:t xml:space="preserve"> = 0.01</w:t>
            </w:r>
          </w:p>
        </w:tc>
        <w:tc>
          <w:tcPr>
            <w:tcW w:w="1917" w:type="dxa"/>
          </w:tcPr>
          <w:p w14:paraId="5721DA30"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0.630, R</w:t>
            </w:r>
            <w:r w:rsidRPr="00CA1499">
              <w:rPr>
                <w:vertAlign w:val="superscript"/>
              </w:rPr>
              <w:t>2</w:t>
            </w:r>
            <w:r w:rsidRPr="00CA1499">
              <w:t xml:space="preserve"> = 0.01</w:t>
            </w:r>
          </w:p>
        </w:tc>
      </w:tr>
      <w:tr w:rsidR="00B13132" w:rsidRPr="00CA1499" w14:paraId="1DB72773" w14:textId="77777777" w:rsidTr="001568E8">
        <w:tc>
          <w:tcPr>
            <w:cnfStyle w:val="001000000000" w:firstRow="0" w:lastRow="0" w:firstColumn="1" w:lastColumn="0" w:oddVBand="0" w:evenVBand="0" w:oddHBand="0" w:evenHBand="0" w:firstRowFirstColumn="0" w:firstRowLastColumn="0" w:lastRowFirstColumn="0" w:lastRowLastColumn="0"/>
            <w:tcW w:w="810" w:type="dxa"/>
          </w:tcPr>
          <w:p w14:paraId="7A95A6CC" w14:textId="77777777" w:rsidR="00B13132" w:rsidRPr="00333B04" w:rsidRDefault="00B13132" w:rsidP="00CA1499">
            <w:pPr>
              <w:rPr>
                <w:b w:val="0"/>
                <w:bCs w:val="0"/>
              </w:rPr>
            </w:pPr>
            <w:r w:rsidRPr="00333B04">
              <w:rPr>
                <w:b w:val="0"/>
                <w:bCs w:val="0"/>
                <w:caps w:val="0"/>
              </w:rPr>
              <w:t>Silt</w:t>
            </w:r>
          </w:p>
        </w:tc>
        <w:tc>
          <w:tcPr>
            <w:tcW w:w="1890" w:type="dxa"/>
          </w:tcPr>
          <w:p w14:paraId="5A2CC69C"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rPr>
                <w:b/>
                <w:bCs/>
              </w:rPr>
              <w:t>0.014</w:t>
            </w:r>
            <w:r w:rsidRPr="00CA1499">
              <w:t>, R</w:t>
            </w:r>
            <w:r w:rsidRPr="00CA1499">
              <w:rPr>
                <w:vertAlign w:val="superscript"/>
              </w:rPr>
              <w:t>2</w:t>
            </w:r>
            <w:r w:rsidRPr="00CA1499">
              <w:t xml:space="preserve"> = 0.03</w:t>
            </w:r>
          </w:p>
        </w:tc>
        <w:tc>
          <w:tcPr>
            <w:tcW w:w="1800" w:type="dxa"/>
          </w:tcPr>
          <w:p w14:paraId="02CC3B19"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0.113, R</w:t>
            </w:r>
            <w:r w:rsidRPr="00CA1499">
              <w:rPr>
                <w:vertAlign w:val="superscript"/>
              </w:rPr>
              <w:t>2</w:t>
            </w:r>
            <w:r w:rsidRPr="00CA1499">
              <w:t xml:space="preserve"> = 0.02</w:t>
            </w:r>
          </w:p>
        </w:tc>
        <w:tc>
          <w:tcPr>
            <w:tcW w:w="1863" w:type="dxa"/>
            <w:gridSpan w:val="2"/>
          </w:tcPr>
          <w:p w14:paraId="7003DB30"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0.913, R</w:t>
            </w:r>
            <w:r w:rsidRPr="00CA1499">
              <w:rPr>
                <w:vertAlign w:val="superscript"/>
              </w:rPr>
              <w:t>2</w:t>
            </w:r>
            <w:r w:rsidRPr="00CA1499">
              <w:t xml:space="preserve"> = 0.01</w:t>
            </w:r>
          </w:p>
        </w:tc>
        <w:tc>
          <w:tcPr>
            <w:tcW w:w="1917" w:type="dxa"/>
          </w:tcPr>
          <w:p w14:paraId="5EFCA79D" w14:textId="77777777" w:rsidR="00B13132" w:rsidRPr="00CA1499" w:rsidRDefault="00B13132" w:rsidP="00CA1499">
            <w:pPr>
              <w:cnfStyle w:val="000000000000" w:firstRow="0" w:lastRow="0" w:firstColumn="0" w:lastColumn="0" w:oddVBand="0" w:evenVBand="0" w:oddHBand="0" w:evenHBand="0" w:firstRowFirstColumn="0" w:firstRowLastColumn="0" w:lastRowFirstColumn="0" w:lastRowLastColumn="0"/>
            </w:pPr>
            <w:r w:rsidRPr="00CA1499">
              <w:t>0.677, R</w:t>
            </w:r>
            <w:r w:rsidRPr="00CA1499">
              <w:rPr>
                <w:vertAlign w:val="superscript"/>
              </w:rPr>
              <w:t>2</w:t>
            </w:r>
            <w:r w:rsidRPr="00CA1499">
              <w:t xml:space="preserve"> = 0.01</w:t>
            </w:r>
          </w:p>
        </w:tc>
      </w:tr>
      <w:tr w:rsidR="00B13132" w:rsidRPr="00CA1499" w14:paraId="659049E8" w14:textId="77777777" w:rsidTr="0015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auto"/>
            </w:tcBorders>
          </w:tcPr>
          <w:p w14:paraId="16713275" w14:textId="77777777" w:rsidR="00B13132" w:rsidRPr="00333B04" w:rsidRDefault="00B13132" w:rsidP="00CA1499">
            <w:pPr>
              <w:rPr>
                <w:b w:val="0"/>
                <w:bCs w:val="0"/>
              </w:rPr>
            </w:pPr>
            <w:r w:rsidRPr="00333B04">
              <w:rPr>
                <w:b w:val="0"/>
                <w:bCs w:val="0"/>
                <w:caps w:val="0"/>
              </w:rPr>
              <w:t>Clay</w:t>
            </w:r>
          </w:p>
        </w:tc>
        <w:tc>
          <w:tcPr>
            <w:tcW w:w="1890" w:type="dxa"/>
            <w:tcBorders>
              <w:bottom w:val="single" w:sz="4" w:space="0" w:color="auto"/>
            </w:tcBorders>
          </w:tcPr>
          <w:p w14:paraId="0FA97784"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0.070, R</w:t>
            </w:r>
            <w:r w:rsidRPr="00CA1499">
              <w:rPr>
                <w:vertAlign w:val="superscript"/>
              </w:rPr>
              <w:t>2</w:t>
            </w:r>
            <w:r w:rsidRPr="00CA1499">
              <w:t xml:space="preserve"> = 0.02</w:t>
            </w:r>
          </w:p>
        </w:tc>
        <w:tc>
          <w:tcPr>
            <w:tcW w:w="1800" w:type="dxa"/>
            <w:tcBorders>
              <w:bottom w:val="single" w:sz="4" w:space="0" w:color="auto"/>
            </w:tcBorders>
          </w:tcPr>
          <w:p w14:paraId="735AC197"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rPr>
                <w:b/>
                <w:bCs/>
              </w:rPr>
              <w:t>0.040</w:t>
            </w:r>
            <w:r w:rsidRPr="00CA1499">
              <w:t>, R</w:t>
            </w:r>
            <w:r w:rsidRPr="00CA1499">
              <w:rPr>
                <w:vertAlign w:val="superscript"/>
              </w:rPr>
              <w:t>2</w:t>
            </w:r>
            <w:r w:rsidRPr="00CA1499">
              <w:t xml:space="preserve"> = 0.02</w:t>
            </w:r>
          </w:p>
        </w:tc>
        <w:tc>
          <w:tcPr>
            <w:tcW w:w="1863" w:type="dxa"/>
            <w:gridSpan w:val="2"/>
            <w:tcBorders>
              <w:bottom w:val="single" w:sz="4" w:space="0" w:color="auto"/>
            </w:tcBorders>
          </w:tcPr>
          <w:p w14:paraId="7BC1B85C"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0.756, R</w:t>
            </w:r>
            <w:r w:rsidRPr="00CA1499">
              <w:rPr>
                <w:vertAlign w:val="superscript"/>
              </w:rPr>
              <w:t>2</w:t>
            </w:r>
            <w:r w:rsidRPr="00CA1499">
              <w:t xml:space="preserve"> = 0.01</w:t>
            </w:r>
          </w:p>
        </w:tc>
        <w:tc>
          <w:tcPr>
            <w:tcW w:w="1917" w:type="dxa"/>
            <w:tcBorders>
              <w:bottom w:val="single" w:sz="4" w:space="0" w:color="auto"/>
            </w:tcBorders>
          </w:tcPr>
          <w:p w14:paraId="51CAA106" w14:textId="77777777" w:rsidR="00B13132" w:rsidRPr="00CA1499" w:rsidRDefault="00B13132" w:rsidP="00CA1499">
            <w:pPr>
              <w:cnfStyle w:val="000000100000" w:firstRow="0" w:lastRow="0" w:firstColumn="0" w:lastColumn="0" w:oddVBand="0" w:evenVBand="0" w:oddHBand="1" w:evenHBand="0" w:firstRowFirstColumn="0" w:firstRowLastColumn="0" w:lastRowFirstColumn="0" w:lastRowLastColumn="0"/>
            </w:pPr>
            <w:r w:rsidRPr="00CA1499">
              <w:t>0.471, R</w:t>
            </w:r>
            <w:r w:rsidRPr="00CA1499">
              <w:rPr>
                <w:vertAlign w:val="superscript"/>
              </w:rPr>
              <w:t>2</w:t>
            </w:r>
            <w:r w:rsidRPr="00CA1499">
              <w:t xml:space="preserve"> = 0.01</w:t>
            </w:r>
          </w:p>
        </w:tc>
      </w:tr>
    </w:tbl>
    <w:p w14:paraId="260061EC" w14:textId="77777777" w:rsidR="004D6A00" w:rsidRPr="00CA1499" w:rsidRDefault="004D6A00" w:rsidP="00CA1499">
      <w:pPr>
        <w:rPr>
          <w:b/>
          <w:bCs/>
        </w:rPr>
      </w:pPr>
    </w:p>
    <w:p w14:paraId="27F5FE4E" w14:textId="7E849A9E" w:rsidR="00161264" w:rsidRDefault="00D25D18" w:rsidP="00CA1499">
      <w:pPr>
        <w:rPr>
          <w:b/>
          <w:bCs/>
        </w:rPr>
      </w:pPr>
      <w:r>
        <w:rPr>
          <w:b/>
          <w:bCs/>
        </w:rPr>
        <w:t>Discussion</w:t>
      </w:r>
    </w:p>
    <w:p w14:paraId="7F4990AD" w14:textId="66D4C55F" w:rsidR="00141FE7" w:rsidRDefault="00141FE7" w:rsidP="000932C7">
      <w:pPr>
        <w:ind w:firstLine="720"/>
      </w:pPr>
      <w:r w:rsidRPr="00BC3E56">
        <w:t xml:space="preserve">This study investigated the impacts of </w:t>
      </w:r>
      <w:r w:rsidRPr="00BC3E56">
        <w:rPr>
          <w:i/>
          <w:iCs/>
        </w:rPr>
        <w:t>L. vulgaris</w:t>
      </w:r>
      <w:r w:rsidRPr="00BC3E56">
        <w:t xml:space="preserve"> invasion legacy on plant success </w:t>
      </w:r>
      <w:r w:rsidR="005C4F90">
        <w:t>and</w:t>
      </w:r>
      <w:r w:rsidR="004749B0">
        <w:t xml:space="preserve"> associated arbuscular mycorrhizal fungi communities</w:t>
      </w:r>
      <w:r w:rsidR="005C4F90">
        <w:t xml:space="preserve"> </w:t>
      </w:r>
      <w:r w:rsidR="00DB3CB4">
        <w:t xml:space="preserve">in two </w:t>
      </w:r>
      <w:r w:rsidR="0048621E">
        <w:t xml:space="preserve">regions </w:t>
      </w:r>
      <w:r w:rsidR="00DB3CB4">
        <w:t>of</w:t>
      </w:r>
      <w:r w:rsidR="005C4F90">
        <w:t xml:space="preserve"> its introduced range</w:t>
      </w:r>
      <w:r w:rsidRPr="00BC3E56">
        <w:t xml:space="preserve">. </w:t>
      </w:r>
      <w:r w:rsidR="00FD1365">
        <w:t xml:space="preserve">When we grew </w:t>
      </w:r>
      <w:r w:rsidR="00FD1365" w:rsidRPr="00FD1365">
        <w:rPr>
          <w:i/>
          <w:iCs/>
        </w:rPr>
        <w:t>L. vulgaris</w:t>
      </w:r>
      <w:r w:rsidR="00FD1365">
        <w:t xml:space="preserve"> in soil collected from previously invaded and uninvaded plots, w</w:t>
      </w:r>
      <w:r w:rsidR="00E93A31">
        <w:t>e</w:t>
      </w:r>
      <w:r w:rsidRPr="00BC3E56">
        <w:t xml:space="preserve"> found </w:t>
      </w:r>
      <w:r w:rsidR="00FD1365">
        <w:t xml:space="preserve">a difference in the </w:t>
      </w:r>
      <w:r w:rsidR="004D4127">
        <w:t xml:space="preserve">root and shoot biomass and the </w:t>
      </w:r>
      <w:r w:rsidR="00FD1365">
        <w:t>number of plants grow</w:t>
      </w:r>
      <w:r w:rsidR="003442EF">
        <w:t>ing</w:t>
      </w:r>
      <w:r w:rsidR="00FD1365">
        <w:t xml:space="preserve"> </w:t>
      </w:r>
      <w:r w:rsidR="00217805">
        <w:t>depending on invasion history</w:t>
      </w:r>
      <w:r w:rsidR="00FD1365">
        <w:t>,</w:t>
      </w:r>
      <w:r w:rsidRPr="00BC3E56">
        <w:t xml:space="preserve"> </w:t>
      </w:r>
      <w:r w:rsidR="00793BD0">
        <w:t xml:space="preserve">indicating </w:t>
      </w:r>
      <w:r>
        <w:t xml:space="preserve">that </w:t>
      </w:r>
      <w:r w:rsidRPr="00BC3E56">
        <w:rPr>
          <w:i/>
          <w:iCs/>
        </w:rPr>
        <w:t xml:space="preserve">L. vulgaris </w:t>
      </w:r>
      <w:r w:rsidRPr="00BC3E56">
        <w:t>leave</w:t>
      </w:r>
      <w:r w:rsidR="00B33D7B">
        <w:t>s</w:t>
      </w:r>
      <w:r w:rsidRPr="00BC3E56">
        <w:t xml:space="preserve"> legacy effects in the soil following invasion. However, th</w:t>
      </w:r>
      <w:r w:rsidR="00B931CE">
        <w:t>is</w:t>
      </w:r>
      <w:r w:rsidRPr="00BC3E56">
        <w:t xml:space="preserve"> direction of legacy effects for </w:t>
      </w:r>
      <w:r w:rsidRPr="00BC3E56">
        <w:rPr>
          <w:i/>
          <w:iCs/>
        </w:rPr>
        <w:t xml:space="preserve">L. vulgaris </w:t>
      </w:r>
      <w:r w:rsidRPr="00BC3E56">
        <w:t xml:space="preserve">differed between CO and IL soil, with a positive effect on </w:t>
      </w:r>
      <w:r w:rsidRPr="00BC3E56">
        <w:rPr>
          <w:i/>
          <w:iCs/>
        </w:rPr>
        <w:t>L. vulgaris</w:t>
      </w:r>
      <w:r w:rsidRPr="00BC3E56">
        <w:t xml:space="preserve"> in CO soil and a negative effect on </w:t>
      </w:r>
      <w:r w:rsidRPr="00BC3E56">
        <w:rPr>
          <w:i/>
          <w:iCs/>
        </w:rPr>
        <w:t xml:space="preserve">L. vulgaris </w:t>
      </w:r>
      <w:r w:rsidRPr="00BC3E56">
        <w:t>in IL</w:t>
      </w:r>
      <w:r w:rsidR="00EB52B3">
        <w:t xml:space="preserve"> soil</w:t>
      </w:r>
      <w:r w:rsidR="008976EC">
        <w:t>.</w:t>
      </w:r>
      <w:r w:rsidRPr="00BC3E56">
        <w:t xml:space="preserve"> </w:t>
      </w:r>
      <w:r w:rsidR="004D4127">
        <w:t xml:space="preserve">We also found a negative relationship between native plant root biomass and </w:t>
      </w:r>
      <w:r w:rsidR="00F22493">
        <w:t xml:space="preserve">prior </w:t>
      </w:r>
      <w:r w:rsidR="004D4127">
        <w:t xml:space="preserve">invasion in CO soil, </w:t>
      </w:r>
      <w:r w:rsidR="008A4D54">
        <w:t xml:space="preserve">signifying </w:t>
      </w:r>
      <w:r w:rsidR="004D4127">
        <w:t xml:space="preserve">negative legacy effects on native species. </w:t>
      </w:r>
      <w:r w:rsidR="008976EC">
        <w:t>T</w:t>
      </w:r>
      <w:r w:rsidRPr="00BC3E56">
        <w:t xml:space="preserve">hese results indicate that soil characteristics, biological or chemical, </w:t>
      </w:r>
      <w:r w:rsidR="008E3E1C">
        <w:t>unique to our two sites</w:t>
      </w:r>
      <w:r w:rsidR="008E3E1C" w:rsidRPr="00BC3E56">
        <w:t xml:space="preserve"> </w:t>
      </w:r>
      <w:r w:rsidR="00E96D76">
        <w:t xml:space="preserve">likely </w:t>
      </w:r>
      <w:r w:rsidRPr="00BC3E56">
        <w:t xml:space="preserve">influence the direction and magnitude of </w:t>
      </w:r>
      <w:r w:rsidR="00114515" w:rsidRPr="00114515">
        <w:rPr>
          <w:i/>
          <w:iCs/>
        </w:rPr>
        <w:t>L. vulgaris</w:t>
      </w:r>
      <w:r w:rsidR="00114515">
        <w:t xml:space="preserve">’ </w:t>
      </w:r>
      <w:r w:rsidRPr="00BC3E56">
        <w:t>legacy effects.</w:t>
      </w:r>
      <w:r w:rsidR="004E2B4F">
        <w:t xml:space="preserve"> </w:t>
      </w:r>
      <w:r w:rsidR="000C4BF8">
        <w:t>Arbuscular mycorrhizal fung</w:t>
      </w:r>
      <w:r w:rsidR="00C75944">
        <w:t>i</w:t>
      </w:r>
      <w:r w:rsidR="000C4BF8">
        <w:t xml:space="preserve"> communities were different between our two sites, which </w:t>
      </w:r>
      <w:r w:rsidR="00E56891">
        <w:t>could influence the extent of aggressive invasion</w:t>
      </w:r>
      <w:r w:rsidR="00B47DCD">
        <w:t xml:space="preserve"> and native plant susceptibility to legacy effects</w:t>
      </w:r>
      <w:r w:rsidR="00E56891">
        <w:t xml:space="preserve">. </w:t>
      </w:r>
      <w:r w:rsidR="009D057D">
        <w:t xml:space="preserve">However, </w:t>
      </w:r>
      <w:r w:rsidR="00E56891">
        <w:t xml:space="preserve">AMF communities were not different between previously invaded and uninvaded soil, </w:t>
      </w:r>
      <w:r w:rsidR="00A7185A">
        <w:t xml:space="preserve">which suggests that legacy effects are not the result of changes to AMF community composition. </w:t>
      </w:r>
      <w:r w:rsidR="000932C7">
        <w:t xml:space="preserve">Further, </w:t>
      </w:r>
      <w:r w:rsidRPr="00BC3E56">
        <w:t>N</w:t>
      </w:r>
      <w:r w:rsidR="003114AA">
        <w:t>UR</w:t>
      </w:r>
      <w:r w:rsidRPr="00BC3E56">
        <w:t xml:space="preserve"> w</w:t>
      </w:r>
      <w:r w:rsidR="003114AA">
        <w:t>as</w:t>
      </w:r>
      <w:r w:rsidRPr="00BC3E56">
        <w:t xml:space="preserve"> not affected by invasion history or fertilizer </w:t>
      </w:r>
      <w:r w:rsidR="006D439C">
        <w:t xml:space="preserve">in soil from </w:t>
      </w:r>
      <w:r w:rsidRPr="00BC3E56">
        <w:t>either</w:t>
      </w:r>
      <w:r w:rsidR="00231B2F">
        <w:t xml:space="preserve"> site</w:t>
      </w:r>
      <w:r w:rsidR="006B1050">
        <w:t>, demonstrating that</w:t>
      </w:r>
      <w:r w:rsidR="00B946B6">
        <w:t xml:space="preserve"> </w:t>
      </w:r>
      <w:r w:rsidR="002A44C3">
        <w:t>legacy effects are</w:t>
      </w:r>
      <w:r w:rsidR="00B946B6">
        <w:t xml:space="preserve"> not the result of </w:t>
      </w:r>
      <w:r w:rsidR="00623920">
        <w:t xml:space="preserve">changes to </w:t>
      </w:r>
      <w:r w:rsidR="00B946B6">
        <w:t>N</w:t>
      </w:r>
      <w:r w:rsidR="00623920">
        <w:t xml:space="preserve"> availability</w:t>
      </w:r>
      <w:r w:rsidRPr="00BC3E56">
        <w:t xml:space="preserve">. Taken together, these results suggest that </w:t>
      </w:r>
      <w:r w:rsidRPr="00BC3E56">
        <w:rPr>
          <w:i/>
          <w:iCs/>
        </w:rPr>
        <w:t>L. vulgaris</w:t>
      </w:r>
      <w:r w:rsidRPr="00BC3E56">
        <w:t xml:space="preserve"> invasion changes soil microbial communit</w:t>
      </w:r>
      <w:r w:rsidR="00236956">
        <w:t>ies</w:t>
      </w:r>
      <w:r w:rsidRPr="00BC3E56">
        <w:t xml:space="preserve"> </w:t>
      </w:r>
      <w:r w:rsidR="006F3DF2">
        <w:t>and/</w:t>
      </w:r>
      <w:r w:rsidRPr="00BC3E56">
        <w:t>or soil chemistry</w:t>
      </w:r>
      <w:r w:rsidR="001104DC">
        <w:t>, but that legacy effects vary across its introduced range</w:t>
      </w:r>
      <w:r w:rsidRPr="00BC3E56">
        <w:t>.</w:t>
      </w:r>
    </w:p>
    <w:p w14:paraId="4654767F" w14:textId="77777777" w:rsidR="00701046" w:rsidRDefault="00701046" w:rsidP="000932C7">
      <w:pPr>
        <w:ind w:firstLine="720"/>
      </w:pPr>
    </w:p>
    <w:p w14:paraId="2EC30150" w14:textId="0C4DDEE6" w:rsidR="00701046" w:rsidRPr="00BC3E56" w:rsidRDefault="00701046" w:rsidP="00701046">
      <w:r>
        <w:rPr>
          <w:i/>
          <w:iCs/>
        </w:rPr>
        <w:t>Legacy Effects</w:t>
      </w:r>
    </w:p>
    <w:p w14:paraId="4E07491A" w14:textId="6A75A7D5" w:rsidR="00CE6C54" w:rsidRDefault="00141FE7" w:rsidP="006C447C">
      <w:pPr>
        <w:ind w:firstLine="720"/>
      </w:pPr>
      <w:r w:rsidRPr="00BC3E56">
        <w:t xml:space="preserve">Our results </w:t>
      </w:r>
      <w:r w:rsidR="00101FE8">
        <w:t xml:space="preserve">suggest </w:t>
      </w:r>
      <w:r w:rsidRPr="00BC3E56">
        <w:t xml:space="preserve">that soil characteristics are at least partly responsible for the geographic distribution of </w:t>
      </w:r>
      <w:r>
        <w:t xml:space="preserve">aggressive </w:t>
      </w:r>
      <w:r w:rsidRPr="00BC3E56">
        <w:rPr>
          <w:i/>
          <w:iCs/>
        </w:rPr>
        <w:t xml:space="preserve">L. vulgaris </w:t>
      </w:r>
      <w:r>
        <w:t xml:space="preserve">invasion </w:t>
      </w:r>
      <w:r w:rsidRPr="00BC3E56">
        <w:t xml:space="preserve">in the U.S. </w:t>
      </w:r>
      <w:r w:rsidR="005D68ED">
        <w:t xml:space="preserve">Increased </w:t>
      </w:r>
      <w:r w:rsidR="00A336C9">
        <w:t xml:space="preserve">number of </w:t>
      </w:r>
      <w:r w:rsidR="00C92D88" w:rsidRPr="00BC3E56">
        <w:rPr>
          <w:i/>
          <w:iCs/>
        </w:rPr>
        <w:t xml:space="preserve">L. vulgaris </w:t>
      </w:r>
      <w:r w:rsidR="00A336C9">
        <w:t xml:space="preserve">plants growing </w:t>
      </w:r>
      <w:r w:rsidRPr="00BC3E56">
        <w:t xml:space="preserve">in </w:t>
      </w:r>
      <w:r w:rsidR="00922FD6">
        <w:t xml:space="preserve">previously invaded </w:t>
      </w:r>
      <w:r w:rsidRPr="00BC3E56">
        <w:t xml:space="preserve">CO soil </w:t>
      </w:r>
      <w:r w:rsidR="00B761F5">
        <w:t xml:space="preserve">supports </w:t>
      </w:r>
      <w:r w:rsidR="00BC610B">
        <w:t xml:space="preserve">our </w:t>
      </w:r>
      <w:r w:rsidR="00B761F5">
        <w:t xml:space="preserve">hypothesis </w:t>
      </w:r>
      <w:r w:rsidRPr="00BC3E56">
        <w:t xml:space="preserve">that </w:t>
      </w:r>
      <w:r w:rsidRPr="00BC3E56">
        <w:rPr>
          <w:i/>
          <w:iCs/>
        </w:rPr>
        <w:t xml:space="preserve">L. vulgaris </w:t>
      </w:r>
      <w:r w:rsidRPr="00BC3E56">
        <w:lastRenderedPageBreak/>
        <w:t xml:space="preserve">shapes soil characteristics in CO, where it is aggressive, to become more successful. </w:t>
      </w:r>
      <w:r w:rsidR="00442426">
        <w:t>We</w:t>
      </w:r>
      <w:r w:rsidRPr="00BC3E56">
        <w:t xml:space="preserve"> attribute </w:t>
      </w:r>
      <w:r w:rsidR="0093708F">
        <w:t xml:space="preserve">more </w:t>
      </w:r>
      <w:r w:rsidR="0093708F" w:rsidRPr="0093708F">
        <w:rPr>
          <w:i/>
          <w:iCs/>
        </w:rPr>
        <w:t>L. vulgaris</w:t>
      </w:r>
      <w:r w:rsidR="0093708F">
        <w:t xml:space="preserve"> plants </w:t>
      </w:r>
      <w:r w:rsidR="00B33668">
        <w:t xml:space="preserve">growing </w:t>
      </w:r>
      <w:r w:rsidR="0093708F">
        <w:t xml:space="preserve">in invaded soil </w:t>
      </w:r>
      <w:r w:rsidRPr="00BC3E56">
        <w:t>to increased sprouting of rhizomes</w:t>
      </w:r>
      <w:r w:rsidR="004A4D7C">
        <w:t>, since we did not observe any plants produce seed during the study.</w:t>
      </w:r>
      <w:r w:rsidRPr="00BC3E56">
        <w:t xml:space="preserve"> </w:t>
      </w:r>
      <w:r w:rsidR="00C57892">
        <w:t xml:space="preserve">Further evidence of positive legacy effects in CO soil is that both root and shoot </w:t>
      </w:r>
      <w:r w:rsidR="00C57892" w:rsidRPr="00BC3E56">
        <w:t>biomass w</w:t>
      </w:r>
      <w:r w:rsidR="00C57892">
        <w:t>ere</w:t>
      </w:r>
      <w:r w:rsidR="00C57892" w:rsidRPr="00BC3E56">
        <w:t xml:space="preserve"> </w:t>
      </w:r>
      <w:r w:rsidR="00C57892">
        <w:t xml:space="preserve">greater among </w:t>
      </w:r>
      <w:r w:rsidR="00C57892" w:rsidRPr="00131978">
        <w:rPr>
          <w:i/>
          <w:iCs/>
        </w:rPr>
        <w:t>L. vulgaris</w:t>
      </w:r>
      <w:r w:rsidR="00C57892">
        <w:t xml:space="preserve"> plants grown in invaded than uninvaded soil. Increased biomass in previously invaded soil could indicate that </w:t>
      </w:r>
      <w:r w:rsidR="00C57892" w:rsidRPr="001F13BD">
        <w:rPr>
          <w:i/>
          <w:iCs/>
        </w:rPr>
        <w:t>L. vulgaris</w:t>
      </w:r>
      <w:r w:rsidR="00C57892">
        <w:t xml:space="preserve"> is better able to access resources such as water and nutrients due to microbial associations (Citation). Greater </w:t>
      </w:r>
      <w:r w:rsidR="00C57892" w:rsidRPr="00BC3E56">
        <w:t xml:space="preserve">root mass </w:t>
      </w:r>
      <w:r w:rsidR="00C57892">
        <w:t>creates more surface area for resource acquisition, resource</w:t>
      </w:r>
      <w:r w:rsidR="00E14907">
        <w:t xml:space="preserve"> storage</w:t>
      </w:r>
      <w:r w:rsidR="00C57892">
        <w:t xml:space="preserve">, and could </w:t>
      </w:r>
      <w:r w:rsidR="00C57892" w:rsidRPr="00BC3E56">
        <w:t>lead to increased clonal reproduction</w:t>
      </w:r>
      <w:r w:rsidR="00C57892">
        <w:t xml:space="preserve"> (Citation)</w:t>
      </w:r>
      <w:r w:rsidR="00C57892" w:rsidRPr="00BC3E56">
        <w:t>.</w:t>
      </w:r>
    </w:p>
    <w:p w14:paraId="0ABC7852" w14:textId="1F51551A" w:rsidR="00CE6C54" w:rsidRDefault="00190E7C" w:rsidP="00460714">
      <w:pPr>
        <w:ind w:firstLine="720"/>
      </w:pPr>
      <w:r w:rsidRPr="00BC3E56">
        <w:t>In</w:t>
      </w:r>
      <w:r>
        <w:t xml:space="preserve"> contrast</w:t>
      </w:r>
      <w:r w:rsidRPr="00BC3E56">
        <w:t xml:space="preserve">, </w:t>
      </w:r>
      <w:r w:rsidRPr="00BC3E56">
        <w:rPr>
          <w:i/>
          <w:iCs/>
        </w:rPr>
        <w:t xml:space="preserve">L. vulgaris </w:t>
      </w:r>
      <w:r w:rsidRPr="00BC3E56">
        <w:t xml:space="preserve">only grew in </w:t>
      </w:r>
      <w:r>
        <w:t xml:space="preserve">previously </w:t>
      </w:r>
      <w:r w:rsidRPr="00BC3E56">
        <w:t>uninvaded soil</w:t>
      </w:r>
      <w:r>
        <w:t xml:space="preserve"> from IL, indicating negative legacy effects following invasion. N</w:t>
      </w:r>
      <w:r w:rsidRPr="00BC3E56">
        <w:t xml:space="preserve">egative </w:t>
      </w:r>
      <w:r>
        <w:t xml:space="preserve">legacy effects </w:t>
      </w:r>
      <w:r w:rsidRPr="00BC3E56">
        <w:t xml:space="preserve">could be </w:t>
      </w:r>
      <w:r>
        <w:t xml:space="preserve">caused by </w:t>
      </w:r>
      <w:r w:rsidRPr="00BC3E56">
        <w:t>suppressive microbial interactions</w:t>
      </w:r>
      <w:r>
        <w:t>, such as those in its native range (</w:t>
      </w:r>
      <w:proofErr w:type="spellStart"/>
      <w:r>
        <w:t>Klironomos</w:t>
      </w:r>
      <w:proofErr w:type="spellEnd"/>
      <w:r>
        <w:t xml:space="preserve"> 2002). </w:t>
      </w:r>
      <w:r w:rsidR="00F83247">
        <w:t>Having some parasitic or pathogenic microbial associations does not rule out the possibility of mutualistic ones, since s</w:t>
      </w:r>
      <w:r w:rsidRPr="00BC3E56">
        <w:t xml:space="preserve">ome invasive plants that benefit from mutualisms in their </w:t>
      </w:r>
      <w:r>
        <w:t xml:space="preserve">introduced </w:t>
      </w:r>
      <w:r w:rsidRPr="00BC3E56">
        <w:t>range can only do so when their pathogens are absent (</w:t>
      </w:r>
      <w:proofErr w:type="spellStart"/>
      <w:r w:rsidRPr="00BC3E56">
        <w:t>Klironomos</w:t>
      </w:r>
      <w:proofErr w:type="spellEnd"/>
      <w:r w:rsidRPr="00BC3E56">
        <w:t xml:space="preserve"> 2002; Reinhart et al 2003). </w:t>
      </w:r>
      <w:r w:rsidR="00C146CC" w:rsidRPr="00BC3E56">
        <w:t xml:space="preserve">However, too few </w:t>
      </w:r>
      <w:r w:rsidR="00C146CC" w:rsidRPr="00BC3E56">
        <w:rPr>
          <w:i/>
          <w:iCs/>
        </w:rPr>
        <w:t>L. vulgaris</w:t>
      </w:r>
      <w:r w:rsidR="00C146CC" w:rsidRPr="00BC3E56">
        <w:t xml:space="preserve"> plants grew in IL soil to compare </w:t>
      </w:r>
      <w:r w:rsidR="00C146CC">
        <w:t xml:space="preserve">biomass </w:t>
      </w:r>
      <w:r w:rsidR="00C146CC" w:rsidRPr="00BC3E56">
        <w:t>across treatments.</w:t>
      </w:r>
      <w:r w:rsidR="00C146CC">
        <w:t xml:space="preserve"> </w:t>
      </w:r>
      <w:r w:rsidR="0026728C">
        <w:t xml:space="preserve">The limited number of plants growing in IL soil </w:t>
      </w:r>
      <w:r w:rsidR="003E19EA">
        <w:t xml:space="preserve">could </w:t>
      </w:r>
      <w:r w:rsidR="00B44AED">
        <w:t>indicate</w:t>
      </w:r>
      <w:r w:rsidR="003E19EA">
        <w:t xml:space="preserve"> suppressive microbial interactions</w:t>
      </w:r>
      <w:r w:rsidR="001950CA">
        <w:t>,</w:t>
      </w:r>
      <w:r w:rsidR="003E19EA">
        <w:t xml:space="preserve"> </w:t>
      </w:r>
      <w:r w:rsidR="003934CB">
        <w:t xml:space="preserve">fewer mutualistic ones, or </w:t>
      </w:r>
      <w:r w:rsidR="003934CB">
        <w:t>unsuitable soil chemistry</w:t>
      </w:r>
      <w:r w:rsidR="007E2E9F">
        <w:t xml:space="preserve">. </w:t>
      </w:r>
      <w:r w:rsidR="005F797B">
        <w:t xml:space="preserve">Still, the absence of the strong positive legacy effect we observed in CO soil shows that </w:t>
      </w:r>
      <w:r w:rsidR="00204458">
        <w:t xml:space="preserve">legacy effects </w:t>
      </w:r>
      <w:r w:rsidR="009E2FA5">
        <w:t xml:space="preserve">across the species’ introduced range </w:t>
      </w:r>
      <w:r w:rsidR="00B5525E">
        <w:t>could</w:t>
      </w:r>
      <w:r w:rsidR="009E2FA5">
        <w:t xml:space="preserve"> </w:t>
      </w:r>
      <w:r w:rsidR="00B5525E">
        <w:t xml:space="preserve">influence </w:t>
      </w:r>
      <w:r w:rsidR="009E2FA5">
        <w:t xml:space="preserve">the </w:t>
      </w:r>
      <w:r w:rsidR="006630FC">
        <w:t xml:space="preserve">degree </w:t>
      </w:r>
      <w:r w:rsidR="00D664BF">
        <w:t xml:space="preserve">of its invasion. </w:t>
      </w:r>
    </w:p>
    <w:p w14:paraId="1543D010" w14:textId="07D05915" w:rsidR="00615B87" w:rsidRDefault="00615B87" w:rsidP="002766A5">
      <w:pPr>
        <w:ind w:firstLine="720"/>
      </w:pPr>
      <w:r>
        <w:t xml:space="preserve">Unfortunately, we cannot distinguish whether the amounts of plants or biomass is an indicator of legacy effects or genetic fitness of the different </w:t>
      </w:r>
      <w:r w:rsidRPr="009269FC">
        <w:rPr>
          <w:i/>
          <w:iCs/>
        </w:rPr>
        <w:t>L. vulgaris</w:t>
      </w:r>
      <w:r>
        <w:t xml:space="preserve"> populations we collected. Because we grew rhizomes in their soil of origin and did not study their population genetics, we cannot rule out genetically distinct populations as the source of </w:t>
      </w:r>
      <w:r w:rsidRPr="00A43541">
        <w:rPr>
          <w:i/>
          <w:iCs/>
        </w:rPr>
        <w:t xml:space="preserve">L. vulgaris’ </w:t>
      </w:r>
      <w:r>
        <w:t xml:space="preserve">increased growth in CO soil compared to IL soil. </w:t>
      </w:r>
      <w:r w:rsidRPr="00BC3E56">
        <w:t xml:space="preserve">In some species, different genotypes of the same species can associate with different microbes, influencing plant fitness and nutrient dynamics (Brown et al 2020). </w:t>
      </w:r>
      <w:r>
        <w:t>We collected rhizomes from 10 paired plots within each site to maximize plants’ genetic diversity, but because we did not grow CO rhizomes in IL soil and vice versa, we cannot be certain that legacy effects are the result of population differences between the two sites. In the future, we hope that population genetics can be used to compare this species across both its native and introduced range.</w:t>
      </w:r>
    </w:p>
    <w:p w14:paraId="46468533" w14:textId="074E22F2" w:rsidR="008031FC" w:rsidRDefault="00241EA5" w:rsidP="0015267B">
      <w:pPr>
        <w:ind w:firstLine="720"/>
      </w:pPr>
      <w:r>
        <w:t xml:space="preserve">There was some evidence that legacy effects impacted native plants differently across the two sites. </w:t>
      </w:r>
      <w:r w:rsidR="0015267B">
        <w:t xml:space="preserve">There was no relationship between </w:t>
      </w:r>
      <w:r w:rsidR="0015267B" w:rsidRPr="00BC3E56">
        <w:t xml:space="preserve">invasion legacy </w:t>
      </w:r>
      <w:r w:rsidR="0015267B">
        <w:t xml:space="preserve">and number of </w:t>
      </w:r>
      <w:r w:rsidR="0015267B" w:rsidRPr="00BC3E56">
        <w:t>native plant</w:t>
      </w:r>
      <w:r w:rsidR="0015267B">
        <w:t xml:space="preserve">s growing </w:t>
      </w:r>
      <w:r w:rsidR="0015267B" w:rsidRPr="00BC3E56">
        <w:t xml:space="preserve">in </w:t>
      </w:r>
      <w:r w:rsidR="0015267B">
        <w:t xml:space="preserve">either CO or </w:t>
      </w:r>
      <w:r w:rsidR="0015267B" w:rsidRPr="00BC3E56">
        <w:t>IL soil</w:t>
      </w:r>
      <w:r w:rsidR="006E6C21">
        <w:t>.</w:t>
      </w:r>
      <w:r w:rsidR="0015267B" w:rsidRPr="00BC3E56">
        <w:t xml:space="preserve"> </w:t>
      </w:r>
      <w:r w:rsidR="006E6C21">
        <w:t>However,</w:t>
      </w:r>
      <w:r w:rsidR="0015267B">
        <w:t xml:space="preserve"> native plant</w:t>
      </w:r>
      <w:r w:rsidR="009B3334">
        <w:t>s grown in CO soil had greater</w:t>
      </w:r>
      <w:r w:rsidR="0015267B">
        <w:t xml:space="preserve"> root biomass in uninvaded than invaded</w:t>
      </w:r>
      <w:r w:rsidR="00B072C4">
        <w:t xml:space="preserve"> soil</w:t>
      </w:r>
      <w:r w:rsidR="0015267B">
        <w:t xml:space="preserve">, </w:t>
      </w:r>
      <w:r w:rsidR="00D16405">
        <w:t xml:space="preserve">but there was no effect of invasion on native plant biomass from IL soil. </w:t>
      </w:r>
      <w:r w:rsidR="008365A0">
        <w:t xml:space="preserve">This </w:t>
      </w:r>
      <w:r w:rsidR="0015267B">
        <w:t>signif</w:t>
      </w:r>
      <w:r w:rsidR="008365A0">
        <w:t>ies</w:t>
      </w:r>
      <w:r w:rsidR="0015267B">
        <w:t xml:space="preserve"> </w:t>
      </w:r>
      <w:r w:rsidR="0015267B" w:rsidRPr="00BC3E56">
        <w:t xml:space="preserve">that </w:t>
      </w:r>
      <w:r w:rsidR="0015267B" w:rsidRPr="00BC3E56">
        <w:rPr>
          <w:i/>
          <w:iCs/>
        </w:rPr>
        <w:t xml:space="preserve">L. vulgaris </w:t>
      </w:r>
      <w:r w:rsidR="0015267B" w:rsidRPr="00BC3E56">
        <w:t>invasion negatively affect</w:t>
      </w:r>
      <w:r w:rsidR="0015267B">
        <w:t>s</w:t>
      </w:r>
      <w:r w:rsidR="0015267B" w:rsidRPr="00BC3E56">
        <w:t xml:space="preserve"> native plants grown in </w:t>
      </w:r>
      <w:r w:rsidR="0015267B">
        <w:t>CO</w:t>
      </w:r>
      <w:r w:rsidR="00FE18CF">
        <w:t xml:space="preserve"> soil, but not IL soil</w:t>
      </w:r>
      <w:r w:rsidR="0015267B" w:rsidRPr="00BC3E56">
        <w:t xml:space="preserve">. </w:t>
      </w:r>
      <w:r w:rsidR="0015267B">
        <w:t xml:space="preserve">The negative effect of invasion on native plant root biomass and not abundance could be more indicative of </w:t>
      </w:r>
      <w:r w:rsidR="00D96B0D">
        <w:t xml:space="preserve">impacts on </w:t>
      </w:r>
      <w:r w:rsidR="0015267B">
        <w:t>native plant productivity and resource allocation</w:t>
      </w:r>
      <w:r w:rsidR="00D96B0D">
        <w:t>. Still,</w:t>
      </w:r>
      <w:r w:rsidR="0015267B">
        <w:t xml:space="preserve"> decreased productivity</w:t>
      </w:r>
      <w:r w:rsidR="00CB6F95">
        <w:t>, particularly in root</w:t>
      </w:r>
      <w:r w:rsidR="000A1FA8">
        <w:t xml:space="preserve"> mass</w:t>
      </w:r>
      <w:r w:rsidR="00CB6F95">
        <w:t xml:space="preserve"> of a rhizomatous species,</w:t>
      </w:r>
      <w:r w:rsidR="0015267B">
        <w:t xml:space="preserve"> could result in </w:t>
      </w:r>
      <w:r w:rsidR="00217BE6">
        <w:t xml:space="preserve">shrinking </w:t>
      </w:r>
      <w:r w:rsidR="0015267B">
        <w:t>populations over time (Citation). For managers</w:t>
      </w:r>
      <w:r w:rsidR="004814E6">
        <w:t xml:space="preserve"> </w:t>
      </w:r>
      <w:r w:rsidR="004814E6">
        <w:t>in CO</w:t>
      </w:r>
      <w:r w:rsidR="0015267B">
        <w:t xml:space="preserve">, this </w:t>
      </w:r>
      <w:r w:rsidR="003434A8">
        <w:t xml:space="preserve">could reflect challenges in </w:t>
      </w:r>
      <w:r w:rsidR="003434A8">
        <w:t>native species reintroduction</w:t>
      </w:r>
      <w:r w:rsidR="003434A8">
        <w:t xml:space="preserve"> following </w:t>
      </w:r>
      <w:r w:rsidR="0015267B">
        <w:t>inva</w:t>
      </w:r>
      <w:r w:rsidR="003434A8">
        <w:t>sion</w:t>
      </w:r>
      <w:r w:rsidR="0015267B">
        <w:t xml:space="preserve">, but IL management can be centered around </w:t>
      </w:r>
      <w:r w:rsidR="0015267B" w:rsidRPr="0030656C">
        <w:rPr>
          <w:i/>
          <w:iCs/>
        </w:rPr>
        <w:t>L. vulgaris</w:t>
      </w:r>
      <w:r w:rsidR="0015267B">
        <w:rPr>
          <w:i/>
          <w:iCs/>
        </w:rPr>
        <w:t>’</w:t>
      </w:r>
      <w:r w:rsidR="0015267B">
        <w:t xml:space="preserve"> removal</w:t>
      </w:r>
      <w:r w:rsidR="00FC193F">
        <w:t xml:space="preserve"> with the expectation that native plants will be able to recover. </w:t>
      </w:r>
    </w:p>
    <w:p w14:paraId="392F38A5" w14:textId="2BC697FB" w:rsidR="0015267B" w:rsidRDefault="0015267B" w:rsidP="0015267B">
      <w:pPr>
        <w:ind w:firstLine="720"/>
      </w:pPr>
      <w:r>
        <w:t xml:space="preserve">Important to note is that the two native plants used in this study are likely not indicative of all native species’ responses to </w:t>
      </w:r>
      <w:r w:rsidRPr="00BD7E87">
        <w:rPr>
          <w:i/>
          <w:iCs/>
        </w:rPr>
        <w:t>L. vulgaris</w:t>
      </w:r>
      <w:r>
        <w:t xml:space="preserve"> invasion. </w:t>
      </w:r>
      <w:r w:rsidRPr="00CC28C5">
        <w:rPr>
          <w:i/>
          <w:iCs/>
        </w:rPr>
        <w:t xml:space="preserve">Rudbeckia </w:t>
      </w:r>
      <w:proofErr w:type="spellStart"/>
      <w:r w:rsidRPr="00CC28C5">
        <w:rPr>
          <w:i/>
          <w:iCs/>
        </w:rPr>
        <w:t>hirta</w:t>
      </w:r>
      <w:proofErr w:type="spellEnd"/>
      <w:r>
        <w:t xml:space="preserve"> and </w:t>
      </w:r>
      <w:proofErr w:type="spellStart"/>
      <w:r w:rsidRPr="00CC28C5">
        <w:rPr>
          <w:i/>
          <w:iCs/>
        </w:rPr>
        <w:t>Digitaria</w:t>
      </w:r>
      <w:proofErr w:type="spellEnd"/>
      <w:r w:rsidRPr="00CC28C5">
        <w:rPr>
          <w:i/>
          <w:iCs/>
        </w:rPr>
        <w:t xml:space="preserve"> </w:t>
      </w:r>
      <w:proofErr w:type="spellStart"/>
      <w:r w:rsidRPr="00CC28C5">
        <w:rPr>
          <w:i/>
          <w:iCs/>
        </w:rPr>
        <w:t>cognata</w:t>
      </w:r>
      <w:proofErr w:type="spellEnd"/>
      <w:r>
        <w:t xml:space="preserve"> are much more likely to cooccur with </w:t>
      </w:r>
      <w:r w:rsidRPr="001A33FF">
        <w:rPr>
          <w:i/>
          <w:iCs/>
        </w:rPr>
        <w:t xml:space="preserve">L. vulgaris </w:t>
      </w:r>
      <w:r>
        <w:t xml:space="preserve">in IL, so the absence of negative effects on these species may not reflect consequences of </w:t>
      </w:r>
      <w:r w:rsidRPr="00E80B39">
        <w:rPr>
          <w:i/>
          <w:iCs/>
        </w:rPr>
        <w:t>L. vulgaris</w:t>
      </w:r>
      <w:r>
        <w:t xml:space="preserve"> invasion on CO native plant </w:t>
      </w:r>
      <w:r>
        <w:lastRenderedPageBreak/>
        <w:t>communities. While some invasive species can have broad negative effects on native species, such as those that disrupt plant-mycorrhizal mutualisms, other invasive plants have a more targeted approach on their competitors (</w:t>
      </w:r>
      <w:proofErr w:type="spellStart"/>
      <w:r>
        <w:t>Zubek</w:t>
      </w:r>
      <w:proofErr w:type="spellEnd"/>
      <w:r>
        <w:t xml:space="preserve"> et al 2016). Additionally, legacy effects could impact </w:t>
      </w:r>
      <w:r w:rsidR="00D874C7">
        <w:t xml:space="preserve">plant </w:t>
      </w:r>
      <w:r>
        <w:t xml:space="preserve">diversity, but we could not </w:t>
      </w:r>
      <w:r w:rsidR="00375FF5">
        <w:t xml:space="preserve">evaluate </w:t>
      </w:r>
      <w:r>
        <w:t>diversity i</w:t>
      </w:r>
      <w:r w:rsidR="00375FF5">
        <w:t>mpacts using</w:t>
      </w:r>
      <w:r>
        <w:t xml:space="preserve"> just two species</w:t>
      </w:r>
      <w:r w:rsidR="00C459BE">
        <w:t xml:space="preserve"> (Citation)</w:t>
      </w:r>
      <w:r>
        <w:t xml:space="preserve">. </w:t>
      </w:r>
      <w:r w:rsidR="00053B1B">
        <w:t xml:space="preserve">Certain invasive plants have </w:t>
      </w:r>
      <w:r w:rsidR="0045682A">
        <w:t>limited effects on individual species but</w:t>
      </w:r>
      <w:r w:rsidR="003E7704">
        <w:t xml:space="preserve"> reduce species richness and evenness in the years following invasion (Citation). </w:t>
      </w:r>
      <w:r>
        <w:t>Future studies should evaluate invasion legacy in-situ to capture impacts on plant communities directly adjacent to invasion.</w:t>
      </w:r>
    </w:p>
    <w:p w14:paraId="1738830F" w14:textId="77777777" w:rsidR="003E5A6A" w:rsidRDefault="003E5A6A" w:rsidP="0015267B">
      <w:pPr>
        <w:ind w:firstLine="720"/>
      </w:pPr>
    </w:p>
    <w:p w14:paraId="4D1BE66B" w14:textId="4DF883B3" w:rsidR="00FC2E71" w:rsidRPr="00FC2E71" w:rsidRDefault="00FC2E71" w:rsidP="00FC2E71">
      <w:pPr>
        <w:rPr>
          <w:i/>
          <w:iCs/>
        </w:rPr>
      </w:pPr>
      <w:r>
        <w:rPr>
          <w:i/>
          <w:iCs/>
        </w:rPr>
        <w:t>Nitrogen Availability and Uptake Rates</w:t>
      </w:r>
    </w:p>
    <w:p w14:paraId="520FEE00" w14:textId="7EBF595D" w:rsidR="00BB0930" w:rsidRDefault="003A0867" w:rsidP="00967EA6">
      <w:pPr>
        <w:ind w:firstLine="720"/>
      </w:pPr>
      <w:r>
        <w:t xml:space="preserve">Interestingly, </w:t>
      </w:r>
      <w:r w:rsidR="00BB0930">
        <w:t xml:space="preserve">there was no effect of N fertilization on the number of plants growing or biomass in either </w:t>
      </w:r>
      <w:r w:rsidR="0007376F" w:rsidRPr="005B6C1E">
        <w:rPr>
          <w:i/>
          <w:iCs/>
        </w:rPr>
        <w:t>L. vulgaris</w:t>
      </w:r>
      <w:r w:rsidR="0007376F">
        <w:t xml:space="preserve"> or native plants </w:t>
      </w:r>
      <w:r w:rsidR="00C835E1">
        <w:t>across</w:t>
      </w:r>
      <w:r w:rsidR="00BB0930">
        <w:t xml:space="preserve"> </w:t>
      </w:r>
      <w:r w:rsidR="005B6C1E">
        <w:t xml:space="preserve">our two </w:t>
      </w:r>
      <w:r w:rsidR="00BB0930">
        <w:t>site</w:t>
      </w:r>
      <w:r w:rsidR="00C835E1">
        <w:t>s</w:t>
      </w:r>
      <w:r w:rsidR="00BB0930">
        <w:t xml:space="preserve">. </w:t>
      </w:r>
      <w:r w:rsidR="005939DA">
        <w:t xml:space="preserve">If plants were N-limited, we would expect fertilization to increase the number of plants growing and/or biomass. </w:t>
      </w:r>
      <w:r w:rsidR="00CD7DFA">
        <w:t xml:space="preserve">We </w:t>
      </w:r>
      <w:r w:rsidR="007F0A2E">
        <w:t xml:space="preserve">hypothesized </w:t>
      </w:r>
      <w:r w:rsidR="00CD7DFA">
        <w:t xml:space="preserve">that </w:t>
      </w:r>
      <w:r w:rsidR="00CD7DFA" w:rsidRPr="00CD7DFA">
        <w:rPr>
          <w:i/>
          <w:iCs/>
        </w:rPr>
        <w:t>L. vulgaris</w:t>
      </w:r>
      <w:r w:rsidR="00CD7DFA">
        <w:t xml:space="preserve"> </w:t>
      </w:r>
      <w:r w:rsidR="008A496E">
        <w:t>is a better competitor for N</w:t>
      </w:r>
      <w:r w:rsidR="008A496E">
        <w:t xml:space="preserve"> </w:t>
      </w:r>
      <w:r w:rsidR="00D35A2A">
        <w:t xml:space="preserve">than native plants </w:t>
      </w:r>
      <w:r w:rsidR="00D35A2A">
        <w:t>in CO soil</w:t>
      </w:r>
      <w:r w:rsidR="008A496E">
        <w:t xml:space="preserve"> where N is limited</w:t>
      </w:r>
      <w:r w:rsidR="00306EFF">
        <w:t>,</w:t>
      </w:r>
      <w:r w:rsidR="008A496E">
        <w:t xml:space="preserve"> </w:t>
      </w:r>
      <w:r w:rsidR="009D1159">
        <w:t xml:space="preserve">which would allow it to spread rapidly. </w:t>
      </w:r>
      <w:r w:rsidR="005143B2">
        <w:t>B</w:t>
      </w:r>
      <w:r w:rsidR="00D35A2A">
        <w:t>ecau</w:t>
      </w:r>
      <w:r w:rsidR="000D10ED">
        <w:t xml:space="preserve">se </w:t>
      </w:r>
      <w:r w:rsidR="00306EFF">
        <w:t xml:space="preserve">both </w:t>
      </w:r>
      <w:r w:rsidR="00306EFF" w:rsidRPr="00306EFF">
        <w:rPr>
          <w:i/>
          <w:iCs/>
        </w:rPr>
        <w:t>L. vulgaris</w:t>
      </w:r>
      <w:r w:rsidR="00306EFF">
        <w:t xml:space="preserve"> and native plants were unaffected by N addition, </w:t>
      </w:r>
      <w:r w:rsidR="0007376F">
        <w:t xml:space="preserve">this </w:t>
      </w:r>
      <w:r w:rsidR="00B73FDB">
        <w:t xml:space="preserve">suggests that the </w:t>
      </w:r>
      <w:r w:rsidR="005A6267">
        <w:t xml:space="preserve">legacy effects we observed were not related to N limitation. </w:t>
      </w:r>
      <w:r w:rsidR="005D4F56">
        <w:t xml:space="preserve">Our soil chemical analysis </w:t>
      </w:r>
      <w:r w:rsidR="002051B5">
        <w:t>confirmed that there was no significant difference in NO</w:t>
      </w:r>
      <w:r w:rsidR="002051B5">
        <w:rPr>
          <w:vertAlign w:val="subscript"/>
        </w:rPr>
        <w:t>4</w:t>
      </w:r>
      <w:r w:rsidR="002051B5">
        <w:t xml:space="preserve"> or NO</w:t>
      </w:r>
      <w:r w:rsidR="002051B5">
        <w:rPr>
          <w:vertAlign w:val="subscript"/>
        </w:rPr>
        <w:t>3</w:t>
      </w:r>
      <w:r w:rsidR="002051B5">
        <w:t xml:space="preserve"> availability between invaded and uninvaded soil, but showed </w:t>
      </w:r>
      <w:r w:rsidR="00263B18">
        <w:t>significantly more NO</w:t>
      </w:r>
      <w:r w:rsidR="00263B18">
        <w:rPr>
          <w:vertAlign w:val="subscript"/>
        </w:rPr>
        <w:t xml:space="preserve">3 </w:t>
      </w:r>
      <w:r w:rsidR="00263B18">
        <w:t>and NO</w:t>
      </w:r>
      <w:r w:rsidR="00263B18">
        <w:rPr>
          <w:vertAlign w:val="subscript"/>
        </w:rPr>
        <w:t>4</w:t>
      </w:r>
      <w:r w:rsidR="00263B18">
        <w:t xml:space="preserve"> in </w:t>
      </w:r>
      <w:r w:rsidR="00F91ACB">
        <w:t xml:space="preserve">soil from CO. </w:t>
      </w:r>
      <w:r w:rsidR="00C51AEF">
        <w:t xml:space="preserve">This result contradicts statewide trends of </w:t>
      </w:r>
      <w:r w:rsidR="00420D9D" w:rsidRPr="00BC3E56">
        <w:t>NO</w:t>
      </w:r>
      <w:r w:rsidR="00420D9D" w:rsidRPr="00BC3E56">
        <w:rPr>
          <w:vertAlign w:val="subscript"/>
        </w:rPr>
        <w:t>3</w:t>
      </w:r>
      <w:r w:rsidR="00420D9D" w:rsidRPr="00BC3E56">
        <w:t xml:space="preserve"> and NH</w:t>
      </w:r>
      <w:r w:rsidR="00420D9D" w:rsidRPr="00BC3E56">
        <w:rPr>
          <w:vertAlign w:val="subscript"/>
        </w:rPr>
        <w:t>4</w:t>
      </w:r>
      <w:r w:rsidR="00C51AEF">
        <w:t xml:space="preserve">, </w:t>
      </w:r>
      <w:r w:rsidR="00420D9D" w:rsidRPr="00BC3E56">
        <w:t xml:space="preserve">which could </w:t>
      </w:r>
      <w:r w:rsidR="00724C6F">
        <w:t xml:space="preserve">be </w:t>
      </w:r>
      <w:r w:rsidR="00972FAE">
        <w:t xml:space="preserve">indicative of </w:t>
      </w:r>
      <w:r w:rsidR="00724C6F">
        <w:t xml:space="preserve">sampling </w:t>
      </w:r>
      <w:r w:rsidR="00972FAE">
        <w:t>site quality</w:t>
      </w:r>
      <w:r w:rsidR="001423CD">
        <w:t xml:space="preserve"> (Citation)</w:t>
      </w:r>
      <w:r w:rsidR="00972FAE">
        <w:t xml:space="preserve">. </w:t>
      </w:r>
      <w:r w:rsidR="00400C74">
        <w:t xml:space="preserve">Due to the scarcity of </w:t>
      </w:r>
      <w:r w:rsidR="00400C74" w:rsidRPr="00400C74">
        <w:rPr>
          <w:i/>
          <w:iCs/>
        </w:rPr>
        <w:t>L. vulgaris</w:t>
      </w:r>
      <w:r w:rsidR="00400C74">
        <w:t xml:space="preserve"> populations i</w:t>
      </w:r>
      <w:r w:rsidR="00420D9D" w:rsidRPr="00BC3E56">
        <w:t xml:space="preserve">n IL, </w:t>
      </w:r>
      <w:r w:rsidR="009D44A6">
        <w:t>our</w:t>
      </w:r>
      <w:r w:rsidR="00420D9D" w:rsidRPr="00BC3E56">
        <w:t xml:space="preserve"> sampling </w:t>
      </w:r>
      <w:r w:rsidR="000F77E5">
        <w:t>plots</w:t>
      </w:r>
      <w:r w:rsidR="00420D9D" w:rsidRPr="00BC3E56">
        <w:t xml:space="preserve"> were located along trails, roadsides, and train tracks where soil may be contaminated with chemical runoff or physically disturbed. CO </w:t>
      </w:r>
      <w:r w:rsidR="000F77E5">
        <w:t>plots</w:t>
      </w:r>
      <w:r w:rsidR="00420D9D" w:rsidRPr="00BC3E56">
        <w:t xml:space="preserve"> </w:t>
      </w:r>
      <w:r w:rsidR="006F2B75">
        <w:t xml:space="preserve">were located within a national forest with relatively low anthropogenic impact and where there is </w:t>
      </w:r>
      <w:r w:rsidR="00420D9D" w:rsidRPr="00BC3E56">
        <w:t>high animal activity, which could have resulted in higher N inputs. While N availability did not appear to influence soil feedbacks, other effects of site disturbance could have influenced soil</w:t>
      </w:r>
      <w:r w:rsidR="003E0B03">
        <w:t xml:space="preserve"> </w:t>
      </w:r>
      <w:r w:rsidR="0059396D">
        <w:t xml:space="preserve">microbial communities, chemical composition, </w:t>
      </w:r>
      <w:r w:rsidR="00F27F66">
        <w:t>and subsequent legacy effects</w:t>
      </w:r>
      <w:r w:rsidR="00420D9D" w:rsidRPr="00BC3E56">
        <w:t>.</w:t>
      </w:r>
    </w:p>
    <w:p w14:paraId="5D70530E" w14:textId="5489EC30" w:rsidR="0015267B" w:rsidRDefault="002953B8" w:rsidP="002953B8">
      <w:pPr>
        <w:ind w:firstLine="720"/>
      </w:pPr>
      <w:r w:rsidRPr="00BC3E56">
        <w:t xml:space="preserve">Furthering our belief that N availability does not explain </w:t>
      </w:r>
      <w:r w:rsidR="005D5DCC">
        <w:t xml:space="preserve">the </w:t>
      </w:r>
      <w:r w:rsidR="00530748">
        <w:t xml:space="preserve">range </w:t>
      </w:r>
      <w:r w:rsidR="005D5DCC">
        <w:t xml:space="preserve">of </w:t>
      </w:r>
      <w:r w:rsidRPr="00BC3E56">
        <w:rPr>
          <w:i/>
          <w:iCs/>
        </w:rPr>
        <w:t>L. vulgaris’</w:t>
      </w:r>
      <w:r w:rsidR="005D5DCC">
        <w:t xml:space="preserve"> invasion</w:t>
      </w:r>
      <w:r w:rsidRPr="00BC3E56">
        <w:t xml:space="preserve">, N uptake rates for both </w:t>
      </w:r>
      <w:r w:rsidRPr="00BC3E56">
        <w:rPr>
          <w:i/>
          <w:iCs/>
        </w:rPr>
        <w:t>L. vulgaris</w:t>
      </w:r>
      <w:r w:rsidRPr="00BC3E56">
        <w:t xml:space="preserve"> and native plants were not different across invasion or fertilizer treatments</w:t>
      </w:r>
      <w:r w:rsidR="00247821">
        <w:t xml:space="preserve"> in either site</w:t>
      </w:r>
      <w:r w:rsidRPr="00BC3E56">
        <w:t xml:space="preserve">. If N uptake was a strong determinant of plant success, </w:t>
      </w:r>
      <w:r w:rsidR="0084616A">
        <w:t xml:space="preserve">we </w:t>
      </w:r>
      <w:r w:rsidRPr="00BC3E56">
        <w:t xml:space="preserve">would expect to see higher N uptake rates in treatments where sprouting and growth was highest. Because </w:t>
      </w:r>
      <w:r w:rsidR="00D43660">
        <w:t xml:space="preserve">invasion </w:t>
      </w:r>
      <w:r w:rsidRPr="00BC3E56">
        <w:t xml:space="preserve">legacy did not impact N uptake rates, this suggests that </w:t>
      </w:r>
      <w:r w:rsidR="00EC6C89">
        <w:t xml:space="preserve">legacy effects </w:t>
      </w:r>
      <w:r w:rsidR="004E6173">
        <w:t>cannot be attributed to increased or decreased N absorption</w:t>
      </w:r>
      <w:r w:rsidRPr="00BC3E56">
        <w:t xml:space="preserve">. Similar N uptake rates in plants from fertilized and unfertilized treatments illustrates that plants were not N-limited, implying that environmental N is not a driver for </w:t>
      </w:r>
      <w:r w:rsidRPr="00BC3E56">
        <w:rPr>
          <w:i/>
          <w:iCs/>
        </w:rPr>
        <w:t>L. vulgaris’</w:t>
      </w:r>
      <w:r w:rsidRPr="00BC3E56">
        <w:t xml:space="preserve"> success.</w:t>
      </w:r>
    </w:p>
    <w:p w14:paraId="03F88AFF" w14:textId="77777777" w:rsidR="00C57892" w:rsidRDefault="00C57892" w:rsidP="00041A7B">
      <w:pPr>
        <w:ind w:firstLine="720"/>
      </w:pPr>
    </w:p>
    <w:p w14:paraId="7EAFF4B2" w14:textId="6558E98A" w:rsidR="00C57892" w:rsidRDefault="00C57892" w:rsidP="00C57892">
      <w:pPr>
        <w:rPr>
          <w:i/>
          <w:iCs/>
        </w:rPr>
      </w:pPr>
      <w:r>
        <w:rPr>
          <w:i/>
          <w:iCs/>
        </w:rPr>
        <w:t>AMF Community Composition</w:t>
      </w:r>
    </w:p>
    <w:p w14:paraId="73A349F6" w14:textId="77777777" w:rsidR="00B27C88" w:rsidRDefault="006E7CCB" w:rsidP="00945AA3">
      <w:pPr>
        <w:ind w:firstLine="720"/>
      </w:pPr>
      <w:r>
        <w:t xml:space="preserve">High-throughput sequencing revealed that </w:t>
      </w:r>
      <w:r w:rsidRPr="00702A26">
        <w:t xml:space="preserve">AMF communities </w:t>
      </w:r>
      <w:r>
        <w:t xml:space="preserve">are </w:t>
      </w:r>
      <w:r w:rsidRPr="00702A26">
        <w:t xml:space="preserve">significantly different between </w:t>
      </w:r>
      <w:r w:rsidR="00DF73B4">
        <w:t xml:space="preserve">the two </w:t>
      </w:r>
      <w:r w:rsidRPr="00702A26">
        <w:t>s</w:t>
      </w:r>
      <w:r w:rsidR="00DF73B4">
        <w:t>ite</w:t>
      </w:r>
      <w:r w:rsidRPr="00702A26">
        <w:t>s</w:t>
      </w:r>
      <w:r>
        <w:t xml:space="preserve">. </w:t>
      </w:r>
      <w:r w:rsidR="008151FA">
        <w:t>This was expected, as p</w:t>
      </w:r>
      <w:r w:rsidRPr="00702A26">
        <w:t xml:space="preserve">revious research has shown </w:t>
      </w:r>
      <w:r w:rsidR="00955618">
        <w:t xml:space="preserve">a </w:t>
      </w:r>
      <w:r w:rsidR="00BA5AF5">
        <w:t xml:space="preserve">strong </w:t>
      </w:r>
      <w:r w:rsidR="00C91A27">
        <w:t xml:space="preserve">positive </w:t>
      </w:r>
      <w:r w:rsidR="00955618">
        <w:t xml:space="preserve">relationship </w:t>
      </w:r>
      <w:r w:rsidRPr="00702A26">
        <w:t xml:space="preserve">between geographic distance and AMF community </w:t>
      </w:r>
      <w:r w:rsidR="002A61DA">
        <w:t>dis</w:t>
      </w:r>
      <w:r w:rsidR="00955618">
        <w:t xml:space="preserve">similarity </w:t>
      </w:r>
      <w:r w:rsidRPr="00702A26">
        <w:t>(</w:t>
      </w:r>
      <w:proofErr w:type="spellStart"/>
      <w:r w:rsidRPr="00702A26">
        <w:t>Kivlin</w:t>
      </w:r>
      <w:proofErr w:type="spellEnd"/>
      <w:r w:rsidRPr="00702A26">
        <w:t xml:space="preserve"> et al 2011). </w:t>
      </w:r>
      <w:r w:rsidR="004328B4">
        <w:t xml:space="preserve">Different </w:t>
      </w:r>
      <w:r w:rsidRPr="00702A26">
        <w:t xml:space="preserve">AMF </w:t>
      </w:r>
      <w:r w:rsidR="004328B4">
        <w:t xml:space="preserve">communities associated with </w:t>
      </w:r>
      <w:r w:rsidR="002237DE" w:rsidRPr="002237DE">
        <w:rPr>
          <w:i/>
          <w:iCs/>
        </w:rPr>
        <w:t>L. vulgaris</w:t>
      </w:r>
      <w:r w:rsidR="002237DE">
        <w:t xml:space="preserve"> </w:t>
      </w:r>
      <w:r w:rsidR="001A3ED4">
        <w:t xml:space="preserve">in </w:t>
      </w:r>
      <w:r w:rsidR="00A9710B">
        <w:t xml:space="preserve">CO and IL </w:t>
      </w:r>
      <w:r w:rsidR="002237DE">
        <w:t xml:space="preserve">is one possible explanation for </w:t>
      </w:r>
      <w:r w:rsidR="00281312">
        <w:t>its invasive distribution</w:t>
      </w:r>
      <w:r w:rsidR="004328B4">
        <w:t>.</w:t>
      </w:r>
      <w:r w:rsidRPr="00702A26">
        <w:t xml:space="preserve"> </w:t>
      </w:r>
      <w:r w:rsidR="004328B4">
        <w:t>However,</w:t>
      </w:r>
      <w:r w:rsidRPr="00702A26">
        <w:t xml:space="preserve"> </w:t>
      </w:r>
      <w:r w:rsidR="001D7AFA">
        <w:t xml:space="preserve">our study did not </w:t>
      </w:r>
      <w:r w:rsidR="008F5583">
        <w:t xml:space="preserve">compare </w:t>
      </w:r>
      <w:r w:rsidR="008F5583" w:rsidRPr="004328B4">
        <w:rPr>
          <w:i/>
          <w:iCs/>
        </w:rPr>
        <w:t>L. vulgaris</w:t>
      </w:r>
      <w:r w:rsidR="008F5583">
        <w:t xml:space="preserve"> grown in</w:t>
      </w:r>
      <w:r w:rsidRPr="00702A26">
        <w:t xml:space="preserve"> </w:t>
      </w:r>
      <w:r w:rsidR="00003A64">
        <w:t xml:space="preserve">live vs. sterile soil </w:t>
      </w:r>
      <w:r w:rsidRPr="00702A26">
        <w:t>to establish</w:t>
      </w:r>
      <w:r w:rsidR="00E73AED">
        <w:t xml:space="preserve"> whether soil biotic or abiotic characteristics </w:t>
      </w:r>
      <w:r w:rsidR="008F5583">
        <w:t xml:space="preserve">influence </w:t>
      </w:r>
      <w:r w:rsidR="008F5583" w:rsidRPr="008F5583">
        <w:rPr>
          <w:i/>
          <w:iCs/>
        </w:rPr>
        <w:t>L. vulgaris</w:t>
      </w:r>
      <w:r w:rsidR="00E32EDB">
        <w:t xml:space="preserve"> growth</w:t>
      </w:r>
      <w:r w:rsidRPr="00702A26">
        <w:t>.</w:t>
      </w:r>
      <w:r w:rsidR="00E54E73">
        <w:t xml:space="preserve"> </w:t>
      </w:r>
      <w:r w:rsidR="00F30A5E">
        <w:t xml:space="preserve">At best, we </w:t>
      </w:r>
      <w:r w:rsidR="001F262C">
        <w:t xml:space="preserve">generated one theory for </w:t>
      </w:r>
      <w:r w:rsidR="001F262C" w:rsidRPr="00D06B37">
        <w:rPr>
          <w:i/>
          <w:iCs/>
        </w:rPr>
        <w:t>L. vulgaris</w:t>
      </w:r>
      <w:r w:rsidR="001F262C">
        <w:t xml:space="preserve"> invasion success that requires further experimentation to be </w:t>
      </w:r>
      <w:r w:rsidR="00070214">
        <w:t>supported or disproven.</w:t>
      </w:r>
      <w:r w:rsidR="00A8581B">
        <w:t xml:space="preserve"> </w:t>
      </w:r>
    </w:p>
    <w:p w14:paraId="3C119D55" w14:textId="5F053525" w:rsidR="00F55A5C" w:rsidRDefault="00945AA3" w:rsidP="007132BC">
      <w:pPr>
        <w:ind w:firstLine="720"/>
      </w:pPr>
      <w:r>
        <w:t xml:space="preserve">Unexpectedly, </w:t>
      </w:r>
      <w:r w:rsidRPr="00702A26">
        <w:t xml:space="preserve">OTU </w:t>
      </w:r>
      <w:r>
        <w:t xml:space="preserve">and </w:t>
      </w:r>
      <w:r w:rsidR="00975D26">
        <w:t>f</w:t>
      </w:r>
      <w:r>
        <w:t xml:space="preserve">amily </w:t>
      </w:r>
      <w:r w:rsidRPr="00702A26">
        <w:t xml:space="preserve">richness </w:t>
      </w:r>
      <w:r>
        <w:t xml:space="preserve">was </w:t>
      </w:r>
      <w:r w:rsidRPr="00702A26">
        <w:t>about the same between sites</w:t>
      </w:r>
      <w:r w:rsidR="00B27C88">
        <w:t xml:space="preserve"> </w:t>
      </w:r>
      <w:r w:rsidR="00E8017C">
        <w:t xml:space="preserve">and </w:t>
      </w:r>
      <w:r w:rsidRPr="00702A26">
        <w:t>each s</w:t>
      </w:r>
      <w:r w:rsidR="00B27C88">
        <w:t xml:space="preserve">ite </w:t>
      </w:r>
      <w:r w:rsidR="00E8017C">
        <w:t xml:space="preserve">had </w:t>
      </w:r>
      <w:r w:rsidRPr="00702A26">
        <w:t>almost the same number of indicator OTUs, meaning that states had different communities, but neither had higher</w:t>
      </w:r>
      <w:r w:rsidR="00975D26">
        <w:t xml:space="preserve"> diversity</w:t>
      </w:r>
      <w:r w:rsidRPr="00702A26">
        <w:t>.</w:t>
      </w:r>
      <w:r>
        <w:t xml:space="preserve"> </w:t>
      </w:r>
      <w:r w:rsidR="006E7CCB" w:rsidRPr="00702A26">
        <w:t xml:space="preserve">Because IL is lower elevation than CO, </w:t>
      </w:r>
      <w:r>
        <w:t>we</w:t>
      </w:r>
      <w:r w:rsidR="006E7CCB" w:rsidRPr="00702A26">
        <w:t xml:space="preserve"> expected to find </w:t>
      </w:r>
      <w:r w:rsidR="006E7CCB" w:rsidRPr="00702A26">
        <w:lastRenderedPageBreak/>
        <w:t>greater OTU richness and taxonomic diversity in IL (</w:t>
      </w:r>
      <w:proofErr w:type="spellStart"/>
      <w:r w:rsidR="006E7CCB" w:rsidRPr="00702A26">
        <w:t>Swaty</w:t>
      </w:r>
      <w:proofErr w:type="spellEnd"/>
      <w:r w:rsidR="006E7CCB" w:rsidRPr="00702A26">
        <w:t xml:space="preserve"> et al 2016</w:t>
      </w:r>
      <w:r w:rsidR="002F6503">
        <w:t xml:space="preserve">). Our </w:t>
      </w:r>
      <w:r w:rsidR="006E7CCB" w:rsidRPr="00702A26">
        <w:t>sampling sites in IL</w:t>
      </w:r>
      <w:r w:rsidR="002F6503">
        <w:t xml:space="preserve"> </w:t>
      </w:r>
      <w:r w:rsidR="002F6503" w:rsidRPr="00702A26">
        <w:t>were highly disturbed</w:t>
      </w:r>
      <w:r w:rsidR="006E7CCB" w:rsidRPr="00702A26">
        <w:t>, which could have resulted in a loss of AMF diversity</w:t>
      </w:r>
      <w:r w:rsidR="002F6503">
        <w:t xml:space="preserve"> </w:t>
      </w:r>
      <w:r w:rsidR="006E7CCB" w:rsidRPr="00702A26">
        <w:t>(Entry et al 2002; Sánchez et al 2012).</w:t>
      </w:r>
      <w:r w:rsidR="002F6503" w:rsidRPr="00702A26">
        <w:t xml:space="preserve"> Soil with high AMF diversity is</w:t>
      </w:r>
      <w:r w:rsidR="007048A8">
        <w:t xml:space="preserve"> often</w:t>
      </w:r>
      <w:r w:rsidR="002F6503" w:rsidRPr="00702A26">
        <w:t xml:space="preserve"> more resistant to disturbances like pathogens, moisture stress, and others (Van der Heijden et al 1998).</w:t>
      </w:r>
      <w:r w:rsidR="004B788F">
        <w:t xml:space="preserve"> </w:t>
      </w:r>
      <w:r w:rsidR="00B76A28">
        <w:t xml:space="preserve">If AMF community differences are responsible for </w:t>
      </w:r>
      <w:r w:rsidR="000755CD" w:rsidRPr="000755CD">
        <w:rPr>
          <w:i/>
          <w:iCs/>
        </w:rPr>
        <w:t>L. vulgaris’</w:t>
      </w:r>
      <w:r w:rsidR="000755CD">
        <w:t xml:space="preserve"> invasion success in CO, </w:t>
      </w:r>
      <w:r w:rsidR="0066716E">
        <w:t xml:space="preserve">OTU-level taxonomic differences could reflect more mutualistic and fewer parasitic AMF. </w:t>
      </w:r>
      <w:r w:rsidR="00B33F8A">
        <w:t xml:space="preserve">Still, </w:t>
      </w:r>
      <w:r w:rsidR="00623285">
        <w:t xml:space="preserve">further study is required to attribute </w:t>
      </w:r>
      <w:r w:rsidR="00623285" w:rsidRPr="00623285">
        <w:rPr>
          <w:i/>
          <w:iCs/>
        </w:rPr>
        <w:t>L. vulgaris</w:t>
      </w:r>
      <w:r w:rsidR="00623285">
        <w:t xml:space="preserve"> invasion success to microbial diversity. </w:t>
      </w:r>
    </w:p>
    <w:p w14:paraId="6AEEA9C1" w14:textId="659CF18C" w:rsidR="0040036C" w:rsidRDefault="00141FE7" w:rsidP="00141FE7">
      <w:r w:rsidRPr="00702A26">
        <w:tab/>
      </w:r>
      <w:r w:rsidR="007132BC">
        <w:t>W</w:t>
      </w:r>
      <w:r w:rsidRPr="00702A26">
        <w:t xml:space="preserve">hen </w:t>
      </w:r>
      <w:r w:rsidR="007132BC">
        <w:t>we</w:t>
      </w:r>
      <w:r w:rsidRPr="00702A26">
        <w:t xml:space="preserve"> compared invaded and uninvaded soil from both s</w:t>
      </w:r>
      <w:r w:rsidR="00046723">
        <w:t>ites</w:t>
      </w:r>
      <w:r w:rsidRPr="00702A26">
        <w:t>, as well as each s</w:t>
      </w:r>
      <w:r w:rsidR="00046723">
        <w:t>it</w:t>
      </w:r>
      <w:r w:rsidRPr="00702A26">
        <w:t xml:space="preserve">e individually, </w:t>
      </w:r>
      <w:r w:rsidR="00660818">
        <w:t xml:space="preserve">overall </w:t>
      </w:r>
      <w:r w:rsidRPr="00702A26">
        <w:t xml:space="preserve">AMF community composition was not different, </w:t>
      </w:r>
      <w:r>
        <w:t>suggestin</w:t>
      </w:r>
      <w:r w:rsidRPr="00702A26">
        <w:t xml:space="preserve">g that </w:t>
      </w:r>
      <w:r w:rsidR="000D30AE">
        <w:t xml:space="preserve">invasion does not drive </w:t>
      </w:r>
      <w:r w:rsidR="002A3367">
        <w:t>AMF communit</w:t>
      </w:r>
      <w:r w:rsidR="000D30AE">
        <w:t>y changes</w:t>
      </w:r>
      <w:r>
        <w:t xml:space="preserve">. </w:t>
      </w:r>
      <w:r w:rsidR="00F03905">
        <w:t xml:space="preserve">Similarly, </w:t>
      </w:r>
      <w:r w:rsidRPr="00702A26">
        <w:t xml:space="preserve">OTU </w:t>
      </w:r>
      <w:r w:rsidR="00F03905">
        <w:t>and</w:t>
      </w:r>
      <w:r w:rsidRPr="00702A26">
        <w:t xml:space="preserve"> family richness </w:t>
      </w:r>
      <w:r w:rsidR="00F03905">
        <w:t>w</w:t>
      </w:r>
      <w:r w:rsidR="0040036C">
        <w:t>ere</w:t>
      </w:r>
      <w:r w:rsidR="00F03905">
        <w:t xml:space="preserve"> not different between invaded and uninvaded soil from</w:t>
      </w:r>
      <w:r w:rsidRPr="00702A26">
        <w:t xml:space="preserve"> both s</w:t>
      </w:r>
      <w:r w:rsidR="00F03905">
        <w:t>ite</w:t>
      </w:r>
      <w:r w:rsidRPr="00702A26">
        <w:t>s together and each s</w:t>
      </w:r>
      <w:r w:rsidR="00F03905">
        <w:t>it</w:t>
      </w:r>
      <w:r w:rsidRPr="00702A26">
        <w:t>e alone</w:t>
      </w:r>
      <w:r w:rsidR="00B75322">
        <w:t xml:space="preserve">. </w:t>
      </w:r>
      <w:r w:rsidR="00357C66">
        <w:t xml:space="preserve">Although, </w:t>
      </w:r>
      <w:r w:rsidR="009E42C9">
        <w:t xml:space="preserve">we did not sequence soil prior to and following invasion, </w:t>
      </w:r>
      <w:r w:rsidR="00357C66">
        <w:t xml:space="preserve">so </w:t>
      </w:r>
      <w:r w:rsidR="009E42C9">
        <w:t xml:space="preserve">we </w:t>
      </w:r>
      <w:r w:rsidR="008B5009">
        <w:t xml:space="preserve">cannot determine decisively </w:t>
      </w:r>
      <w:r w:rsidR="00357C66">
        <w:t xml:space="preserve">whether invasion impacts </w:t>
      </w:r>
      <w:r w:rsidR="008E0273">
        <w:t xml:space="preserve">AMF communities. </w:t>
      </w:r>
    </w:p>
    <w:p w14:paraId="6E758559" w14:textId="77777777" w:rsidR="0040036C" w:rsidRDefault="0040036C" w:rsidP="00141FE7"/>
    <w:p w14:paraId="4994E581" w14:textId="60F33CEF" w:rsidR="00141FE7" w:rsidRPr="00702A26" w:rsidRDefault="00141FE7" w:rsidP="00141FE7">
      <w:r w:rsidRPr="00702A26">
        <w:t xml:space="preserve">However, there were state-specific differences in indicator OTUs between invaded and uninvaded soil, with the same number of indicator OTUs between invaded and uninvaded CO soil and slightly more indicator OTUs in invaded than uninvaded IL soil. Differences in indicator OTUs reveal that sites had slightly different communities, but not enough to illustrate any effect of </w:t>
      </w:r>
      <w:r w:rsidRPr="00702A26">
        <w:rPr>
          <w:i/>
          <w:iCs/>
        </w:rPr>
        <w:t>L. vulgaris</w:t>
      </w:r>
      <w:r w:rsidRPr="00702A26">
        <w:t xml:space="preserve"> invasion. Because OTU richness was unaffected by invasion, indicator OTUs in invaded and uninvaded sites are most likely the result of site differences unrelated to invasion</w:t>
      </w:r>
      <w:r>
        <w:t>.</w:t>
      </w:r>
    </w:p>
    <w:p w14:paraId="11694D13" w14:textId="77777777" w:rsidR="0040036C" w:rsidRDefault="00141FE7" w:rsidP="00141FE7">
      <w:r w:rsidRPr="00702A26">
        <w:tab/>
      </w:r>
    </w:p>
    <w:p w14:paraId="703560D3" w14:textId="2D899015" w:rsidR="00141FE7" w:rsidRPr="00702A26" w:rsidRDefault="00141FE7" w:rsidP="00141FE7">
      <w:r w:rsidRPr="00702A26">
        <w:t xml:space="preserve">States also had strong differences in soil factors, with higher pH </w:t>
      </w:r>
      <w:r>
        <w:t xml:space="preserve">and sand </w:t>
      </w:r>
      <w:r w:rsidRPr="00702A26">
        <w:t xml:space="preserve">in IL soil and higher </w:t>
      </w:r>
      <w:r>
        <w:t xml:space="preserve">silt, </w:t>
      </w:r>
      <w:r w:rsidRPr="00702A26">
        <w:t>NO</w:t>
      </w:r>
      <w:r w:rsidRPr="00702A26">
        <w:rPr>
          <w:vertAlign w:val="subscript"/>
        </w:rPr>
        <w:t>3</w:t>
      </w:r>
      <w:r>
        <w:t>,</w:t>
      </w:r>
      <w:r w:rsidRPr="00702A26">
        <w:t xml:space="preserve"> and NH</w:t>
      </w:r>
      <w:r w:rsidRPr="00702A26">
        <w:rPr>
          <w:vertAlign w:val="subscript"/>
        </w:rPr>
        <w:t>4</w:t>
      </w:r>
      <w:r w:rsidRPr="00702A26">
        <w:t xml:space="preserve"> in CO soil. </w:t>
      </w:r>
      <w:r>
        <w:t>I</w:t>
      </w:r>
      <w:r w:rsidRPr="00702A26">
        <w:t xml:space="preserve"> w</w:t>
      </w:r>
      <w:r>
        <w:t>as</w:t>
      </w:r>
      <w:r w:rsidRPr="00702A26">
        <w:t xml:space="preserve"> surprised that N availability was higher in CO soil than IL soil, contrary to previously documented state-wide trends, but </w:t>
      </w:r>
      <w:r>
        <w:t>I</w:t>
      </w:r>
      <w:r w:rsidRPr="00702A26">
        <w:t xml:space="preserve"> attribute this difference to site disturbance. Sites in IL</w:t>
      </w:r>
      <w:r>
        <w:t xml:space="preserve"> where I was able to locate </w:t>
      </w:r>
      <w:r w:rsidRPr="0042284E">
        <w:rPr>
          <w:i/>
          <w:iCs/>
        </w:rPr>
        <w:t xml:space="preserve">L. vulgaris </w:t>
      </w:r>
      <w:r w:rsidRPr="00702A26">
        <w:t>were adjacent to roads, railroads, or in other highly disturbed areas, making them highly susceptible to leaching and less likely to harbor N-fixing bacteria (</w:t>
      </w:r>
      <w:proofErr w:type="spellStart"/>
      <w:r w:rsidRPr="00702A26">
        <w:t>Perakis</w:t>
      </w:r>
      <w:proofErr w:type="spellEnd"/>
      <w:r w:rsidRPr="00702A26">
        <w:t xml:space="preserve"> et al 2015). Whereas in CO, deer, moose, and other wildlife were often found inhabiting sites and most likely contributed N inputs to the soil. Interestingly, PO</w:t>
      </w:r>
      <w:r w:rsidRPr="00702A26">
        <w:rPr>
          <w:vertAlign w:val="subscript"/>
        </w:rPr>
        <w:t>4</w:t>
      </w:r>
      <w:r w:rsidRPr="00702A26">
        <w:t xml:space="preserve"> was affected by both state and invasion, with higher PO</w:t>
      </w:r>
      <w:r w:rsidRPr="00702A26">
        <w:rPr>
          <w:vertAlign w:val="subscript"/>
        </w:rPr>
        <w:t>4</w:t>
      </w:r>
      <w:r w:rsidRPr="00702A26">
        <w:t xml:space="preserve"> </w:t>
      </w:r>
      <w:r>
        <w:t xml:space="preserve">in </w:t>
      </w:r>
      <w:r w:rsidRPr="00702A26">
        <w:t>invaded than uninvaded IL soil</w:t>
      </w:r>
      <w:r>
        <w:t>, but no effect of invasion in CO</w:t>
      </w:r>
      <w:r w:rsidRPr="00702A26">
        <w:t>. It seems likely that PO</w:t>
      </w:r>
      <w:r w:rsidRPr="00702A26">
        <w:rPr>
          <w:vertAlign w:val="subscript"/>
        </w:rPr>
        <w:t>4</w:t>
      </w:r>
      <w:r w:rsidRPr="00702A26">
        <w:t xml:space="preserve"> availability is driven by microbial community differences, as microbes are essential to plant P uptake and disturbance has less of an effect on soil P (Richardson et al 2011; </w:t>
      </w:r>
      <w:proofErr w:type="spellStart"/>
      <w:r w:rsidRPr="00702A26">
        <w:t>Redel</w:t>
      </w:r>
      <w:proofErr w:type="spellEnd"/>
      <w:r w:rsidRPr="00702A26">
        <w:t xml:space="preserve"> et al 2013). While between-state AMF differences could be partly responsible for PO</w:t>
      </w:r>
      <w:r w:rsidRPr="00702A26">
        <w:rPr>
          <w:vertAlign w:val="subscript"/>
        </w:rPr>
        <w:t>4</w:t>
      </w:r>
      <w:r w:rsidRPr="00702A26">
        <w:t xml:space="preserve"> changes, AMF communities were not very different between invaded and uninvaded sites in CO and IL. Bacteria, saprotrophic fungi, and other microorganisms could influence PO</w:t>
      </w:r>
      <w:r w:rsidRPr="00702A26">
        <w:rPr>
          <w:vertAlign w:val="subscript"/>
        </w:rPr>
        <w:t>4</w:t>
      </w:r>
      <w:r>
        <w:rPr>
          <w:vertAlign w:val="subscript"/>
        </w:rPr>
        <w:t xml:space="preserve"> </w:t>
      </w:r>
      <w:r>
        <w:t>differences between invaded and uninvaded sites</w:t>
      </w:r>
      <w:r w:rsidRPr="00702A26">
        <w:t xml:space="preserve">, but </w:t>
      </w:r>
      <w:r>
        <w:t>I</w:t>
      </w:r>
      <w:r w:rsidRPr="00702A26">
        <w:t xml:space="preserve"> only addressed AMF community differences in this study.</w:t>
      </w:r>
    </w:p>
    <w:p w14:paraId="4AD06C1F" w14:textId="77777777" w:rsidR="00141FE7" w:rsidRPr="00C923C3" w:rsidRDefault="00141FE7" w:rsidP="00141FE7">
      <w:pPr>
        <w:ind w:firstLine="720"/>
      </w:pPr>
      <w:r>
        <w:t>When I tested the effects of soil factors on AMF community composition, not all soil factors different by state resulted in community differences. Nitrate, sand, silt, (and clay marginally) influenced AMF communities across both states. Sand, clay, and ammonium influenced AMF community differences between states. I hypothesize that b</w:t>
      </w:r>
      <w:r w:rsidRPr="00702A26">
        <w:t>ecause NO</w:t>
      </w:r>
      <w:r w:rsidRPr="00702A26">
        <w:rPr>
          <w:vertAlign w:val="subscript"/>
        </w:rPr>
        <w:t>3</w:t>
      </w:r>
      <w:r w:rsidRPr="00702A26">
        <w:t xml:space="preserve"> and N</w:t>
      </w:r>
      <w:r>
        <w:t>H</w:t>
      </w:r>
      <w:r w:rsidRPr="00702A26">
        <w:rPr>
          <w:vertAlign w:val="subscript"/>
        </w:rPr>
        <w:t>4</w:t>
      </w:r>
      <w:r w:rsidRPr="00702A26">
        <w:t xml:space="preserve"> were abnormally low in IL sites</w:t>
      </w:r>
      <w:r>
        <w:t xml:space="preserve"> and abnormally high in CO sites</w:t>
      </w:r>
      <w:r w:rsidRPr="00702A26">
        <w:t xml:space="preserve">, N </w:t>
      </w:r>
      <w:r>
        <w:t xml:space="preserve">availability </w:t>
      </w:r>
      <w:r w:rsidRPr="00702A26">
        <w:t>had strong</w:t>
      </w:r>
      <w:r>
        <w:t>er</w:t>
      </w:r>
      <w:r w:rsidRPr="00702A26">
        <w:t xml:space="preserve"> effects on AMF communities</w:t>
      </w:r>
      <w:r>
        <w:t xml:space="preserve"> than expected</w:t>
      </w:r>
      <w:r w:rsidRPr="00702A26">
        <w:t>.</w:t>
      </w:r>
      <w:r>
        <w:t xml:space="preserve"> Sand, clay, and silt</w:t>
      </w:r>
      <w:r w:rsidRPr="00702A26">
        <w:t xml:space="preserve"> </w:t>
      </w:r>
      <w:r>
        <w:t xml:space="preserve">ratios </w:t>
      </w:r>
      <w:r w:rsidRPr="00702A26">
        <w:t xml:space="preserve">can affect </w:t>
      </w:r>
      <w:r>
        <w:t xml:space="preserve">soil </w:t>
      </w:r>
      <w:r w:rsidRPr="00702A26">
        <w:t xml:space="preserve">nutrient </w:t>
      </w:r>
      <w:r>
        <w:t xml:space="preserve">and </w:t>
      </w:r>
      <w:r w:rsidRPr="00702A26">
        <w:t>moisture</w:t>
      </w:r>
      <w:r>
        <w:t xml:space="preserve"> retention and b</w:t>
      </w:r>
      <w:r w:rsidRPr="00702A26">
        <w:t xml:space="preserve">ecause CO </w:t>
      </w:r>
      <w:r>
        <w:t>has</w:t>
      </w:r>
      <w:r w:rsidRPr="00702A26">
        <w:t xml:space="preserve"> a dry climate, </w:t>
      </w:r>
      <w:r>
        <w:t>I</w:t>
      </w:r>
      <w:r w:rsidRPr="00702A26">
        <w:t xml:space="preserve"> hypothesize that moisture is at least partly responsible for AMF composition there (</w:t>
      </w:r>
      <w:proofErr w:type="spellStart"/>
      <w:r w:rsidRPr="00702A26">
        <w:t>Kivlin</w:t>
      </w:r>
      <w:proofErr w:type="spellEnd"/>
      <w:r w:rsidRPr="00702A26">
        <w:t xml:space="preserve"> et al 2011). </w:t>
      </w:r>
      <w:r>
        <w:t>While pH was higher in IL than CO soil, pH did not drive AMF community composition in both or either state. For all soil factors, the R</w:t>
      </w:r>
      <w:r>
        <w:rPr>
          <w:vertAlign w:val="superscript"/>
        </w:rPr>
        <w:t>2</w:t>
      </w:r>
      <w:r>
        <w:t xml:space="preserve"> values were very low (0.01-0.03), meaning that the AMF communities I observed </w:t>
      </w:r>
      <w:r>
        <w:lastRenderedPageBreak/>
        <w:t>may be correlated with soil factors, but the variation I saw was not explained by the soil factors I tested.</w:t>
      </w:r>
    </w:p>
    <w:p w14:paraId="38D0C9A3" w14:textId="77777777" w:rsidR="00141FE7" w:rsidRPr="00702A26" w:rsidRDefault="00141FE7" w:rsidP="00141FE7">
      <w:pPr>
        <w:ind w:firstLine="720"/>
      </w:pPr>
      <w:r>
        <w:t>S</w:t>
      </w:r>
      <w:r w:rsidRPr="00702A26">
        <w:t xml:space="preserve">oil factors didn’t </w:t>
      </w:r>
      <w:r>
        <w:t>drive AMF</w:t>
      </w:r>
      <w:r w:rsidRPr="00702A26">
        <w:t xml:space="preserve"> </w:t>
      </w:r>
      <w:r>
        <w:t xml:space="preserve">community differences between invaded and uninvaded soil </w:t>
      </w:r>
      <w:r w:rsidRPr="00702A26">
        <w:t xml:space="preserve">in </w:t>
      </w:r>
      <w:r>
        <w:t>both states together and separately. D</w:t>
      </w:r>
      <w:r w:rsidRPr="00702A26">
        <w:t>espite the differences in soil PO</w:t>
      </w:r>
      <w:r w:rsidRPr="00702A26">
        <w:rPr>
          <w:vertAlign w:val="subscript"/>
        </w:rPr>
        <w:t>4</w:t>
      </w:r>
      <w:r w:rsidRPr="00702A26">
        <w:t xml:space="preserve"> by state and invasion history, PO</w:t>
      </w:r>
      <w:r w:rsidRPr="00702A26">
        <w:rPr>
          <w:vertAlign w:val="subscript"/>
        </w:rPr>
        <w:t>4</w:t>
      </w:r>
      <w:r w:rsidRPr="00702A26">
        <w:t xml:space="preserve"> did not affect AMF community composition</w:t>
      </w:r>
      <w:r>
        <w:t xml:space="preserve"> across state</w:t>
      </w:r>
      <w:r w:rsidRPr="00702A26">
        <w:t xml:space="preserve"> </w:t>
      </w:r>
      <w:r>
        <w:t xml:space="preserve">and invasion treatments, </w:t>
      </w:r>
      <w:r w:rsidRPr="00702A26">
        <w:t>which could be because other microorganisms are more important for plant P acquisition</w:t>
      </w:r>
      <w:r>
        <w:t>.</w:t>
      </w:r>
      <w:r w:rsidRPr="00702A26">
        <w:t xml:space="preserve"> If AMF were responsible for plant PO</w:t>
      </w:r>
      <w:r w:rsidRPr="00702A26">
        <w:rPr>
          <w:vertAlign w:val="subscript"/>
        </w:rPr>
        <w:t>4</w:t>
      </w:r>
      <w:r w:rsidRPr="00702A26">
        <w:t xml:space="preserve"> uptake, </w:t>
      </w:r>
      <w:r>
        <w:t>I</w:t>
      </w:r>
      <w:r w:rsidRPr="00702A26">
        <w:t xml:space="preserve"> would expect to see strong effects on AMF communities, since PO</w:t>
      </w:r>
      <w:r w:rsidRPr="00702A26">
        <w:rPr>
          <w:vertAlign w:val="subscript"/>
        </w:rPr>
        <w:t>4</w:t>
      </w:r>
      <w:r w:rsidRPr="00702A26">
        <w:t xml:space="preserve"> availability would drive the direction of the plant-mycorrhizal symbioses (Johnson et al 1997).</w:t>
      </w:r>
      <w:r>
        <w:t xml:space="preserve"> While invaded and uninvaded soil AMF communities were not different overall, unique indicator OTUs in invaded and uninvaded soil </w:t>
      </w:r>
      <w:r w:rsidRPr="00702A26">
        <w:t xml:space="preserve">may be </w:t>
      </w:r>
      <w:r>
        <w:t xml:space="preserve">unimportant to </w:t>
      </w:r>
      <w:r w:rsidRPr="00702A26">
        <w:t xml:space="preserve">plant nutrient acquisition or otherwise </w:t>
      </w:r>
      <w:r>
        <w:t>not</w:t>
      </w:r>
      <w:r w:rsidRPr="00702A26">
        <w:t xml:space="preserve"> functionally diverse (Lee et al 2013). </w:t>
      </w:r>
      <w:r>
        <w:t>The</w:t>
      </w:r>
      <w:r w:rsidRPr="00702A26">
        <w:t xml:space="preserve"> NMDS revealed that AMF communities in invaded IL soil were a subset of uninvaded IL soil, despite having more indicator OTUs. This could illustrate that within-family taxonomic diversity was greater in uninvaded than invaded IL soil</w:t>
      </w:r>
      <w:r>
        <w:t>, but this does not appear to correspond to greater functional diversity</w:t>
      </w:r>
      <w:r w:rsidRPr="00702A26">
        <w:t>.</w:t>
      </w:r>
    </w:p>
    <w:p w14:paraId="3CD44D07" w14:textId="77777777" w:rsidR="00141FE7" w:rsidRPr="00702A26" w:rsidRDefault="00141FE7" w:rsidP="00141FE7">
      <w:pPr>
        <w:ind w:firstLine="720"/>
      </w:pPr>
      <w:r w:rsidRPr="00702A26">
        <w:t xml:space="preserve">Unfortunately, the strength of </w:t>
      </w:r>
      <w:r>
        <w:t>my</w:t>
      </w:r>
      <w:r w:rsidRPr="00702A26">
        <w:t xml:space="preserve"> data was limited, as </w:t>
      </w:r>
      <w:r>
        <w:t>I</w:t>
      </w:r>
      <w:r w:rsidRPr="00702A26">
        <w:t xml:space="preserve"> had to remove many low-quality base pairs that are important in species-level identification. </w:t>
      </w:r>
      <w:r>
        <w:t>My</w:t>
      </w:r>
      <w:r w:rsidRPr="00702A26">
        <w:t xml:space="preserve"> library preparation did not yield the quantity or quality of reads </w:t>
      </w:r>
      <w:r>
        <w:t>I</w:t>
      </w:r>
      <w:r w:rsidRPr="00702A26">
        <w:t xml:space="preserve"> would have liked for strong AMF community analysis. While </w:t>
      </w:r>
      <w:r>
        <w:t>I</w:t>
      </w:r>
      <w:r w:rsidRPr="00702A26">
        <w:t xml:space="preserve"> a</w:t>
      </w:r>
      <w:r>
        <w:t>m</w:t>
      </w:r>
      <w:r w:rsidRPr="00702A26">
        <w:t xml:space="preserve"> confident in </w:t>
      </w:r>
      <w:r>
        <w:t>my</w:t>
      </w:r>
      <w:r w:rsidRPr="00702A26">
        <w:t xml:space="preserve"> identification of OTUs to either family or genus, </w:t>
      </w:r>
      <w:r>
        <w:t>I</w:t>
      </w:r>
      <w:r w:rsidRPr="00702A26">
        <w:t xml:space="preserve"> likely did not completely capture AMF diversity in </w:t>
      </w:r>
      <w:r>
        <w:t>my</w:t>
      </w:r>
      <w:r w:rsidRPr="00702A26">
        <w:t xml:space="preserve"> samples. Furthermore, </w:t>
      </w:r>
      <w:r>
        <w:t>I</w:t>
      </w:r>
      <w:r w:rsidRPr="00702A26">
        <w:t xml:space="preserve"> only sequenced soil that had either been invaded by </w:t>
      </w:r>
      <w:r w:rsidRPr="00702A26">
        <w:rPr>
          <w:i/>
          <w:iCs/>
        </w:rPr>
        <w:t>L. vulgaris</w:t>
      </w:r>
      <w:r w:rsidRPr="00702A26">
        <w:t xml:space="preserve"> or not but did not do any experimental manipulation to determine whether growing </w:t>
      </w:r>
      <w:r w:rsidRPr="00702A26">
        <w:rPr>
          <w:i/>
          <w:iCs/>
        </w:rPr>
        <w:t>L. vulgaris</w:t>
      </w:r>
      <w:r w:rsidRPr="00702A26">
        <w:t xml:space="preserve"> changes the AMF community. While </w:t>
      </w:r>
      <w:r>
        <w:t>I</w:t>
      </w:r>
      <w:r w:rsidRPr="00702A26">
        <w:t xml:space="preserve"> used paired plots to reduce site variation, </w:t>
      </w:r>
      <w:r>
        <w:t>I</w:t>
      </w:r>
      <w:r w:rsidRPr="00702A26">
        <w:t xml:space="preserve"> can’t be sure that invasion and not site differences contributed to </w:t>
      </w:r>
      <w:r>
        <w:t>my</w:t>
      </w:r>
      <w:r w:rsidRPr="00702A26">
        <w:t xml:space="preserve"> observed AMF community differences. In future studies, </w:t>
      </w:r>
      <w:r>
        <w:t>I</w:t>
      </w:r>
      <w:r w:rsidRPr="00702A26">
        <w:t xml:space="preserve"> suggest that researchers grow </w:t>
      </w:r>
      <w:r w:rsidRPr="00702A26">
        <w:rPr>
          <w:i/>
          <w:iCs/>
        </w:rPr>
        <w:t>L. vulgaris</w:t>
      </w:r>
      <w:r w:rsidRPr="00702A26">
        <w:t xml:space="preserve"> in previously uninvaded soil prior to sequencing in addition to performing more broad-scale sequencing of AMF, bacteria, and saprotrophic fungi to better capture microbial diversity. </w:t>
      </w:r>
    </w:p>
    <w:p w14:paraId="379BE514" w14:textId="77777777" w:rsidR="00141FE7" w:rsidRPr="00702A26" w:rsidRDefault="00141FE7" w:rsidP="00141FE7">
      <w:pPr>
        <w:ind w:firstLine="720"/>
      </w:pPr>
      <w:r>
        <w:t>My</w:t>
      </w:r>
      <w:r w:rsidRPr="00702A26">
        <w:t xml:space="preserve"> sequencing revealed that AMF communities are distinct between CO and IL soil, but not between </w:t>
      </w:r>
      <w:r w:rsidRPr="00702A26">
        <w:rPr>
          <w:i/>
          <w:iCs/>
        </w:rPr>
        <w:t>L. vulgaris</w:t>
      </w:r>
      <w:r w:rsidRPr="00702A26">
        <w:t xml:space="preserve"> invaded and uninvaded soil in both locations. This leads us to believe that state differences may contribute to </w:t>
      </w:r>
      <w:r w:rsidRPr="00702A26">
        <w:rPr>
          <w:i/>
          <w:iCs/>
        </w:rPr>
        <w:t>L. vulgaris’</w:t>
      </w:r>
      <w:r w:rsidRPr="00702A26">
        <w:t xml:space="preserve"> invasion, but that </w:t>
      </w:r>
      <w:r w:rsidRPr="00702A26">
        <w:rPr>
          <w:i/>
          <w:iCs/>
        </w:rPr>
        <w:t>L. vulgaris</w:t>
      </w:r>
      <w:r w:rsidRPr="00702A26">
        <w:t xml:space="preserve"> does not directly cause changes to the AMF community. </w:t>
      </w:r>
      <w:r>
        <w:t>I</w:t>
      </w:r>
      <w:r w:rsidRPr="00702A26">
        <w:t xml:space="preserve"> compared AMF diversity and found that both OTU and family richness was not affected by either state or invasion, furthering </w:t>
      </w:r>
      <w:r>
        <w:t>my</w:t>
      </w:r>
      <w:r w:rsidRPr="00702A26">
        <w:t xml:space="preserve"> belief that </w:t>
      </w:r>
      <w:r w:rsidRPr="00702A26">
        <w:rPr>
          <w:i/>
          <w:iCs/>
        </w:rPr>
        <w:t>L. vulgaris</w:t>
      </w:r>
      <w:r w:rsidRPr="00702A26">
        <w:t xml:space="preserve"> invasion does not impact AMF community composition. </w:t>
      </w:r>
      <w:r>
        <w:t>I</w:t>
      </w:r>
      <w:r w:rsidRPr="00702A26">
        <w:t xml:space="preserve"> also established that soil factors including </w:t>
      </w:r>
      <w:r>
        <w:t>NO</w:t>
      </w:r>
      <w:r>
        <w:rPr>
          <w:vertAlign w:val="subscript"/>
        </w:rPr>
        <w:t>3</w:t>
      </w:r>
      <w:r>
        <w:t xml:space="preserve">, sand, silt, and clay </w:t>
      </w:r>
      <w:r w:rsidRPr="00702A26">
        <w:t xml:space="preserve">contributed to AMF compositional differences between states. Whereas </w:t>
      </w:r>
      <w:r>
        <w:t>PO</w:t>
      </w:r>
      <w:r>
        <w:rPr>
          <w:vertAlign w:val="subscript"/>
        </w:rPr>
        <w:t>4</w:t>
      </w:r>
      <w:r>
        <w:t xml:space="preserve"> was different between invaded and uninvaded sites in IL soil, PO</w:t>
      </w:r>
      <w:r>
        <w:rPr>
          <w:vertAlign w:val="subscript"/>
        </w:rPr>
        <w:t>4</w:t>
      </w:r>
      <w:r>
        <w:t xml:space="preserve"> had no effect on AMF </w:t>
      </w:r>
      <w:r w:rsidRPr="00702A26">
        <w:t xml:space="preserve">community differences between invaded and uninvaded soil. There is no strong linkage between </w:t>
      </w:r>
      <w:r w:rsidRPr="00702A26">
        <w:rPr>
          <w:i/>
          <w:iCs/>
        </w:rPr>
        <w:t>L. vulgaris</w:t>
      </w:r>
      <w:r w:rsidRPr="00702A26">
        <w:t xml:space="preserve"> invasion</w:t>
      </w:r>
      <w:r>
        <w:t>, soil nutrients,</w:t>
      </w:r>
      <w:r w:rsidRPr="00702A26">
        <w:t xml:space="preserve"> and AMF community composition, but </w:t>
      </w:r>
      <w:r>
        <w:t>I</w:t>
      </w:r>
      <w:r w:rsidRPr="00702A26">
        <w:t xml:space="preserve"> hypothesize that other microbial differences between sites are responsible for nutrient dynamics and subsequently impact </w:t>
      </w:r>
      <w:r w:rsidRPr="00702A26">
        <w:rPr>
          <w:i/>
          <w:iCs/>
        </w:rPr>
        <w:t>L. vulgaris’</w:t>
      </w:r>
      <w:r w:rsidRPr="00702A26">
        <w:t xml:space="preserve"> invasion.</w:t>
      </w:r>
      <w:r>
        <w:t xml:space="preserve"> </w:t>
      </w:r>
    </w:p>
    <w:p w14:paraId="72AFFA71" w14:textId="77777777" w:rsidR="00141FE7" w:rsidRDefault="00141FE7" w:rsidP="00141FE7">
      <w:r>
        <w:tab/>
        <w:t xml:space="preserve">While AMF do not appear to be directly impacted by </w:t>
      </w:r>
      <w:r w:rsidRPr="001E1F81">
        <w:rPr>
          <w:i/>
          <w:iCs/>
        </w:rPr>
        <w:t>L. vulgaris</w:t>
      </w:r>
      <w:r>
        <w:t xml:space="preserve"> invasion, other soil characteristics seem to be important in shaping </w:t>
      </w:r>
      <w:r w:rsidRPr="00EF27B0">
        <w:rPr>
          <w:i/>
          <w:iCs/>
        </w:rPr>
        <w:t>L. vulgaris’</w:t>
      </w:r>
      <w:r>
        <w:t xml:space="preserve"> aggressive distribution. Specifically, soil PO</w:t>
      </w:r>
      <w:r>
        <w:rPr>
          <w:vertAlign w:val="subscript"/>
        </w:rPr>
        <w:t>4</w:t>
      </w:r>
      <w:r>
        <w:t xml:space="preserve"> and microbial communities apart from AMF could either influence or be influenced by </w:t>
      </w:r>
      <w:r w:rsidRPr="00FE1BFE">
        <w:rPr>
          <w:i/>
          <w:iCs/>
        </w:rPr>
        <w:t>L. vulgaris</w:t>
      </w:r>
      <w:r>
        <w:t xml:space="preserve"> invasion. Understanding the relationships between soil and invasive plant success could help managers better restore previously invaded sites and prevent future invasions. I hope that this study draws more attention to studying the relationships between invasive plants, nutrient availability, and soil microbial communities to uncover additional restoration solutions. </w:t>
      </w:r>
    </w:p>
    <w:p w14:paraId="6427BA82" w14:textId="77777777" w:rsidR="00141FE7" w:rsidRDefault="00141FE7" w:rsidP="00141FE7"/>
    <w:p w14:paraId="632AF7FF" w14:textId="3137C2D8" w:rsidR="00141FE7" w:rsidRDefault="004850DA" w:rsidP="00141FE7">
      <w:pPr>
        <w:rPr>
          <w:i/>
          <w:iCs/>
        </w:rPr>
      </w:pPr>
      <w:r>
        <w:rPr>
          <w:i/>
          <w:iCs/>
        </w:rPr>
        <w:lastRenderedPageBreak/>
        <w:t>Conclusion</w:t>
      </w:r>
    </w:p>
    <w:p w14:paraId="3D72B6E6" w14:textId="394E780C" w:rsidR="004850DA" w:rsidRPr="004850DA" w:rsidRDefault="004850DA" w:rsidP="004850DA">
      <w:pPr>
        <w:ind w:firstLine="720"/>
      </w:pPr>
      <w:r w:rsidRPr="00BC3E56">
        <w:t xml:space="preserve">Ultimately, our study shows that soil is an important variable shaping </w:t>
      </w:r>
      <w:r w:rsidRPr="00BC3E56">
        <w:rPr>
          <w:i/>
          <w:iCs/>
        </w:rPr>
        <w:t>L. vulgaris’</w:t>
      </w:r>
      <w:r w:rsidRPr="00BC3E56">
        <w:t xml:space="preserve"> aggressive distribution and its impacts on native plant communities. Differences in genotypes, climate, competition, and other variables may also play a role in </w:t>
      </w:r>
      <w:r w:rsidRPr="00BC3E56">
        <w:rPr>
          <w:i/>
          <w:iCs/>
        </w:rPr>
        <w:t>L. vulgaris</w:t>
      </w:r>
      <w:r w:rsidRPr="00BC3E56">
        <w:t xml:space="preserve">’ </w:t>
      </w:r>
      <w:r>
        <w:t>aggressive</w:t>
      </w:r>
      <w:r w:rsidRPr="00BC3E56">
        <w:t xml:space="preserve"> range. However, reducing soil legacy effects could be a feasible way to manage this species once </w:t>
      </w:r>
      <w:r>
        <w:t>we</w:t>
      </w:r>
      <w:r w:rsidRPr="00BC3E56">
        <w:t xml:space="preserve"> understand what microbial and chemical changes result from invasion. In CO, fully eradicating </w:t>
      </w:r>
      <w:r w:rsidRPr="00BC3E56">
        <w:rPr>
          <w:i/>
          <w:iCs/>
        </w:rPr>
        <w:t>L. vulgaris</w:t>
      </w:r>
      <w:r w:rsidRPr="00BC3E56">
        <w:t xml:space="preserve"> will necessitate repeated removals, as legacy effects will promote re-invasion. Whereas in IL, legacy effects may help control </w:t>
      </w:r>
      <w:r w:rsidRPr="00BC3E56">
        <w:rPr>
          <w:i/>
          <w:iCs/>
        </w:rPr>
        <w:t>L. vulgaris</w:t>
      </w:r>
      <w:r w:rsidRPr="00BC3E56">
        <w:t xml:space="preserve"> invasion, so removal appears unnecessary. </w:t>
      </w:r>
      <w:r>
        <w:t xml:space="preserve">Native plant presence appears unaffected by invasion legacy in both states, but plants appear to be allocating resources differently and other characteristics could be affected by invasion. </w:t>
      </w:r>
      <w:r w:rsidRPr="00BC3E56">
        <w:t xml:space="preserve">Furthermore, N availability does not appear to influence </w:t>
      </w:r>
      <w:r w:rsidRPr="00BC3E56">
        <w:rPr>
          <w:i/>
          <w:iCs/>
        </w:rPr>
        <w:t>L. vulgaris’</w:t>
      </w:r>
      <w:r w:rsidRPr="00BC3E56">
        <w:t xml:space="preserve"> success, but future studies should evaluate how other soil nutrients, including PO</w:t>
      </w:r>
      <w:r w:rsidRPr="00BC3E56">
        <w:rPr>
          <w:vertAlign w:val="subscript"/>
        </w:rPr>
        <w:t>4</w:t>
      </w:r>
      <w:r w:rsidRPr="00BC3E56">
        <w:t xml:space="preserve">, and soil microbes influence and are influenced by invasion. </w:t>
      </w:r>
      <w:r>
        <w:t>My</w:t>
      </w:r>
      <w:r w:rsidRPr="00BC3E56">
        <w:t xml:space="preserve"> results support previous research in invasive plant soil legacy effects, namely that soil-feedbacks are strong drivers of </w:t>
      </w:r>
      <w:r>
        <w:t xml:space="preserve">invasion </w:t>
      </w:r>
      <w:r w:rsidRPr="00BC3E56">
        <w:t xml:space="preserve">distributions. </w:t>
      </w:r>
      <w:r>
        <w:t>I</w:t>
      </w:r>
      <w:r w:rsidRPr="00BC3E56">
        <w:t xml:space="preserve"> hope that this study will encourage more research in invasive plant impacts on soil communities </w:t>
      </w:r>
      <w:r>
        <w:t xml:space="preserve">throughout </w:t>
      </w:r>
      <w:r w:rsidRPr="00BC3E56">
        <w:t>their range.</w:t>
      </w:r>
    </w:p>
    <w:p w14:paraId="0278EBA0" w14:textId="77777777" w:rsidR="00141FE7" w:rsidRDefault="00141FE7" w:rsidP="00141FE7">
      <w:pPr>
        <w:rPr>
          <w:b/>
          <w:bCs/>
        </w:rPr>
      </w:pPr>
    </w:p>
    <w:p w14:paraId="73F40182" w14:textId="77777777" w:rsidR="00141FE7" w:rsidRDefault="00141FE7" w:rsidP="00141FE7">
      <w:pPr>
        <w:rPr>
          <w:b/>
          <w:bCs/>
        </w:rPr>
      </w:pPr>
    </w:p>
    <w:p w14:paraId="72EAD4C2" w14:textId="77777777" w:rsidR="00141FE7" w:rsidRDefault="00141FE7" w:rsidP="00141FE7">
      <w:pPr>
        <w:rPr>
          <w:b/>
          <w:bCs/>
        </w:rPr>
      </w:pPr>
    </w:p>
    <w:p w14:paraId="35F1030C" w14:textId="77777777" w:rsidR="00141FE7" w:rsidRDefault="00141FE7" w:rsidP="00141FE7">
      <w:pPr>
        <w:rPr>
          <w:b/>
          <w:bCs/>
        </w:rPr>
      </w:pPr>
    </w:p>
    <w:p w14:paraId="0BCB087D" w14:textId="77777777" w:rsidR="00141FE7" w:rsidRPr="00BC3E56" w:rsidRDefault="00141FE7" w:rsidP="00141FE7">
      <w:pPr>
        <w:ind w:firstLine="720"/>
      </w:pPr>
    </w:p>
    <w:p w14:paraId="20A18DE4" w14:textId="77777777" w:rsidR="00141FE7" w:rsidRDefault="00141FE7" w:rsidP="00141FE7"/>
    <w:p w14:paraId="0A25D8EE" w14:textId="77777777" w:rsidR="00141FE7" w:rsidRPr="00D25D18" w:rsidRDefault="00141FE7" w:rsidP="00CA1499"/>
    <w:p w14:paraId="14389623" w14:textId="43F67103" w:rsidR="00161264" w:rsidRPr="00D25D18" w:rsidRDefault="00161264" w:rsidP="00CA1499">
      <w:pPr>
        <w:rPr>
          <w:b/>
          <w:bCs/>
        </w:rPr>
      </w:pPr>
      <w:r w:rsidRPr="00D25D18">
        <w:rPr>
          <w:b/>
          <w:bCs/>
        </w:rPr>
        <w:t>References</w:t>
      </w:r>
    </w:p>
    <w:p w14:paraId="605A52F5" w14:textId="042D7D2A" w:rsidR="00D42359" w:rsidRDefault="00D42359" w:rsidP="00CA1499"/>
    <w:p w14:paraId="1DB3048A" w14:textId="5F741DA4" w:rsidR="000F0A83" w:rsidRPr="000F0A83" w:rsidRDefault="000F0A83" w:rsidP="00CA1499">
      <w:r>
        <w:t xml:space="preserve">Bates, D., </w:t>
      </w:r>
      <w:proofErr w:type="spellStart"/>
      <w:r>
        <w:t>Maechler</w:t>
      </w:r>
      <w:proofErr w:type="spellEnd"/>
      <w:r>
        <w:t xml:space="preserve">, M., </w:t>
      </w:r>
      <w:proofErr w:type="spellStart"/>
      <w:r>
        <w:t>Bolker</w:t>
      </w:r>
      <w:proofErr w:type="spellEnd"/>
      <w:r>
        <w:t xml:space="preserve">, B., &amp; S. Walker. (2015). Fitting linear mixed-effects models using lme4. </w:t>
      </w:r>
      <w:r>
        <w:rPr>
          <w:i/>
          <w:iCs/>
        </w:rPr>
        <w:t xml:space="preserve">Journal of Statistical Software </w:t>
      </w:r>
      <w:r w:rsidR="00AD05F3">
        <w:t xml:space="preserve">67: 1-48. </w:t>
      </w:r>
    </w:p>
    <w:p w14:paraId="63602581" w14:textId="77777777" w:rsidR="000F0A83" w:rsidRDefault="000F0A83" w:rsidP="00CA1499"/>
    <w:p w14:paraId="602766E8" w14:textId="7B6361D3" w:rsidR="00D42359" w:rsidRPr="00C81C2F" w:rsidRDefault="00D42359" w:rsidP="00CA1499">
      <w:r>
        <w:t xml:space="preserve">Davis, E.J., Grove, S., </w:t>
      </w:r>
      <w:proofErr w:type="spellStart"/>
      <w:r>
        <w:t>Haubensak</w:t>
      </w:r>
      <w:proofErr w:type="spellEnd"/>
      <w:r>
        <w:t xml:space="preserve">, K.A., and I.M. Parker. (2021). </w:t>
      </w:r>
      <w:r w:rsidR="00C81C2F">
        <w:t xml:space="preserve">A widespread nitrogen-fixing invader experiences negative soil feedbacks despite enhancing the abundance of beneficial soil microbes. </w:t>
      </w:r>
      <w:r w:rsidR="00C81C2F">
        <w:rPr>
          <w:i/>
          <w:iCs/>
        </w:rPr>
        <w:t>Plant and Soil</w:t>
      </w:r>
      <w:r w:rsidR="00C81C2F">
        <w:t xml:space="preserve"> 462: 257-271.</w:t>
      </w:r>
    </w:p>
    <w:p w14:paraId="6EBD81B2" w14:textId="77777777" w:rsidR="00D42359" w:rsidRPr="00CA1499" w:rsidRDefault="00D42359" w:rsidP="00CA1499"/>
    <w:p w14:paraId="2F45132B" w14:textId="77777777" w:rsidR="00722C6B" w:rsidRDefault="00722C6B" w:rsidP="00CA1499">
      <w:r w:rsidRPr="00CA1499">
        <w:t xml:space="preserve">McCartney, K.R., Kumar, S., Sing, S.E., and S.M. Ward. (2019). Using invaded-range species distribution modeling to estimate the potential distribution of </w:t>
      </w:r>
      <w:r w:rsidRPr="00CA1499">
        <w:rPr>
          <w:i/>
          <w:iCs/>
        </w:rPr>
        <w:t xml:space="preserve">Linaria </w:t>
      </w:r>
      <w:r w:rsidRPr="00CA1499">
        <w:t xml:space="preserve">species and their hybrids in the U.S. northern Rockies. </w:t>
      </w:r>
      <w:r w:rsidRPr="00CA1499">
        <w:rPr>
          <w:i/>
          <w:iCs/>
        </w:rPr>
        <w:t xml:space="preserve">Invasive Plant Science and Management </w:t>
      </w:r>
      <w:r w:rsidRPr="00CA1499">
        <w:t>12: 97-111.</w:t>
      </w:r>
    </w:p>
    <w:p w14:paraId="4982B916" w14:textId="77777777" w:rsidR="00381AB9" w:rsidRDefault="00381AB9" w:rsidP="00CA1499"/>
    <w:p w14:paraId="166A32EF" w14:textId="78BE7940" w:rsidR="00381AB9" w:rsidRPr="00CA1499" w:rsidRDefault="00381AB9" w:rsidP="00CA1499">
      <w:r>
        <w:t>Oksanen, J. et al. (2022). _vegan: Community Ecology Package_. R package version 2.6-4.</w:t>
      </w:r>
    </w:p>
    <w:p w14:paraId="6BB58F3D" w14:textId="23BA9663" w:rsidR="00722C6B" w:rsidRPr="00CA1499" w:rsidRDefault="00722C6B" w:rsidP="00CA1499"/>
    <w:p w14:paraId="4828238A" w14:textId="15632F6C" w:rsidR="00150B83" w:rsidRPr="00CA1499" w:rsidRDefault="00150B83" w:rsidP="00CA1499">
      <w:r w:rsidRPr="00CA1499">
        <w:t>Torres-</w:t>
      </w:r>
      <w:proofErr w:type="spellStart"/>
      <w:r w:rsidRPr="00CA1499">
        <w:t>Poché</w:t>
      </w:r>
      <w:proofErr w:type="spellEnd"/>
      <w:r w:rsidRPr="00CA1499">
        <w:t xml:space="preserve">, Z., Mora, M.A., </w:t>
      </w:r>
      <w:proofErr w:type="spellStart"/>
      <w:r w:rsidRPr="00CA1499">
        <w:t>Boutton</w:t>
      </w:r>
      <w:proofErr w:type="spellEnd"/>
      <w:r w:rsidRPr="00CA1499">
        <w:t xml:space="preserve">, T.W., and M.E. Morrow. (2020). Diet sources of the endangered </w:t>
      </w:r>
      <w:proofErr w:type="spellStart"/>
      <w:r w:rsidRPr="00CA1499">
        <w:t>Attwater’s</w:t>
      </w:r>
      <w:proofErr w:type="spellEnd"/>
      <w:r w:rsidRPr="00CA1499">
        <w:t xml:space="preserve"> prairie chicken in Texas: evidence from δ13C, δ15N and Bayesian mixing models. </w:t>
      </w:r>
      <w:r w:rsidRPr="00CA1499">
        <w:rPr>
          <w:i/>
          <w:iCs/>
        </w:rPr>
        <w:t>Ecosphere</w:t>
      </w:r>
      <w:r w:rsidRPr="00CA1499">
        <w:t xml:space="preserve"> 11: e03269.</w:t>
      </w:r>
    </w:p>
    <w:p w14:paraId="7D40DD4F" w14:textId="77777777" w:rsidR="00150B83" w:rsidRPr="00CA1499" w:rsidRDefault="00150B83" w:rsidP="00CA1499"/>
    <w:p w14:paraId="332D240F" w14:textId="0C7FF3D9" w:rsidR="00150B83" w:rsidRPr="00CA1499" w:rsidRDefault="00161264" w:rsidP="00CA1499">
      <w:proofErr w:type="spellStart"/>
      <w:r w:rsidRPr="00CA1499">
        <w:t>Toševski</w:t>
      </w:r>
      <w:proofErr w:type="spellEnd"/>
      <w:r w:rsidRPr="00CA1499">
        <w:t xml:space="preserve">, I. Sing, S.E., De </w:t>
      </w:r>
      <w:proofErr w:type="spellStart"/>
      <w:r w:rsidRPr="00CA1499">
        <w:t>Clerck-Floate</w:t>
      </w:r>
      <w:proofErr w:type="spellEnd"/>
      <w:r w:rsidRPr="00CA1499">
        <w:t xml:space="preserve">, R., McClay, A., Weaver, D.K., </w:t>
      </w:r>
      <w:proofErr w:type="spellStart"/>
      <w:r w:rsidR="00B73732" w:rsidRPr="00CA1499">
        <w:t>Schwarzländer</w:t>
      </w:r>
      <w:proofErr w:type="spellEnd"/>
      <w:r w:rsidR="00B73732" w:rsidRPr="00CA1499">
        <w:t>, M., Krsti</w:t>
      </w:r>
      <w:r w:rsidR="00DA0366" w:rsidRPr="00CA1499">
        <w:t>c</w:t>
      </w:r>
      <w:r w:rsidR="00B73732" w:rsidRPr="00CA1499">
        <w:t xml:space="preserve">, O., </w:t>
      </w:r>
      <w:proofErr w:type="spellStart"/>
      <w:r w:rsidR="00B73732" w:rsidRPr="00CA1499">
        <w:t>Jovic</w:t>
      </w:r>
      <w:proofErr w:type="spellEnd"/>
      <w:r w:rsidR="00B73732" w:rsidRPr="00CA1499">
        <w:t xml:space="preserve">, J., and A. </w:t>
      </w:r>
      <w:proofErr w:type="spellStart"/>
      <w:r w:rsidR="00B73732" w:rsidRPr="00CA1499">
        <w:t>Gassman</w:t>
      </w:r>
      <w:proofErr w:type="spellEnd"/>
      <w:r w:rsidR="00B73732" w:rsidRPr="00CA1499">
        <w:t xml:space="preserve">. (2018). Twenty-five years after: post-introduction association of </w:t>
      </w:r>
      <w:proofErr w:type="spellStart"/>
      <w:r w:rsidR="00B73732" w:rsidRPr="00CA1499">
        <w:rPr>
          <w:i/>
          <w:iCs/>
        </w:rPr>
        <w:t>Mecinus</w:t>
      </w:r>
      <w:proofErr w:type="spellEnd"/>
      <w:r w:rsidR="00B73732" w:rsidRPr="00CA1499">
        <w:rPr>
          <w:i/>
          <w:iCs/>
        </w:rPr>
        <w:t xml:space="preserve"> </w:t>
      </w:r>
      <w:proofErr w:type="spellStart"/>
      <w:r w:rsidR="00B73732" w:rsidRPr="00CA1499">
        <w:rPr>
          <w:i/>
          <w:iCs/>
        </w:rPr>
        <w:t>janthinus</w:t>
      </w:r>
      <w:proofErr w:type="spellEnd"/>
      <w:r w:rsidR="00B73732" w:rsidRPr="00CA1499">
        <w:rPr>
          <w:i/>
          <w:iCs/>
        </w:rPr>
        <w:t xml:space="preserve"> </w:t>
      </w:r>
      <w:proofErr w:type="spellStart"/>
      <w:r w:rsidR="00B73732" w:rsidRPr="00CA1499">
        <w:t>s.l.</w:t>
      </w:r>
      <w:proofErr w:type="spellEnd"/>
      <w:r w:rsidR="00B73732" w:rsidRPr="00CA1499">
        <w:t xml:space="preserve"> with invasive host </w:t>
      </w:r>
      <w:proofErr w:type="spellStart"/>
      <w:r w:rsidR="00B73732" w:rsidRPr="00CA1499">
        <w:t>toadflaxes</w:t>
      </w:r>
      <w:proofErr w:type="spellEnd"/>
      <w:r w:rsidR="00B73732" w:rsidRPr="00CA1499">
        <w:t xml:space="preserve"> </w:t>
      </w:r>
      <w:r w:rsidR="00B73732" w:rsidRPr="00CA1499">
        <w:rPr>
          <w:i/>
          <w:iCs/>
        </w:rPr>
        <w:t xml:space="preserve">Linaria vulgaris </w:t>
      </w:r>
      <w:r w:rsidR="00B73732" w:rsidRPr="00CA1499">
        <w:t xml:space="preserve">and </w:t>
      </w:r>
      <w:r w:rsidR="00B73732" w:rsidRPr="00CA1499">
        <w:rPr>
          <w:i/>
          <w:iCs/>
        </w:rPr>
        <w:t xml:space="preserve">Linaria </w:t>
      </w:r>
      <w:proofErr w:type="spellStart"/>
      <w:r w:rsidR="00B73732" w:rsidRPr="00CA1499">
        <w:rPr>
          <w:i/>
          <w:iCs/>
        </w:rPr>
        <w:t>dalmatica</w:t>
      </w:r>
      <w:proofErr w:type="spellEnd"/>
      <w:r w:rsidR="00B73732" w:rsidRPr="00CA1499">
        <w:rPr>
          <w:i/>
          <w:iCs/>
        </w:rPr>
        <w:t xml:space="preserve"> </w:t>
      </w:r>
      <w:r w:rsidR="00B73732" w:rsidRPr="00CA1499">
        <w:t xml:space="preserve">in North America. </w:t>
      </w:r>
      <w:r w:rsidR="00B73732" w:rsidRPr="00CA1499">
        <w:rPr>
          <w:i/>
          <w:iCs/>
        </w:rPr>
        <w:t xml:space="preserve">Annals of Applied Biology </w:t>
      </w:r>
      <w:r w:rsidR="00B73732" w:rsidRPr="00CA1499">
        <w:t xml:space="preserve">173: 16-34. </w:t>
      </w:r>
    </w:p>
    <w:p w14:paraId="4C8773FB" w14:textId="77777777" w:rsidR="00611BF6" w:rsidRPr="00CA1499" w:rsidRDefault="00611BF6" w:rsidP="00CA1499"/>
    <w:p w14:paraId="26981C56" w14:textId="77777777" w:rsidR="00352468" w:rsidRPr="00CA1499" w:rsidRDefault="00352468" w:rsidP="000B79E2"/>
    <w:p w14:paraId="73B073A6" w14:textId="77777777" w:rsidR="002A4CBC" w:rsidRPr="00CA1499" w:rsidRDefault="002A4CBC" w:rsidP="00CA1499">
      <w:pPr>
        <w:rPr>
          <w:b/>
          <w:bCs/>
        </w:rPr>
      </w:pPr>
    </w:p>
    <w:p w14:paraId="4039C675" w14:textId="77777777" w:rsidR="000A211F" w:rsidRPr="00CA1499" w:rsidRDefault="000A211F" w:rsidP="00CA1499">
      <w:pPr>
        <w:rPr>
          <w:b/>
          <w:bCs/>
        </w:rPr>
      </w:pPr>
    </w:p>
    <w:p w14:paraId="5DBB93CA" w14:textId="77777777" w:rsidR="006143BB" w:rsidRPr="00CA1499" w:rsidRDefault="006143BB" w:rsidP="00CA1499"/>
    <w:p w14:paraId="636632CE" w14:textId="690D9738" w:rsidR="000A081F" w:rsidRPr="00CA1499" w:rsidRDefault="000A081F" w:rsidP="00CA1499"/>
    <w:p w14:paraId="496F40AB" w14:textId="360ECAAC" w:rsidR="000A081F" w:rsidRPr="00CA1499" w:rsidRDefault="000A081F" w:rsidP="00CA1499">
      <w:pPr>
        <w:jc w:val="center"/>
      </w:pPr>
    </w:p>
    <w:sectPr w:rsidR="000A081F" w:rsidRPr="00CA14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Gabriel Novak" w:date="2022-11-17T12:09:00Z" w:initials="LGN">
    <w:p w14:paraId="643D5DFB" w14:textId="246B8308" w:rsidR="00A650A3" w:rsidRDefault="002D253B" w:rsidP="009E2461">
      <w:r>
        <w:rPr>
          <w:rStyle w:val="CommentReference"/>
        </w:rPr>
        <w:annotationRef/>
      </w:r>
      <w:r w:rsidR="00A650A3">
        <w:rPr>
          <w:sz w:val="20"/>
          <w:szCs w:val="20"/>
        </w:rPr>
        <w:t>Should I mention the amount of site disturbance here or only in the discussion?</w:t>
      </w:r>
    </w:p>
  </w:comment>
  <w:comment w:id="1" w:author="Logan Gabriel Novak" w:date="2022-12-27T14:04:00Z" w:initials="LGN">
    <w:p w14:paraId="7D04BF11" w14:textId="77777777" w:rsidR="00216F3E" w:rsidRDefault="00216F3E" w:rsidP="00A63D90">
      <w:r>
        <w:rPr>
          <w:rStyle w:val="CommentReference"/>
        </w:rPr>
        <w:annotationRef/>
      </w:r>
      <w:r>
        <w:rPr>
          <w:sz w:val="20"/>
          <w:szCs w:val="20"/>
        </w:rPr>
        <w:t>I think this language makes the most sense: each invaded/uninvaded area is a plot, each pair is a paired-plot, sites = IL and CO</w:t>
      </w:r>
    </w:p>
  </w:comment>
  <w:comment w:id="2" w:author="Logan Gabriel Novak" w:date="2022-11-15T11:50:00Z" w:initials="LGN">
    <w:p w14:paraId="605BC44F" w14:textId="76F17880" w:rsidR="00627D72" w:rsidRDefault="00627D72" w:rsidP="005C3388">
      <w:r>
        <w:rPr>
          <w:rStyle w:val="CommentReference"/>
        </w:rPr>
        <w:annotationRef/>
      </w:r>
      <w:r>
        <w:rPr>
          <w:sz w:val="20"/>
          <w:szCs w:val="20"/>
        </w:rPr>
        <w:t>I wasn’t sure what brand the pH meter is, but this one looked very similar</w:t>
      </w:r>
    </w:p>
  </w:comment>
  <w:comment w:id="3" w:author="Logan Novak" w:date="2023-06-05T14:03:00Z" w:initials="LN">
    <w:p w14:paraId="3195E66F" w14:textId="77777777" w:rsidR="00B2775E" w:rsidRDefault="00B2775E" w:rsidP="0064598F">
      <w:r>
        <w:rPr>
          <w:rStyle w:val="CommentReference"/>
        </w:rPr>
        <w:annotationRef/>
      </w:r>
      <w:r>
        <w:rPr>
          <w:sz w:val="20"/>
          <w:szCs w:val="20"/>
        </w:rPr>
        <w:t>Shannon’s Diversity and Pielou’s evenness not evenly distributed- Anny thinks transforming it will make this data meaningless</w:t>
      </w:r>
    </w:p>
  </w:comment>
  <w:comment w:id="4" w:author="Logan Gabriel Novak" w:date="2022-12-29T12:14:00Z" w:initials="LGN">
    <w:p w14:paraId="7BF7E2BE" w14:textId="77777777" w:rsidR="00D520E8" w:rsidRDefault="00E43E3E" w:rsidP="0068212A">
      <w:r>
        <w:rPr>
          <w:rStyle w:val="CommentReference"/>
        </w:rPr>
        <w:annotationRef/>
      </w:r>
      <w:r w:rsidR="00D520E8">
        <w:rPr>
          <w:sz w:val="20"/>
          <w:szCs w:val="20"/>
        </w:rPr>
        <w:t>Similar table in Kivlin et al. (2014). Environmental filtering affects soil fungal communities… and in Trautwig et al. (2022). Effects of an introduced mustard…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D5DFB" w15:done="0"/>
  <w15:commentEx w15:paraId="7D04BF11" w15:done="0"/>
  <w15:commentEx w15:paraId="605BC44F" w15:done="0"/>
  <w15:commentEx w15:paraId="3195E66F" w15:done="0"/>
  <w15:commentEx w15:paraId="7BF7E2B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A2DE" w16cex:dateUtc="2022-11-17T17:09:00Z"/>
  <w16cex:commentExtensible w16cex:durableId="275579EC" w16cex:dateUtc="2022-12-27T19:04:00Z"/>
  <w16cex:commentExtensible w16cex:durableId="271DFB8E" w16cex:dateUtc="2022-11-15T16:50:00Z"/>
  <w16cex:commentExtensible w16cex:durableId="282869BA" w16cex:dateUtc="2023-06-05T18:03:00Z"/>
  <w16cex:commentExtensible w16cex:durableId="2758031B" w16cex:dateUtc="2022-12-29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D5DFB" w16cid:durableId="2720A2DE"/>
  <w16cid:commentId w16cid:paraId="7D04BF11" w16cid:durableId="275579EC"/>
  <w16cid:commentId w16cid:paraId="605BC44F" w16cid:durableId="271DFB8E"/>
  <w16cid:commentId w16cid:paraId="3195E66F" w16cid:durableId="282869BA"/>
  <w16cid:commentId w16cid:paraId="7BF7E2BE" w16cid:durableId="275803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Gabriel Novak">
    <w15:presenceInfo w15:providerId="AD" w15:userId="S::fne2992@ads.northwestern.edu::66d222fe-0077-43a9-8d7b-bdea6cdf5512"/>
  </w15:person>
  <w15:person w15:author="Logan Novak">
    <w15:presenceInfo w15:providerId="AD" w15:userId="S::ln89126@uga.edu::bbfa9379-a2e0-4653-b772-893927557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35"/>
    <w:rsid w:val="00001BD0"/>
    <w:rsid w:val="00002B19"/>
    <w:rsid w:val="00003A64"/>
    <w:rsid w:val="0000422B"/>
    <w:rsid w:val="00006373"/>
    <w:rsid w:val="00006540"/>
    <w:rsid w:val="00007117"/>
    <w:rsid w:val="00011AF6"/>
    <w:rsid w:val="00013DFE"/>
    <w:rsid w:val="00014F2F"/>
    <w:rsid w:val="00016BD6"/>
    <w:rsid w:val="00017EAF"/>
    <w:rsid w:val="00022FA9"/>
    <w:rsid w:val="0002312A"/>
    <w:rsid w:val="0002423B"/>
    <w:rsid w:val="00025B3C"/>
    <w:rsid w:val="00026A99"/>
    <w:rsid w:val="00026C3F"/>
    <w:rsid w:val="00033A6E"/>
    <w:rsid w:val="000361C0"/>
    <w:rsid w:val="00037A52"/>
    <w:rsid w:val="00040546"/>
    <w:rsid w:val="00040917"/>
    <w:rsid w:val="00040F6C"/>
    <w:rsid w:val="00041A7B"/>
    <w:rsid w:val="00043F5C"/>
    <w:rsid w:val="00045D2F"/>
    <w:rsid w:val="00046723"/>
    <w:rsid w:val="0004739B"/>
    <w:rsid w:val="00047BA8"/>
    <w:rsid w:val="000522A3"/>
    <w:rsid w:val="00053733"/>
    <w:rsid w:val="00053817"/>
    <w:rsid w:val="00053B1B"/>
    <w:rsid w:val="0005562E"/>
    <w:rsid w:val="00060E8D"/>
    <w:rsid w:val="000635D5"/>
    <w:rsid w:val="00064079"/>
    <w:rsid w:val="00065A58"/>
    <w:rsid w:val="000675D1"/>
    <w:rsid w:val="00070214"/>
    <w:rsid w:val="00071D11"/>
    <w:rsid w:val="0007376F"/>
    <w:rsid w:val="000741B9"/>
    <w:rsid w:val="00075413"/>
    <w:rsid w:val="000755CD"/>
    <w:rsid w:val="00076265"/>
    <w:rsid w:val="000770CB"/>
    <w:rsid w:val="00081029"/>
    <w:rsid w:val="000811D4"/>
    <w:rsid w:val="00081857"/>
    <w:rsid w:val="00081F0B"/>
    <w:rsid w:val="000835BC"/>
    <w:rsid w:val="00083AC4"/>
    <w:rsid w:val="0008785B"/>
    <w:rsid w:val="00093219"/>
    <w:rsid w:val="000932C7"/>
    <w:rsid w:val="00093A88"/>
    <w:rsid w:val="00096235"/>
    <w:rsid w:val="000969A0"/>
    <w:rsid w:val="000A081F"/>
    <w:rsid w:val="000A1FA8"/>
    <w:rsid w:val="000A2050"/>
    <w:rsid w:val="000A211F"/>
    <w:rsid w:val="000A2B2C"/>
    <w:rsid w:val="000A4257"/>
    <w:rsid w:val="000A5464"/>
    <w:rsid w:val="000A54C3"/>
    <w:rsid w:val="000A62B5"/>
    <w:rsid w:val="000A6C65"/>
    <w:rsid w:val="000A6FD7"/>
    <w:rsid w:val="000A7D6F"/>
    <w:rsid w:val="000A7DC0"/>
    <w:rsid w:val="000B02BB"/>
    <w:rsid w:val="000B0BEB"/>
    <w:rsid w:val="000B1908"/>
    <w:rsid w:val="000B337B"/>
    <w:rsid w:val="000B3D12"/>
    <w:rsid w:val="000B56D0"/>
    <w:rsid w:val="000B5B52"/>
    <w:rsid w:val="000B6F37"/>
    <w:rsid w:val="000B732C"/>
    <w:rsid w:val="000B79E2"/>
    <w:rsid w:val="000C4BF8"/>
    <w:rsid w:val="000C6874"/>
    <w:rsid w:val="000D10ED"/>
    <w:rsid w:val="000D17DD"/>
    <w:rsid w:val="000D30AE"/>
    <w:rsid w:val="000D75BB"/>
    <w:rsid w:val="000E105D"/>
    <w:rsid w:val="000E11A5"/>
    <w:rsid w:val="000E1AB7"/>
    <w:rsid w:val="000E43BB"/>
    <w:rsid w:val="000E6541"/>
    <w:rsid w:val="000F0A83"/>
    <w:rsid w:val="000F1F20"/>
    <w:rsid w:val="000F205C"/>
    <w:rsid w:val="000F24B9"/>
    <w:rsid w:val="000F3135"/>
    <w:rsid w:val="000F4EAC"/>
    <w:rsid w:val="000F7321"/>
    <w:rsid w:val="000F77E5"/>
    <w:rsid w:val="000F79CC"/>
    <w:rsid w:val="00101FE8"/>
    <w:rsid w:val="0010415C"/>
    <w:rsid w:val="001053E7"/>
    <w:rsid w:val="001069E7"/>
    <w:rsid w:val="00106BA6"/>
    <w:rsid w:val="001104DC"/>
    <w:rsid w:val="00110C87"/>
    <w:rsid w:val="00111138"/>
    <w:rsid w:val="00114515"/>
    <w:rsid w:val="00115AD6"/>
    <w:rsid w:val="001167A4"/>
    <w:rsid w:val="001227D6"/>
    <w:rsid w:val="00124D0D"/>
    <w:rsid w:val="00125893"/>
    <w:rsid w:val="001279D2"/>
    <w:rsid w:val="00131978"/>
    <w:rsid w:val="001324CF"/>
    <w:rsid w:val="0013430F"/>
    <w:rsid w:val="001348A0"/>
    <w:rsid w:val="001364F7"/>
    <w:rsid w:val="001401AA"/>
    <w:rsid w:val="00140289"/>
    <w:rsid w:val="0014132A"/>
    <w:rsid w:val="00141973"/>
    <w:rsid w:val="00141FE7"/>
    <w:rsid w:val="001423CD"/>
    <w:rsid w:val="00143AC3"/>
    <w:rsid w:val="00144443"/>
    <w:rsid w:val="00144723"/>
    <w:rsid w:val="0014625A"/>
    <w:rsid w:val="00146FA3"/>
    <w:rsid w:val="001504CE"/>
    <w:rsid w:val="00150B83"/>
    <w:rsid w:val="00150DDF"/>
    <w:rsid w:val="0015267B"/>
    <w:rsid w:val="00152D53"/>
    <w:rsid w:val="00152F21"/>
    <w:rsid w:val="00154C2C"/>
    <w:rsid w:val="001551D6"/>
    <w:rsid w:val="00156B09"/>
    <w:rsid w:val="00157D51"/>
    <w:rsid w:val="00157F74"/>
    <w:rsid w:val="001601B9"/>
    <w:rsid w:val="00160757"/>
    <w:rsid w:val="00161264"/>
    <w:rsid w:val="00161A61"/>
    <w:rsid w:val="00161ED6"/>
    <w:rsid w:val="00162C8D"/>
    <w:rsid w:val="00164565"/>
    <w:rsid w:val="001647F4"/>
    <w:rsid w:val="00165ECC"/>
    <w:rsid w:val="00167962"/>
    <w:rsid w:val="001679B8"/>
    <w:rsid w:val="001721F4"/>
    <w:rsid w:val="001736BF"/>
    <w:rsid w:val="00175C05"/>
    <w:rsid w:val="00176C0E"/>
    <w:rsid w:val="0018179D"/>
    <w:rsid w:val="00184449"/>
    <w:rsid w:val="00184D54"/>
    <w:rsid w:val="00187A7E"/>
    <w:rsid w:val="00190E7C"/>
    <w:rsid w:val="0019169F"/>
    <w:rsid w:val="00191EFE"/>
    <w:rsid w:val="00193C6C"/>
    <w:rsid w:val="001950CA"/>
    <w:rsid w:val="001962CA"/>
    <w:rsid w:val="001A33FF"/>
    <w:rsid w:val="001A3ED4"/>
    <w:rsid w:val="001A5DF3"/>
    <w:rsid w:val="001A69B8"/>
    <w:rsid w:val="001A6A08"/>
    <w:rsid w:val="001A7894"/>
    <w:rsid w:val="001A7B6A"/>
    <w:rsid w:val="001B121F"/>
    <w:rsid w:val="001B1CBE"/>
    <w:rsid w:val="001B20FD"/>
    <w:rsid w:val="001B2ED7"/>
    <w:rsid w:val="001B535C"/>
    <w:rsid w:val="001C237A"/>
    <w:rsid w:val="001C2BDB"/>
    <w:rsid w:val="001C44B0"/>
    <w:rsid w:val="001C6607"/>
    <w:rsid w:val="001C6E21"/>
    <w:rsid w:val="001D74BA"/>
    <w:rsid w:val="001D7AFA"/>
    <w:rsid w:val="001E4337"/>
    <w:rsid w:val="001E58DB"/>
    <w:rsid w:val="001E6075"/>
    <w:rsid w:val="001E6098"/>
    <w:rsid w:val="001F06EB"/>
    <w:rsid w:val="001F0B31"/>
    <w:rsid w:val="001F0C65"/>
    <w:rsid w:val="001F13BD"/>
    <w:rsid w:val="001F1D3D"/>
    <w:rsid w:val="001F262C"/>
    <w:rsid w:val="001F3C89"/>
    <w:rsid w:val="001F59B6"/>
    <w:rsid w:val="001F60D5"/>
    <w:rsid w:val="001F6481"/>
    <w:rsid w:val="001F7526"/>
    <w:rsid w:val="0020285A"/>
    <w:rsid w:val="00203772"/>
    <w:rsid w:val="0020390E"/>
    <w:rsid w:val="00204458"/>
    <w:rsid w:val="002045E5"/>
    <w:rsid w:val="002051B5"/>
    <w:rsid w:val="00205E55"/>
    <w:rsid w:val="00206A5B"/>
    <w:rsid w:val="002101B4"/>
    <w:rsid w:val="0021108F"/>
    <w:rsid w:val="00212FF8"/>
    <w:rsid w:val="00216F3E"/>
    <w:rsid w:val="0021714B"/>
    <w:rsid w:val="00217805"/>
    <w:rsid w:val="00217BE6"/>
    <w:rsid w:val="00220692"/>
    <w:rsid w:val="00220965"/>
    <w:rsid w:val="00221F13"/>
    <w:rsid w:val="002237DE"/>
    <w:rsid w:val="002240E3"/>
    <w:rsid w:val="00225619"/>
    <w:rsid w:val="00225C78"/>
    <w:rsid w:val="00225FF9"/>
    <w:rsid w:val="002264E6"/>
    <w:rsid w:val="00227865"/>
    <w:rsid w:val="00231B2F"/>
    <w:rsid w:val="0023282B"/>
    <w:rsid w:val="00232C62"/>
    <w:rsid w:val="00233106"/>
    <w:rsid w:val="002342CF"/>
    <w:rsid w:val="0023511F"/>
    <w:rsid w:val="002365A6"/>
    <w:rsid w:val="00236956"/>
    <w:rsid w:val="00236F3D"/>
    <w:rsid w:val="00241EA5"/>
    <w:rsid w:val="00244812"/>
    <w:rsid w:val="00247821"/>
    <w:rsid w:val="00251452"/>
    <w:rsid w:val="002516C9"/>
    <w:rsid w:val="00254A39"/>
    <w:rsid w:val="00255739"/>
    <w:rsid w:val="002573BB"/>
    <w:rsid w:val="00260711"/>
    <w:rsid w:val="002609E2"/>
    <w:rsid w:val="00260B39"/>
    <w:rsid w:val="002613D7"/>
    <w:rsid w:val="00263B18"/>
    <w:rsid w:val="00263BBB"/>
    <w:rsid w:val="00264C5D"/>
    <w:rsid w:val="00265067"/>
    <w:rsid w:val="00265FB9"/>
    <w:rsid w:val="0026728C"/>
    <w:rsid w:val="00271D82"/>
    <w:rsid w:val="00272C35"/>
    <w:rsid w:val="0027441E"/>
    <w:rsid w:val="002747FD"/>
    <w:rsid w:val="00274A4E"/>
    <w:rsid w:val="00274E53"/>
    <w:rsid w:val="002760F8"/>
    <w:rsid w:val="00276208"/>
    <w:rsid w:val="002765C3"/>
    <w:rsid w:val="002766A5"/>
    <w:rsid w:val="00280604"/>
    <w:rsid w:val="00280BD0"/>
    <w:rsid w:val="00281312"/>
    <w:rsid w:val="002864FC"/>
    <w:rsid w:val="002905D6"/>
    <w:rsid w:val="002953B8"/>
    <w:rsid w:val="00295BEF"/>
    <w:rsid w:val="00295F32"/>
    <w:rsid w:val="002A26E1"/>
    <w:rsid w:val="002A2D06"/>
    <w:rsid w:val="002A2F5F"/>
    <w:rsid w:val="002A3367"/>
    <w:rsid w:val="002A44C3"/>
    <w:rsid w:val="002A4CBC"/>
    <w:rsid w:val="002A5299"/>
    <w:rsid w:val="002A61DA"/>
    <w:rsid w:val="002A74A3"/>
    <w:rsid w:val="002B2ABB"/>
    <w:rsid w:val="002B5E67"/>
    <w:rsid w:val="002B663C"/>
    <w:rsid w:val="002B7F7C"/>
    <w:rsid w:val="002C12A7"/>
    <w:rsid w:val="002C30F6"/>
    <w:rsid w:val="002C4102"/>
    <w:rsid w:val="002C530D"/>
    <w:rsid w:val="002C6235"/>
    <w:rsid w:val="002D0ACA"/>
    <w:rsid w:val="002D253B"/>
    <w:rsid w:val="002D34C7"/>
    <w:rsid w:val="002D469D"/>
    <w:rsid w:val="002D48F4"/>
    <w:rsid w:val="002D5B82"/>
    <w:rsid w:val="002D7361"/>
    <w:rsid w:val="002E0C9F"/>
    <w:rsid w:val="002E2356"/>
    <w:rsid w:val="002E245E"/>
    <w:rsid w:val="002E4588"/>
    <w:rsid w:val="002F042A"/>
    <w:rsid w:val="002F0B8D"/>
    <w:rsid w:val="002F2605"/>
    <w:rsid w:val="002F6503"/>
    <w:rsid w:val="002F6BB5"/>
    <w:rsid w:val="002F7D3E"/>
    <w:rsid w:val="0030057B"/>
    <w:rsid w:val="0030253F"/>
    <w:rsid w:val="00302C31"/>
    <w:rsid w:val="0030391E"/>
    <w:rsid w:val="00303BFD"/>
    <w:rsid w:val="00304233"/>
    <w:rsid w:val="00304326"/>
    <w:rsid w:val="00305D55"/>
    <w:rsid w:val="00305DC6"/>
    <w:rsid w:val="00306116"/>
    <w:rsid w:val="00306DC2"/>
    <w:rsid w:val="00306EFF"/>
    <w:rsid w:val="003073F6"/>
    <w:rsid w:val="003101EC"/>
    <w:rsid w:val="003112C4"/>
    <w:rsid w:val="003113E6"/>
    <w:rsid w:val="003114AA"/>
    <w:rsid w:val="003137CD"/>
    <w:rsid w:val="0031384A"/>
    <w:rsid w:val="0031628D"/>
    <w:rsid w:val="0031654B"/>
    <w:rsid w:val="0032082B"/>
    <w:rsid w:val="00324103"/>
    <w:rsid w:val="00325926"/>
    <w:rsid w:val="00330A07"/>
    <w:rsid w:val="003336AA"/>
    <w:rsid w:val="00333B04"/>
    <w:rsid w:val="00335C57"/>
    <w:rsid w:val="00343124"/>
    <w:rsid w:val="003434A8"/>
    <w:rsid w:val="003439A3"/>
    <w:rsid w:val="003442EF"/>
    <w:rsid w:val="0034469F"/>
    <w:rsid w:val="00346556"/>
    <w:rsid w:val="003505E7"/>
    <w:rsid w:val="00352468"/>
    <w:rsid w:val="003529B9"/>
    <w:rsid w:val="0035499C"/>
    <w:rsid w:val="003558EE"/>
    <w:rsid w:val="00356AC9"/>
    <w:rsid w:val="00356B60"/>
    <w:rsid w:val="00356C70"/>
    <w:rsid w:val="00357C66"/>
    <w:rsid w:val="00357D2F"/>
    <w:rsid w:val="00361364"/>
    <w:rsid w:val="00361771"/>
    <w:rsid w:val="00361931"/>
    <w:rsid w:val="003632D9"/>
    <w:rsid w:val="0036355D"/>
    <w:rsid w:val="00363F13"/>
    <w:rsid w:val="00364E3A"/>
    <w:rsid w:val="0036505F"/>
    <w:rsid w:val="003657CD"/>
    <w:rsid w:val="00366CAE"/>
    <w:rsid w:val="0036732C"/>
    <w:rsid w:val="003678C4"/>
    <w:rsid w:val="00370BD2"/>
    <w:rsid w:val="00370EAF"/>
    <w:rsid w:val="00373F70"/>
    <w:rsid w:val="003741FA"/>
    <w:rsid w:val="00375FF5"/>
    <w:rsid w:val="00376946"/>
    <w:rsid w:val="00377A4B"/>
    <w:rsid w:val="00381AB9"/>
    <w:rsid w:val="00382031"/>
    <w:rsid w:val="00384C86"/>
    <w:rsid w:val="00385163"/>
    <w:rsid w:val="00386699"/>
    <w:rsid w:val="00387643"/>
    <w:rsid w:val="003934CB"/>
    <w:rsid w:val="003A0867"/>
    <w:rsid w:val="003A0A90"/>
    <w:rsid w:val="003A1280"/>
    <w:rsid w:val="003A2E6A"/>
    <w:rsid w:val="003A48E2"/>
    <w:rsid w:val="003A49B6"/>
    <w:rsid w:val="003A7A9C"/>
    <w:rsid w:val="003B0C3F"/>
    <w:rsid w:val="003B1C65"/>
    <w:rsid w:val="003B27EA"/>
    <w:rsid w:val="003B296D"/>
    <w:rsid w:val="003B58D7"/>
    <w:rsid w:val="003B7F86"/>
    <w:rsid w:val="003C0F1A"/>
    <w:rsid w:val="003C1E99"/>
    <w:rsid w:val="003C3C9D"/>
    <w:rsid w:val="003C5882"/>
    <w:rsid w:val="003C6DFA"/>
    <w:rsid w:val="003D2BE0"/>
    <w:rsid w:val="003D31E1"/>
    <w:rsid w:val="003D4FF6"/>
    <w:rsid w:val="003D5079"/>
    <w:rsid w:val="003D5F1C"/>
    <w:rsid w:val="003D7340"/>
    <w:rsid w:val="003E04C9"/>
    <w:rsid w:val="003E0B03"/>
    <w:rsid w:val="003E19EA"/>
    <w:rsid w:val="003E5A6A"/>
    <w:rsid w:val="003E5BA2"/>
    <w:rsid w:val="003E65B0"/>
    <w:rsid w:val="003E65CA"/>
    <w:rsid w:val="003E6EBB"/>
    <w:rsid w:val="003E7555"/>
    <w:rsid w:val="003E7704"/>
    <w:rsid w:val="003F0D38"/>
    <w:rsid w:val="003F15EC"/>
    <w:rsid w:val="0040036C"/>
    <w:rsid w:val="00400758"/>
    <w:rsid w:val="00400C74"/>
    <w:rsid w:val="0040375E"/>
    <w:rsid w:val="004118AD"/>
    <w:rsid w:val="0041194B"/>
    <w:rsid w:val="004135C3"/>
    <w:rsid w:val="00414B97"/>
    <w:rsid w:val="00415255"/>
    <w:rsid w:val="004165FE"/>
    <w:rsid w:val="00417627"/>
    <w:rsid w:val="00417845"/>
    <w:rsid w:val="0042065B"/>
    <w:rsid w:val="00420D9D"/>
    <w:rsid w:val="004210E3"/>
    <w:rsid w:val="00424D36"/>
    <w:rsid w:val="00425C70"/>
    <w:rsid w:val="0042617B"/>
    <w:rsid w:val="004273A9"/>
    <w:rsid w:val="00430D68"/>
    <w:rsid w:val="00431CED"/>
    <w:rsid w:val="004328B4"/>
    <w:rsid w:val="00440E5F"/>
    <w:rsid w:val="0044150D"/>
    <w:rsid w:val="00442426"/>
    <w:rsid w:val="00442C17"/>
    <w:rsid w:val="004435EE"/>
    <w:rsid w:val="00447B78"/>
    <w:rsid w:val="004502BA"/>
    <w:rsid w:val="0045053D"/>
    <w:rsid w:val="00454268"/>
    <w:rsid w:val="004543C1"/>
    <w:rsid w:val="0045682A"/>
    <w:rsid w:val="00460714"/>
    <w:rsid w:val="00461147"/>
    <w:rsid w:val="0046152B"/>
    <w:rsid w:val="0046286F"/>
    <w:rsid w:val="0046291E"/>
    <w:rsid w:val="00462D58"/>
    <w:rsid w:val="00463308"/>
    <w:rsid w:val="004635B8"/>
    <w:rsid w:val="00465793"/>
    <w:rsid w:val="00466524"/>
    <w:rsid w:val="0046775F"/>
    <w:rsid w:val="00470A6A"/>
    <w:rsid w:val="00471CDE"/>
    <w:rsid w:val="00471F21"/>
    <w:rsid w:val="004730CC"/>
    <w:rsid w:val="004749B0"/>
    <w:rsid w:val="00474BE4"/>
    <w:rsid w:val="0047574E"/>
    <w:rsid w:val="00477310"/>
    <w:rsid w:val="0047735E"/>
    <w:rsid w:val="004811BD"/>
    <w:rsid w:val="004814E6"/>
    <w:rsid w:val="004850DA"/>
    <w:rsid w:val="0048621E"/>
    <w:rsid w:val="004877AA"/>
    <w:rsid w:val="00490A72"/>
    <w:rsid w:val="00491113"/>
    <w:rsid w:val="00491B18"/>
    <w:rsid w:val="00492290"/>
    <w:rsid w:val="0049397E"/>
    <w:rsid w:val="00496657"/>
    <w:rsid w:val="004A0C08"/>
    <w:rsid w:val="004A3EE1"/>
    <w:rsid w:val="004A4C73"/>
    <w:rsid w:val="004A4D7C"/>
    <w:rsid w:val="004A798E"/>
    <w:rsid w:val="004B36EF"/>
    <w:rsid w:val="004B788F"/>
    <w:rsid w:val="004C020C"/>
    <w:rsid w:val="004C0448"/>
    <w:rsid w:val="004C1A2D"/>
    <w:rsid w:val="004C3E26"/>
    <w:rsid w:val="004C4132"/>
    <w:rsid w:val="004C42C4"/>
    <w:rsid w:val="004C5AE7"/>
    <w:rsid w:val="004C627A"/>
    <w:rsid w:val="004C6281"/>
    <w:rsid w:val="004D005B"/>
    <w:rsid w:val="004D4127"/>
    <w:rsid w:val="004D6A00"/>
    <w:rsid w:val="004E02F9"/>
    <w:rsid w:val="004E2B4F"/>
    <w:rsid w:val="004E6173"/>
    <w:rsid w:val="004E7196"/>
    <w:rsid w:val="004F0F70"/>
    <w:rsid w:val="004F5309"/>
    <w:rsid w:val="004F5958"/>
    <w:rsid w:val="005003A0"/>
    <w:rsid w:val="0050742B"/>
    <w:rsid w:val="00507ABA"/>
    <w:rsid w:val="00507E65"/>
    <w:rsid w:val="00507FC2"/>
    <w:rsid w:val="0051136B"/>
    <w:rsid w:val="005123F1"/>
    <w:rsid w:val="005133DD"/>
    <w:rsid w:val="005143B2"/>
    <w:rsid w:val="005170AA"/>
    <w:rsid w:val="00521EC2"/>
    <w:rsid w:val="005232A7"/>
    <w:rsid w:val="0052336A"/>
    <w:rsid w:val="00524AF3"/>
    <w:rsid w:val="00526176"/>
    <w:rsid w:val="005263C3"/>
    <w:rsid w:val="00526B32"/>
    <w:rsid w:val="00530748"/>
    <w:rsid w:val="005309E7"/>
    <w:rsid w:val="00530C12"/>
    <w:rsid w:val="005322C1"/>
    <w:rsid w:val="005323AD"/>
    <w:rsid w:val="00532FD1"/>
    <w:rsid w:val="00533238"/>
    <w:rsid w:val="00534696"/>
    <w:rsid w:val="00536A92"/>
    <w:rsid w:val="005370C5"/>
    <w:rsid w:val="00541C36"/>
    <w:rsid w:val="00541CB4"/>
    <w:rsid w:val="00545D36"/>
    <w:rsid w:val="0054679C"/>
    <w:rsid w:val="0055042B"/>
    <w:rsid w:val="00550596"/>
    <w:rsid w:val="005518E7"/>
    <w:rsid w:val="00552A56"/>
    <w:rsid w:val="005538EC"/>
    <w:rsid w:val="00553D42"/>
    <w:rsid w:val="00556D05"/>
    <w:rsid w:val="005575A4"/>
    <w:rsid w:val="00560558"/>
    <w:rsid w:val="00561787"/>
    <w:rsid w:val="005637C8"/>
    <w:rsid w:val="00567DAD"/>
    <w:rsid w:val="00572C73"/>
    <w:rsid w:val="005737C6"/>
    <w:rsid w:val="00573F1A"/>
    <w:rsid w:val="00574C5C"/>
    <w:rsid w:val="00576D7A"/>
    <w:rsid w:val="00577CC6"/>
    <w:rsid w:val="00581F61"/>
    <w:rsid w:val="00582004"/>
    <w:rsid w:val="005824E5"/>
    <w:rsid w:val="005847CF"/>
    <w:rsid w:val="00585022"/>
    <w:rsid w:val="00585B36"/>
    <w:rsid w:val="00587ADA"/>
    <w:rsid w:val="00587F5F"/>
    <w:rsid w:val="00591E31"/>
    <w:rsid w:val="00591E64"/>
    <w:rsid w:val="00593946"/>
    <w:rsid w:val="0059396D"/>
    <w:rsid w:val="005939DA"/>
    <w:rsid w:val="005952C5"/>
    <w:rsid w:val="0059620B"/>
    <w:rsid w:val="00597181"/>
    <w:rsid w:val="005A05DF"/>
    <w:rsid w:val="005A1AAA"/>
    <w:rsid w:val="005A2895"/>
    <w:rsid w:val="005A28B2"/>
    <w:rsid w:val="005A3F80"/>
    <w:rsid w:val="005A5FD5"/>
    <w:rsid w:val="005A6267"/>
    <w:rsid w:val="005A7904"/>
    <w:rsid w:val="005A7FE7"/>
    <w:rsid w:val="005B1DF9"/>
    <w:rsid w:val="005B3687"/>
    <w:rsid w:val="005B40DD"/>
    <w:rsid w:val="005B4AD4"/>
    <w:rsid w:val="005B509A"/>
    <w:rsid w:val="005B55C3"/>
    <w:rsid w:val="005B6C1E"/>
    <w:rsid w:val="005B7E29"/>
    <w:rsid w:val="005C17D5"/>
    <w:rsid w:val="005C2BE7"/>
    <w:rsid w:val="005C4F90"/>
    <w:rsid w:val="005C53C1"/>
    <w:rsid w:val="005C58DC"/>
    <w:rsid w:val="005C7583"/>
    <w:rsid w:val="005C7CD8"/>
    <w:rsid w:val="005D39DF"/>
    <w:rsid w:val="005D4F56"/>
    <w:rsid w:val="005D5DCC"/>
    <w:rsid w:val="005D643D"/>
    <w:rsid w:val="005D68ED"/>
    <w:rsid w:val="005D7784"/>
    <w:rsid w:val="005E08B3"/>
    <w:rsid w:val="005E0BD8"/>
    <w:rsid w:val="005E2160"/>
    <w:rsid w:val="005E236D"/>
    <w:rsid w:val="005E2406"/>
    <w:rsid w:val="005E29CB"/>
    <w:rsid w:val="005E5376"/>
    <w:rsid w:val="005E74FF"/>
    <w:rsid w:val="005F1B6D"/>
    <w:rsid w:val="005F572C"/>
    <w:rsid w:val="005F7893"/>
    <w:rsid w:val="005F797B"/>
    <w:rsid w:val="006004B3"/>
    <w:rsid w:val="00601954"/>
    <w:rsid w:val="006035AE"/>
    <w:rsid w:val="00604FE5"/>
    <w:rsid w:val="00605175"/>
    <w:rsid w:val="00605639"/>
    <w:rsid w:val="00610784"/>
    <w:rsid w:val="0061145D"/>
    <w:rsid w:val="00611BF6"/>
    <w:rsid w:val="00611E56"/>
    <w:rsid w:val="00612BD5"/>
    <w:rsid w:val="00613FDF"/>
    <w:rsid w:val="006143BB"/>
    <w:rsid w:val="00614D75"/>
    <w:rsid w:val="00615A1F"/>
    <w:rsid w:val="00615B87"/>
    <w:rsid w:val="00615D17"/>
    <w:rsid w:val="0061656B"/>
    <w:rsid w:val="00616C38"/>
    <w:rsid w:val="006207B0"/>
    <w:rsid w:val="00620BFE"/>
    <w:rsid w:val="00621DAE"/>
    <w:rsid w:val="00622828"/>
    <w:rsid w:val="00622AA3"/>
    <w:rsid w:val="00623285"/>
    <w:rsid w:val="00623920"/>
    <w:rsid w:val="006278D4"/>
    <w:rsid w:val="00627D72"/>
    <w:rsid w:val="0063484A"/>
    <w:rsid w:val="00636675"/>
    <w:rsid w:val="00637B07"/>
    <w:rsid w:val="00640409"/>
    <w:rsid w:val="00640728"/>
    <w:rsid w:val="00640BA3"/>
    <w:rsid w:val="00642E43"/>
    <w:rsid w:val="0064409A"/>
    <w:rsid w:val="006466FF"/>
    <w:rsid w:val="00650530"/>
    <w:rsid w:val="00651656"/>
    <w:rsid w:val="006521F1"/>
    <w:rsid w:val="0065237D"/>
    <w:rsid w:val="00652D85"/>
    <w:rsid w:val="0065595E"/>
    <w:rsid w:val="00660818"/>
    <w:rsid w:val="00660DD7"/>
    <w:rsid w:val="006611D3"/>
    <w:rsid w:val="00661454"/>
    <w:rsid w:val="006630FC"/>
    <w:rsid w:val="0066445D"/>
    <w:rsid w:val="006669C1"/>
    <w:rsid w:val="0066716E"/>
    <w:rsid w:val="00667963"/>
    <w:rsid w:val="00670553"/>
    <w:rsid w:val="006707BA"/>
    <w:rsid w:val="00671CC1"/>
    <w:rsid w:val="00674CF7"/>
    <w:rsid w:val="00674ED1"/>
    <w:rsid w:val="00675589"/>
    <w:rsid w:val="006775B8"/>
    <w:rsid w:val="00682834"/>
    <w:rsid w:val="006843DF"/>
    <w:rsid w:val="006860FA"/>
    <w:rsid w:val="0068694A"/>
    <w:rsid w:val="006915C7"/>
    <w:rsid w:val="00693B61"/>
    <w:rsid w:val="00693EAD"/>
    <w:rsid w:val="00694884"/>
    <w:rsid w:val="006952D8"/>
    <w:rsid w:val="00696EB3"/>
    <w:rsid w:val="006A0EA8"/>
    <w:rsid w:val="006A15D2"/>
    <w:rsid w:val="006A3A71"/>
    <w:rsid w:val="006A473D"/>
    <w:rsid w:val="006A6041"/>
    <w:rsid w:val="006A6302"/>
    <w:rsid w:val="006B0BEC"/>
    <w:rsid w:val="006B1050"/>
    <w:rsid w:val="006B7732"/>
    <w:rsid w:val="006C0947"/>
    <w:rsid w:val="006C447C"/>
    <w:rsid w:val="006C592A"/>
    <w:rsid w:val="006D04DF"/>
    <w:rsid w:val="006D1EA2"/>
    <w:rsid w:val="006D1FA0"/>
    <w:rsid w:val="006D41F8"/>
    <w:rsid w:val="006D439C"/>
    <w:rsid w:val="006D51CF"/>
    <w:rsid w:val="006D56F3"/>
    <w:rsid w:val="006E2993"/>
    <w:rsid w:val="006E29BA"/>
    <w:rsid w:val="006E3BBD"/>
    <w:rsid w:val="006E5F0A"/>
    <w:rsid w:val="006E6C21"/>
    <w:rsid w:val="006E7289"/>
    <w:rsid w:val="006E7C77"/>
    <w:rsid w:val="006E7CCB"/>
    <w:rsid w:val="006F186C"/>
    <w:rsid w:val="006F1DEA"/>
    <w:rsid w:val="006F2B75"/>
    <w:rsid w:val="006F3DF2"/>
    <w:rsid w:val="006F6AC7"/>
    <w:rsid w:val="006F73AA"/>
    <w:rsid w:val="00701046"/>
    <w:rsid w:val="00702F82"/>
    <w:rsid w:val="007048A8"/>
    <w:rsid w:val="00705EC8"/>
    <w:rsid w:val="00707EB8"/>
    <w:rsid w:val="00710ED0"/>
    <w:rsid w:val="007125D8"/>
    <w:rsid w:val="007132BC"/>
    <w:rsid w:val="00715DE9"/>
    <w:rsid w:val="007217AD"/>
    <w:rsid w:val="0072198B"/>
    <w:rsid w:val="00722BFA"/>
    <w:rsid w:val="00722C6B"/>
    <w:rsid w:val="00722FA7"/>
    <w:rsid w:val="007231D9"/>
    <w:rsid w:val="007232D4"/>
    <w:rsid w:val="00724526"/>
    <w:rsid w:val="0072473B"/>
    <w:rsid w:val="00724892"/>
    <w:rsid w:val="00724C6F"/>
    <w:rsid w:val="00725F70"/>
    <w:rsid w:val="0072707A"/>
    <w:rsid w:val="00730BEE"/>
    <w:rsid w:val="00731049"/>
    <w:rsid w:val="007322FE"/>
    <w:rsid w:val="00732F3A"/>
    <w:rsid w:val="007330EB"/>
    <w:rsid w:val="00735FAB"/>
    <w:rsid w:val="00736C28"/>
    <w:rsid w:val="00740BDB"/>
    <w:rsid w:val="00741CD1"/>
    <w:rsid w:val="00742FB4"/>
    <w:rsid w:val="007430FA"/>
    <w:rsid w:val="00743607"/>
    <w:rsid w:val="00744F11"/>
    <w:rsid w:val="0074528B"/>
    <w:rsid w:val="00752685"/>
    <w:rsid w:val="00752FCB"/>
    <w:rsid w:val="00753CF3"/>
    <w:rsid w:val="00754DA3"/>
    <w:rsid w:val="007629C2"/>
    <w:rsid w:val="007659B4"/>
    <w:rsid w:val="007666E3"/>
    <w:rsid w:val="0076725C"/>
    <w:rsid w:val="00767E77"/>
    <w:rsid w:val="0077026B"/>
    <w:rsid w:val="0077084D"/>
    <w:rsid w:val="00770D2D"/>
    <w:rsid w:val="0077231F"/>
    <w:rsid w:val="00772B07"/>
    <w:rsid w:val="00772B41"/>
    <w:rsid w:val="00773B04"/>
    <w:rsid w:val="00773F76"/>
    <w:rsid w:val="007740E4"/>
    <w:rsid w:val="00774A69"/>
    <w:rsid w:val="00775FE9"/>
    <w:rsid w:val="00776693"/>
    <w:rsid w:val="00784677"/>
    <w:rsid w:val="00786CF6"/>
    <w:rsid w:val="00791983"/>
    <w:rsid w:val="00793BD0"/>
    <w:rsid w:val="00795627"/>
    <w:rsid w:val="0079627D"/>
    <w:rsid w:val="00796655"/>
    <w:rsid w:val="00797834"/>
    <w:rsid w:val="007A00CD"/>
    <w:rsid w:val="007A065B"/>
    <w:rsid w:val="007A1440"/>
    <w:rsid w:val="007A1947"/>
    <w:rsid w:val="007A2F5F"/>
    <w:rsid w:val="007A412B"/>
    <w:rsid w:val="007A61FC"/>
    <w:rsid w:val="007A6317"/>
    <w:rsid w:val="007A6AE1"/>
    <w:rsid w:val="007B2E0B"/>
    <w:rsid w:val="007B392C"/>
    <w:rsid w:val="007B405D"/>
    <w:rsid w:val="007B48C4"/>
    <w:rsid w:val="007B4ADB"/>
    <w:rsid w:val="007B5A2A"/>
    <w:rsid w:val="007B70B6"/>
    <w:rsid w:val="007C43CC"/>
    <w:rsid w:val="007C4BAC"/>
    <w:rsid w:val="007C6BB7"/>
    <w:rsid w:val="007D09FD"/>
    <w:rsid w:val="007D1B3D"/>
    <w:rsid w:val="007D2FEB"/>
    <w:rsid w:val="007D337A"/>
    <w:rsid w:val="007D37DE"/>
    <w:rsid w:val="007D3C8C"/>
    <w:rsid w:val="007D4935"/>
    <w:rsid w:val="007D4A51"/>
    <w:rsid w:val="007D4B2F"/>
    <w:rsid w:val="007D5138"/>
    <w:rsid w:val="007D5750"/>
    <w:rsid w:val="007D5D17"/>
    <w:rsid w:val="007D6991"/>
    <w:rsid w:val="007D711B"/>
    <w:rsid w:val="007E13E3"/>
    <w:rsid w:val="007E19B7"/>
    <w:rsid w:val="007E1F31"/>
    <w:rsid w:val="007E2E9F"/>
    <w:rsid w:val="007E3378"/>
    <w:rsid w:val="007E63A2"/>
    <w:rsid w:val="007E679B"/>
    <w:rsid w:val="007F0A2E"/>
    <w:rsid w:val="007F48DD"/>
    <w:rsid w:val="007F560E"/>
    <w:rsid w:val="007F798C"/>
    <w:rsid w:val="008031FC"/>
    <w:rsid w:val="008039E8"/>
    <w:rsid w:val="00803B96"/>
    <w:rsid w:val="008044E8"/>
    <w:rsid w:val="008054AF"/>
    <w:rsid w:val="008078A2"/>
    <w:rsid w:val="00810F45"/>
    <w:rsid w:val="00811C3C"/>
    <w:rsid w:val="00813C36"/>
    <w:rsid w:val="008151FA"/>
    <w:rsid w:val="0082003F"/>
    <w:rsid w:val="008200AB"/>
    <w:rsid w:val="00822FC4"/>
    <w:rsid w:val="0082367F"/>
    <w:rsid w:val="00824064"/>
    <w:rsid w:val="00825A66"/>
    <w:rsid w:val="008265A8"/>
    <w:rsid w:val="0082707E"/>
    <w:rsid w:val="00827DCA"/>
    <w:rsid w:val="008344E5"/>
    <w:rsid w:val="00834ECA"/>
    <w:rsid w:val="00836596"/>
    <w:rsid w:val="008365A0"/>
    <w:rsid w:val="00837C00"/>
    <w:rsid w:val="008411F9"/>
    <w:rsid w:val="008419D8"/>
    <w:rsid w:val="00845E32"/>
    <w:rsid w:val="0084616A"/>
    <w:rsid w:val="00852593"/>
    <w:rsid w:val="00852DD9"/>
    <w:rsid w:val="008536F1"/>
    <w:rsid w:val="00857FF3"/>
    <w:rsid w:val="008631FA"/>
    <w:rsid w:val="00863F4E"/>
    <w:rsid w:val="008640EE"/>
    <w:rsid w:val="008656AC"/>
    <w:rsid w:val="00865A6E"/>
    <w:rsid w:val="0086663D"/>
    <w:rsid w:val="00870460"/>
    <w:rsid w:val="008707EC"/>
    <w:rsid w:val="00871613"/>
    <w:rsid w:val="00873E12"/>
    <w:rsid w:val="008743F9"/>
    <w:rsid w:val="008749D9"/>
    <w:rsid w:val="0087659D"/>
    <w:rsid w:val="008766D9"/>
    <w:rsid w:val="00877468"/>
    <w:rsid w:val="00880ADC"/>
    <w:rsid w:val="008810C9"/>
    <w:rsid w:val="008844C2"/>
    <w:rsid w:val="008850FB"/>
    <w:rsid w:val="00885CDE"/>
    <w:rsid w:val="00886374"/>
    <w:rsid w:val="008921B4"/>
    <w:rsid w:val="00895C62"/>
    <w:rsid w:val="00896993"/>
    <w:rsid w:val="008976EC"/>
    <w:rsid w:val="00897923"/>
    <w:rsid w:val="008A2D7A"/>
    <w:rsid w:val="008A4403"/>
    <w:rsid w:val="008A496E"/>
    <w:rsid w:val="008A4D54"/>
    <w:rsid w:val="008A659F"/>
    <w:rsid w:val="008B1930"/>
    <w:rsid w:val="008B2A6D"/>
    <w:rsid w:val="008B2B20"/>
    <w:rsid w:val="008B4EF8"/>
    <w:rsid w:val="008B5009"/>
    <w:rsid w:val="008B65E7"/>
    <w:rsid w:val="008B6EF4"/>
    <w:rsid w:val="008C13E5"/>
    <w:rsid w:val="008C2E36"/>
    <w:rsid w:val="008C3EE0"/>
    <w:rsid w:val="008C6EB4"/>
    <w:rsid w:val="008C7FF1"/>
    <w:rsid w:val="008D036B"/>
    <w:rsid w:val="008D08CE"/>
    <w:rsid w:val="008D1720"/>
    <w:rsid w:val="008D1BF1"/>
    <w:rsid w:val="008D269F"/>
    <w:rsid w:val="008D2C8D"/>
    <w:rsid w:val="008D3DEE"/>
    <w:rsid w:val="008D4171"/>
    <w:rsid w:val="008D4912"/>
    <w:rsid w:val="008D503F"/>
    <w:rsid w:val="008D6F0B"/>
    <w:rsid w:val="008D7511"/>
    <w:rsid w:val="008D760C"/>
    <w:rsid w:val="008E0273"/>
    <w:rsid w:val="008E0D37"/>
    <w:rsid w:val="008E1A3A"/>
    <w:rsid w:val="008E265D"/>
    <w:rsid w:val="008E3E1C"/>
    <w:rsid w:val="008E4283"/>
    <w:rsid w:val="008E4863"/>
    <w:rsid w:val="008F2ABB"/>
    <w:rsid w:val="008F33AB"/>
    <w:rsid w:val="008F5583"/>
    <w:rsid w:val="009003F4"/>
    <w:rsid w:val="009045CF"/>
    <w:rsid w:val="00907169"/>
    <w:rsid w:val="009109ED"/>
    <w:rsid w:val="00911CE2"/>
    <w:rsid w:val="00912D03"/>
    <w:rsid w:val="00917423"/>
    <w:rsid w:val="00921518"/>
    <w:rsid w:val="0092190E"/>
    <w:rsid w:val="00922FD6"/>
    <w:rsid w:val="00923195"/>
    <w:rsid w:val="00923949"/>
    <w:rsid w:val="009240AB"/>
    <w:rsid w:val="0092593B"/>
    <w:rsid w:val="009269FC"/>
    <w:rsid w:val="00927CC3"/>
    <w:rsid w:val="009321E7"/>
    <w:rsid w:val="00932AFC"/>
    <w:rsid w:val="00934476"/>
    <w:rsid w:val="00934702"/>
    <w:rsid w:val="009349AB"/>
    <w:rsid w:val="0093528E"/>
    <w:rsid w:val="0093564E"/>
    <w:rsid w:val="0093708F"/>
    <w:rsid w:val="00937E26"/>
    <w:rsid w:val="00945AA3"/>
    <w:rsid w:val="0095171A"/>
    <w:rsid w:val="009538BA"/>
    <w:rsid w:val="00954EA8"/>
    <w:rsid w:val="00955618"/>
    <w:rsid w:val="009556FA"/>
    <w:rsid w:val="00955F81"/>
    <w:rsid w:val="009569B5"/>
    <w:rsid w:val="00957F16"/>
    <w:rsid w:val="00960C91"/>
    <w:rsid w:val="009629E6"/>
    <w:rsid w:val="00963BC3"/>
    <w:rsid w:val="00963E8D"/>
    <w:rsid w:val="009661C1"/>
    <w:rsid w:val="009676C8"/>
    <w:rsid w:val="00967EA6"/>
    <w:rsid w:val="009706BC"/>
    <w:rsid w:val="009707C3"/>
    <w:rsid w:val="00972FAE"/>
    <w:rsid w:val="0097323A"/>
    <w:rsid w:val="00975D26"/>
    <w:rsid w:val="00976793"/>
    <w:rsid w:val="00976799"/>
    <w:rsid w:val="009773D7"/>
    <w:rsid w:val="00980C1B"/>
    <w:rsid w:val="00980F62"/>
    <w:rsid w:val="00981FB7"/>
    <w:rsid w:val="00984739"/>
    <w:rsid w:val="00985E43"/>
    <w:rsid w:val="00990688"/>
    <w:rsid w:val="00992811"/>
    <w:rsid w:val="00993604"/>
    <w:rsid w:val="00995070"/>
    <w:rsid w:val="00995258"/>
    <w:rsid w:val="00997A0C"/>
    <w:rsid w:val="00997C23"/>
    <w:rsid w:val="009A10D1"/>
    <w:rsid w:val="009A22A1"/>
    <w:rsid w:val="009A348D"/>
    <w:rsid w:val="009A41DC"/>
    <w:rsid w:val="009A77D0"/>
    <w:rsid w:val="009A7C3C"/>
    <w:rsid w:val="009B3334"/>
    <w:rsid w:val="009B38B2"/>
    <w:rsid w:val="009B39F7"/>
    <w:rsid w:val="009B7195"/>
    <w:rsid w:val="009B7D27"/>
    <w:rsid w:val="009C113D"/>
    <w:rsid w:val="009C1342"/>
    <w:rsid w:val="009C13D0"/>
    <w:rsid w:val="009C2144"/>
    <w:rsid w:val="009C32CD"/>
    <w:rsid w:val="009C35F2"/>
    <w:rsid w:val="009C3AE9"/>
    <w:rsid w:val="009C5C8A"/>
    <w:rsid w:val="009C5DAC"/>
    <w:rsid w:val="009C6525"/>
    <w:rsid w:val="009C654E"/>
    <w:rsid w:val="009C6916"/>
    <w:rsid w:val="009C6CCD"/>
    <w:rsid w:val="009C792D"/>
    <w:rsid w:val="009D057D"/>
    <w:rsid w:val="009D0F29"/>
    <w:rsid w:val="009D1159"/>
    <w:rsid w:val="009D17A7"/>
    <w:rsid w:val="009D44A6"/>
    <w:rsid w:val="009D48C9"/>
    <w:rsid w:val="009D5055"/>
    <w:rsid w:val="009E2FA5"/>
    <w:rsid w:val="009E34E9"/>
    <w:rsid w:val="009E3FBA"/>
    <w:rsid w:val="009E4012"/>
    <w:rsid w:val="009E42C9"/>
    <w:rsid w:val="009E5533"/>
    <w:rsid w:val="009F3148"/>
    <w:rsid w:val="009F3383"/>
    <w:rsid w:val="009F3D9C"/>
    <w:rsid w:val="009F5330"/>
    <w:rsid w:val="009F5D63"/>
    <w:rsid w:val="00A01DF6"/>
    <w:rsid w:val="00A0436C"/>
    <w:rsid w:val="00A05B69"/>
    <w:rsid w:val="00A07F53"/>
    <w:rsid w:val="00A17668"/>
    <w:rsid w:val="00A21589"/>
    <w:rsid w:val="00A228DB"/>
    <w:rsid w:val="00A23BBA"/>
    <w:rsid w:val="00A27980"/>
    <w:rsid w:val="00A27B4A"/>
    <w:rsid w:val="00A27BD9"/>
    <w:rsid w:val="00A336C9"/>
    <w:rsid w:val="00A3733C"/>
    <w:rsid w:val="00A37FE9"/>
    <w:rsid w:val="00A4057E"/>
    <w:rsid w:val="00A40716"/>
    <w:rsid w:val="00A41265"/>
    <w:rsid w:val="00A41573"/>
    <w:rsid w:val="00A41D7F"/>
    <w:rsid w:val="00A43541"/>
    <w:rsid w:val="00A4367D"/>
    <w:rsid w:val="00A45AD4"/>
    <w:rsid w:val="00A464E8"/>
    <w:rsid w:val="00A47B14"/>
    <w:rsid w:val="00A501FC"/>
    <w:rsid w:val="00A50318"/>
    <w:rsid w:val="00A51B23"/>
    <w:rsid w:val="00A54669"/>
    <w:rsid w:val="00A54AA5"/>
    <w:rsid w:val="00A63668"/>
    <w:rsid w:val="00A64293"/>
    <w:rsid w:val="00A64FED"/>
    <w:rsid w:val="00A650A3"/>
    <w:rsid w:val="00A67E28"/>
    <w:rsid w:val="00A708F5"/>
    <w:rsid w:val="00A709A2"/>
    <w:rsid w:val="00A7185A"/>
    <w:rsid w:val="00A73232"/>
    <w:rsid w:val="00A750BB"/>
    <w:rsid w:val="00A7585E"/>
    <w:rsid w:val="00A75935"/>
    <w:rsid w:val="00A7747C"/>
    <w:rsid w:val="00A8095A"/>
    <w:rsid w:val="00A80DEA"/>
    <w:rsid w:val="00A823C7"/>
    <w:rsid w:val="00A8380E"/>
    <w:rsid w:val="00A83893"/>
    <w:rsid w:val="00A8422B"/>
    <w:rsid w:val="00A84712"/>
    <w:rsid w:val="00A8581B"/>
    <w:rsid w:val="00A86117"/>
    <w:rsid w:val="00A8637E"/>
    <w:rsid w:val="00A90B90"/>
    <w:rsid w:val="00A93A16"/>
    <w:rsid w:val="00A945FE"/>
    <w:rsid w:val="00A94E33"/>
    <w:rsid w:val="00A968C2"/>
    <w:rsid w:val="00A9710B"/>
    <w:rsid w:val="00A97CD6"/>
    <w:rsid w:val="00A97F38"/>
    <w:rsid w:val="00AA0F76"/>
    <w:rsid w:val="00AA1CDD"/>
    <w:rsid w:val="00AB0539"/>
    <w:rsid w:val="00AB3680"/>
    <w:rsid w:val="00AB44C4"/>
    <w:rsid w:val="00AB4574"/>
    <w:rsid w:val="00AB567A"/>
    <w:rsid w:val="00AB5C6B"/>
    <w:rsid w:val="00AB79F5"/>
    <w:rsid w:val="00AC091E"/>
    <w:rsid w:val="00AC17A7"/>
    <w:rsid w:val="00AC69DC"/>
    <w:rsid w:val="00AC76EA"/>
    <w:rsid w:val="00AD01A9"/>
    <w:rsid w:val="00AD05F3"/>
    <w:rsid w:val="00AD1996"/>
    <w:rsid w:val="00AE0E95"/>
    <w:rsid w:val="00AE1DEA"/>
    <w:rsid w:val="00AE2344"/>
    <w:rsid w:val="00AE4960"/>
    <w:rsid w:val="00AE4F74"/>
    <w:rsid w:val="00AE722A"/>
    <w:rsid w:val="00AE7AB3"/>
    <w:rsid w:val="00AF0311"/>
    <w:rsid w:val="00AF08F3"/>
    <w:rsid w:val="00AF540C"/>
    <w:rsid w:val="00AF57A0"/>
    <w:rsid w:val="00AF591B"/>
    <w:rsid w:val="00B00417"/>
    <w:rsid w:val="00B01888"/>
    <w:rsid w:val="00B05A19"/>
    <w:rsid w:val="00B06927"/>
    <w:rsid w:val="00B07119"/>
    <w:rsid w:val="00B072C4"/>
    <w:rsid w:val="00B1053A"/>
    <w:rsid w:val="00B11762"/>
    <w:rsid w:val="00B1218C"/>
    <w:rsid w:val="00B13132"/>
    <w:rsid w:val="00B136C0"/>
    <w:rsid w:val="00B13D74"/>
    <w:rsid w:val="00B14CDD"/>
    <w:rsid w:val="00B155DF"/>
    <w:rsid w:val="00B15BBD"/>
    <w:rsid w:val="00B16EEE"/>
    <w:rsid w:val="00B20FC3"/>
    <w:rsid w:val="00B22678"/>
    <w:rsid w:val="00B249E8"/>
    <w:rsid w:val="00B24F07"/>
    <w:rsid w:val="00B2554E"/>
    <w:rsid w:val="00B269EC"/>
    <w:rsid w:val="00B2775E"/>
    <w:rsid w:val="00B27C88"/>
    <w:rsid w:val="00B300B6"/>
    <w:rsid w:val="00B31340"/>
    <w:rsid w:val="00B314DF"/>
    <w:rsid w:val="00B31DA0"/>
    <w:rsid w:val="00B32034"/>
    <w:rsid w:val="00B32561"/>
    <w:rsid w:val="00B33668"/>
    <w:rsid w:val="00B33D7B"/>
    <w:rsid w:val="00B33F8A"/>
    <w:rsid w:val="00B34585"/>
    <w:rsid w:val="00B3576C"/>
    <w:rsid w:val="00B42AFD"/>
    <w:rsid w:val="00B42E92"/>
    <w:rsid w:val="00B43853"/>
    <w:rsid w:val="00B44AED"/>
    <w:rsid w:val="00B46CE3"/>
    <w:rsid w:val="00B474C3"/>
    <w:rsid w:val="00B47DCD"/>
    <w:rsid w:val="00B50FD1"/>
    <w:rsid w:val="00B52B16"/>
    <w:rsid w:val="00B53BBD"/>
    <w:rsid w:val="00B5525E"/>
    <w:rsid w:val="00B55FC8"/>
    <w:rsid w:val="00B610F1"/>
    <w:rsid w:val="00B61423"/>
    <w:rsid w:val="00B6357D"/>
    <w:rsid w:val="00B66BDE"/>
    <w:rsid w:val="00B67A9B"/>
    <w:rsid w:val="00B67E89"/>
    <w:rsid w:val="00B71B57"/>
    <w:rsid w:val="00B7204B"/>
    <w:rsid w:val="00B73732"/>
    <w:rsid w:val="00B73FDB"/>
    <w:rsid w:val="00B75322"/>
    <w:rsid w:val="00B7585A"/>
    <w:rsid w:val="00B761F5"/>
    <w:rsid w:val="00B76A28"/>
    <w:rsid w:val="00B77B3A"/>
    <w:rsid w:val="00B813B1"/>
    <w:rsid w:val="00B81B0E"/>
    <w:rsid w:val="00B82A19"/>
    <w:rsid w:val="00B83674"/>
    <w:rsid w:val="00B837BB"/>
    <w:rsid w:val="00B86468"/>
    <w:rsid w:val="00B86470"/>
    <w:rsid w:val="00B864C0"/>
    <w:rsid w:val="00B86DC5"/>
    <w:rsid w:val="00B906E4"/>
    <w:rsid w:val="00B92E23"/>
    <w:rsid w:val="00B931CE"/>
    <w:rsid w:val="00B93B0B"/>
    <w:rsid w:val="00B946B6"/>
    <w:rsid w:val="00B95639"/>
    <w:rsid w:val="00BA51BA"/>
    <w:rsid w:val="00BA5AF5"/>
    <w:rsid w:val="00BB0930"/>
    <w:rsid w:val="00BB34F2"/>
    <w:rsid w:val="00BC0D4B"/>
    <w:rsid w:val="00BC1DD3"/>
    <w:rsid w:val="00BC2C30"/>
    <w:rsid w:val="00BC4367"/>
    <w:rsid w:val="00BC4967"/>
    <w:rsid w:val="00BC560C"/>
    <w:rsid w:val="00BC610B"/>
    <w:rsid w:val="00BC6281"/>
    <w:rsid w:val="00BC6416"/>
    <w:rsid w:val="00BD028F"/>
    <w:rsid w:val="00BD1223"/>
    <w:rsid w:val="00BD391E"/>
    <w:rsid w:val="00BD3C88"/>
    <w:rsid w:val="00BD4403"/>
    <w:rsid w:val="00BD5B8D"/>
    <w:rsid w:val="00BD7360"/>
    <w:rsid w:val="00BD7E87"/>
    <w:rsid w:val="00BE04E1"/>
    <w:rsid w:val="00BE2E5B"/>
    <w:rsid w:val="00BE566B"/>
    <w:rsid w:val="00BE675E"/>
    <w:rsid w:val="00BE7DE7"/>
    <w:rsid w:val="00BF1D17"/>
    <w:rsid w:val="00BF2E57"/>
    <w:rsid w:val="00BF4BC9"/>
    <w:rsid w:val="00BF7315"/>
    <w:rsid w:val="00BF7B91"/>
    <w:rsid w:val="00C005D5"/>
    <w:rsid w:val="00C02929"/>
    <w:rsid w:val="00C02A35"/>
    <w:rsid w:val="00C036C9"/>
    <w:rsid w:val="00C039EB"/>
    <w:rsid w:val="00C06081"/>
    <w:rsid w:val="00C06B86"/>
    <w:rsid w:val="00C07317"/>
    <w:rsid w:val="00C118D6"/>
    <w:rsid w:val="00C13152"/>
    <w:rsid w:val="00C134FF"/>
    <w:rsid w:val="00C136DE"/>
    <w:rsid w:val="00C146CC"/>
    <w:rsid w:val="00C14978"/>
    <w:rsid w:val="00C1499F"/>
    <w:rsid w:val="00C14EFD"/>
    <w:rsid w:val="00C15C63"/>
    <w:rsid w:val="00C1634B"/>
    <w:rsid w:val="00C164A3"/>
    <w:rsid w:val="00C16A37"/>
    <w:rsid w:val="00C2009B"/>
    <w:rsid w:val="00C2185F"/>
    <w:rsid w:val="00C21C4F"/>
    <w:rsid w:val="00C23F4E"/>
    <w:rsid w:val="00C23F78"/>
    <w:rsid w:val="00C24536"/>
    <w:rsid w:val="00C25330"/>
    <w:rsid w:val="00C25E8B"/>
    <w:rsid w:val="00C263B3"/>
    <w:rsid w:val="00C27E85"/>
    <w:rsid w:val="00C30157"/>
    <w:rsid w:val="00C340EB"/>
    <w:rsid w:val="00C34BD0"/>
    <w:rsid w:val="00C34C00"/>
    <w:rsid w:val="00C3563D"/>
    <w:rsid w:val="00C35F3B"/>
    <w:rsid w:val="00C406BE"/>
    <w:rsid w:val="00C459BE"/>
    <w:rsid w:val="00C45B2F"/>
    <w:rsid w:val="00C478E7"/>
    <w:rsid w:val="00C50483"/>
    <w:rsid w:val="00C51AEF"/>
    <w:rsid w:val="00C52EFB"/>
    <w:rsid w:val="00C5326A"/>
    <w:rsid w:val="00C53CAB"/>
    <w:rsid w:val="00C547A4"/>
    <w:rsid w:val="00C55683"/>
    <w:rsid w:val="00C5788E"/>
    <w:rsid w:val="00C57892"/>
    <w:rsid w:val="00C6055D"/>
    <w:rsid w:val="00C60A81"/>
    <w:rsid w:val="00C629D7"/>
    <w:rsid w:val="00C6455A"/>
    <w:rsid w:val="00C664D9"/>
    <w:rsid w:val="00C66E14"/>
    <w:rsid w:val="00C677C4"/>
    <w:rsid w:val="00C718EF"/>
    <w:rsid w:val="00C71CBA"/>
    <w:rsid w:val="00C73F1B"/>
    <w:rsid w:val="00C7552F"/>
    <w:rsid w:val="00C75944"/>
    <w:rsid w:val="00C75AEB"/>
    <w:rsid w:val="00C7685E"/>
    <w:rsid w:val="00C81C2F"/>
    <w:rsid w:val="00C835E1"/>
    <w:rsid w:val="00C84D64"/>
    <w:rsid w:val="00C901E0"/>
    <w:rsid w:val="00C90718"/>
    <w:rsid w:val="00C91021"/>
    <w:rsid w:val="00C91A27"/>
    <w:rsid w:val="00C9237B"/>
    <w:rsid w:val="00C927DB"/>
    <w:rsid w:val="00C92880"/>
    <w:rsid w:val="00C92D88"/>
    <w:rsid w:val="00CA04BB"/>
    <w:rsid w:val="00CA0BB1"/>
    <w:rsid w:val="00CA1499"/>
    <w:rsid w:val="00CA2233"/>
    <w:rsid w:val="00CA229E"/>
    <w:rsid w:val="00CA2C9A"/>
    <w:rsid w:val="00CA4779"/>
    <w:rsid w:val="00CA5E06"/>
    <w:rsid w:val="00CA616F"/>
    <w:rsid w:val="00CB0A7B"/>
    <w:rsid w:val="00CB1ECA"/>
    <w:rsid w:val="00CB2A9E"/>
    <w:rsid w:val="00CB405D"/>
    <w:rsid w:val="00CB676E"/>
    <w:rsid w:val="00CB6DAF"/>
    <w:rsid w:val="00CB6F95"/>
    <w:rsid w:val="00CC059B"/>
    <w:rsid w:val="00CC1DD8"/>
    <w:rsid w:val="00CC22D4"/>
    <w:rsid w:val="00CC28C5"/>
    <w:rsid w:val="00CC4270"/>
    <w:rsid w:val="00CC4E09"/>
    <w:rsid w:val="00CC6D50"/>
    <w:rsid w:val="00CD3DEF"/>
    <w:rsid w:val="00CD5E72"/>
    <w:rsid w:val="00CD6BDC"/>
    <w:rsid w:val="00CD7DFA"/>
    <w:rsid w:val="00CE0C94"/>
    <w:rsid w:val="00CE15DF"/>
    <w:rsid w:val="00CE18C4"/>
    <w:rsid w:val="00CE1A1F"/>
    <w:rsid w:val="00CE31D7"/>
    <w:rsid w:val="00CE3962"/>
    <w:rsid w:val="00CE448B"/>
    <w:rsid w:val="00CE6C54"/>
    <w:rsid w:val="00CE6D0E"/>
    <w:rsid w:val="00CE7218"/>
    <w:rsid w:val="00CF0438"/>
    <w:rsid w:val="00CF38C5"/>
    <w:rsid w:val="00CF38DA"/>
    <w:rsid w:val="00CF469A"/>
    <w:rsid w:val="00CF4A8E"/>
    <w:rsid w:val="00D00AA0"/>
    <w:rsid w:val="00D01AC4"/>
    <w:rsid w:val="00D01D05"/>
    <w:rsid w:val="00D020A3"/>
    <w:rsid w:val="00D0281C"/>
    <w:rsid w:val="00D02A38"/>
    <w:rsid w:val="00D04772"/>
    <w:rsid w:val="00D06B37"/>
    <w:rsid w:val="00D11035"/>
    <w:rsid w:val="00D1489F"/>
    <w:rsid w:val="00D16405"/>
    <w:rsid w:val="00D16FD7"/>
    <w:rsid w:val="00D179AB"/>
    <w:rsid w:val="00D20F88"/>
    <w:rsid w:val="00D21115"/>
    <w:rsid w:val="00D22765"/>
    <w:rsid w:val="00D248A3"/>
    <w:rsid w:val="00D25250"/>
    <w:rsid w:val="00D254B2"/>
    <w:rsid w:val="00D25D18"/>
    <w:rsid w:val="00D267FF"/>
    <w:rsid w:val="00D26BEC"/>
    <w:rsid w:val="00D26C00"/>
    <w:rsid w:val="00D32E4D"/>
    <w:rsid w:val="00D34315"/>
    <w:rsid w:val="00D350AF"/>
    <w:rsid w:val="00D35391"/>
    <w:rsid w:val="00D35A2A"/>
    <w:rsid w:val="00D35DA5"/>
    <w:rsid w:val="00D35F9C"/>
    <w:rsid w:val="00D36A69"/>
    <w:rsid w:val="00D37332"/>
    <w:rsid w:val="00D42359"/>
    <w:rsid w:val="00D42C18"/>
    <w:rsid w:val="00D43660"/>
    <w:rsid w:val="00D4599C"/>
    <w:rsid w:val="00D45F3E"/>
    <w:rsid w:val="00D466C2"/>
    <w:rsid w:val="00D5020E"/>
    <w:rsid w:val="00D520E8"/>
    <w:rsid w:val="00D53E6B"/>
    <w:rsid w:val="00D5592F"/>
    <w:rsid w:val="00D565C7"/>
    <w:rsid w:val="00D5745B"/>
    <w:rsid w:val="00D62CB4"/>
    <w:rsid w:val="00D64610"/>
    <w:rsid w:val="00D6538B"/>
    <w:rsid w:val="00D664BF"/>
    <w:rsid w:val="00D71904"/>
    <w:rsid w:val="00D71C52"/>
    <w:rsid w:val="00D73095"/>
    <w:rsid w:val="00D7331B"/>
    <w:rsid w:val="00D7412C"/>
    <w:rsid w:val="00D760B0"/>
    <w:rsid w:val="00D76DAF"/>
    <w:rsid w:val="00D8002E"/>
    <w:rsid w:val="00D804BE"/>
    <w:rsid w:val="00D83654"/>
    <w:rsid w:val="00D874C7"/>
    <w:rsid w:val="00D900B1"/>
    <w:rsid w:val="00D9086F"/>
    <w:rsid w:val="00D90EF1"/>
    <w:rsid w:val="00D943DF"/>
    <w:rsid w:val="00D9458A"/>
    <w:rsid w:val="00D95841"/>
    <w:rsid w:val="00D96B0D"/>
    <w:rsid w:val="00D970E9"/>
    <w:rsid w:val="00D976B2"/>
    <w:rsid w:val="00D97990"/>
    <w:rsid w:val="00DA0366"/>
    <w:rsid w:val="00DA0797"/>
    <w:rsid w:val="00DA0E5E"/>
    <w:rsid w:val="00DA1217"/>
    <w:rsid w:val="00DA3E77"/>
    <w:rsid w:val="00DA466B"/>
    <w:rsid w:val="00DA57CF"/>
    <w:rsid w:val="00DA5F2C"/>
    <w:rsid w:val="00DA7C9E"/>
    <w:rsid w:val="00DB3CB4"/>
    <w:rsid w:val="00DB5F61"/>
    <w:rsid w:val="00DB6C6B"/>
    <w:rsid w:val="00DB6EC1"/>
    <w:rsid w:val="00DB7592"/>
    <w:rsid w:val="00DC29BE"/>
    <w:rsid w:val="00DC5E94"/>
    <w:rsid w:val="00DC69D6"/>
    <w:rsid w:val="00DC7534"/>
    <w:rsid w:val="00DC7B86"/>
    <w:rsid w:val="00DD2528"/>
    <w:rsid w:val="00DD43AD"/>
    <w:rsid w:val="00DD5A66"/>
    <w:rsid w:val="00DD5CA6"/>
    <w:rsid w:val="00DD6178"/>
    <w:rsid w:val="00DD61D1"/>
    <w:rsid w:val="00DE0442"/>
    <w:rsid w:val="00DE0AE2"/>
    <w:rsid w:val="00DE3DCC"/>
    <w:rsid w:val="00DE4754"/>
    <w:rsid w:val="00DE4F54"/>
    <w:rsid w:val="00DF0732"/>
    <w:rsid w:val="00DF5A80"/>
    <w:rsid w:val="00DF63D2"/>
    <w:rsid w:val="00DF73B4"/>
    <w:rsid w:val="00E0161E"/>
    <w:rsid w:val="00E019FE"/>
    <w:rsid w:val="00E01EF4"/>
    <w:rsid w:val="00E03BFA"/>
    <w:rsid w:val="00E10FD9"/>
    <w:rsid w:val="00E11239"/>
    <w:rsid w:val="00E122B1"/>
    <w:rsid w:val="00E13690"/>
    <w:rsid w:val="00E14572"/>
    <w:rsid w:val="00E14907"/>
    <w:rsid w:val="00E155FD"/>
    <w:rsid w:val="00E15CE8"/>
    <w:rsid w:val="00E21A5A"/>
    <w:rsid w:val="00E278F3"/>
    <w:rsid w:val="00E309F7"/>
    <w:rsid w:val="00E32930"/>
    <w:rsid w:val="00E329EC"/>
    <w:rsid w:val="00E32EDB"/>
    <w:rsid w:val="00E34DAC"/>
    <w:rsid w:val="00E35211"/>
    <w:rsid w:val="00E353A4"/>
    <w:rsid w:val="00E36BEF"/>
    <w:rsid w:val="00E37979"/>
    <w:rsid w:val="00E41DAA"/>
    <w:rsid w:val="00E42943"/>
    <w:rsid w:val="00E43E3E"/>
    <w:rsid w:val="00E43ECA"/>
    <w:rsid w:val="00E46C2C"/>
    <w:rsid w:val="00E51FDE"/>
    <w:rsid w:val="00E54B97"/>
    <w:rsid w:val="00E54E73"/>
    <w:rsid w:val="00E55C23"/>
    <w:rsid w:val="00E562C8"/>
    <w:rsid w:val="00E56891"/>
    <w:rsid w:val="00E57167"/>
    <w:rsid w:val="00E57395"/>
    <w:rsid w:val="00E62E1C"/>
    <w:rsid w:val="00E63D26"/>
    <w:rsid w:val="00E6475B"/>
    <w:rsid w:val="00E67074"/>
    <w:rsid w:val="00E6746F"/>
    <w:rsid w:val="00E71854"/>
    <w:rsid w:val="00E7186F"/>
    <w:rsid w:val="00E73AED"/>
    <w:rsid w:val="00E74E70"/>
    <w:rsid w:val="00E7533F"/>
    <w:rsid w:val="00E75A5B"/>
    <w:rsid w:val="00E7664D"/>
    <w:rsid w:val="00E76A87"/>
    <w:rsid w:val="00E8017C"/>
    <w:rsid w:val="00E80FF5"/>
    <w:rsid w:val="00E810DC"/>
    <w:rsid w:val="00E82DA0"/>
    <w:rsid w:val="00E83D7C"/>
    <w:rsid w:val="00E84ADD"/>
    <w:rsid w:val="00E85CE0"/>
    <w:rsid w:val="00E862E4"/>
    <w:rsid w:val="00E87A74"/>
    <w:rsid w:val="00E87C2B"/>
    <w:rsid w:val="00E91E94"/>
    <w:rsid w:val="00E934B4"/>
    <w:rsid w:val="00E93A31"/>
    <w:rsid w:val="00E94F13"/>
    <w:rsid w:val="00E95376"/>
    <w:rsid w:val="00E96D76"/>
    <w:rsid w:val="00EA03C8"/>
    <w:rsid w:val="00EA03F5"/>
    <w:rsid w:val="00EA1475"/>
    <w:rsid w:val="00EA1715"/>
    <w:rsid w:val="00EA23ED"/>
    <w:rsid w:val="00EA33B3"/>
    <w:rsid w:val="00EB01BA"/>
    <w:rsid w:val="00EB1F13"/>
    <w:rsid w:val="00EB2C3A"/>
    <w:rsid w:val="00EB3482"/>
    <w:rsid w:val="00EB4384"/>
    <w:rsid w:val="00EB52B3"/>
    <w:rsid w:val="00EB5CEC"/>
    <w:rsid w:val="00EC2B17"/>
    <w:rsid w:val="00EC32BC"/>
    <w:rsid w:val="00EC4137"/>
    <w:rsid w:val="00EC4D7D"/>
    <w:rsid w:val="00EC4E75"/>
    <w:rsid w:val="00EC6745"/>
    <w:rsid w:val="00EC6C89"/>
    <w:rsid w:val="00EC7062"/>
    <w:rsid w:val="00ED156C"/>
    <w:rsid w:val="00ED2280"/>
    <w:rsid w:val="00ED30A6"/>
    <w:rsid w:val="00ED35CD"/>
    <w:rsid w:val="00ED5D17"/>
    <w:rsid w:val="00EE0C65"/>
    <w:rsid w:val="00EE1EDC"/>
    <w:rsid w:val="00EE2D55"/>
    <w:rsid w:val="00EE3324"/>
    <w:rsid w:val="00EE332A"/>
    <w:rsid w:val="00EE6D37"/>
    <w:rsid w:val="00EF442C"/>
    <w:rsid w:val="00EF7264"/>
    <w:rsid w:val="00EF75F7"/>
    <w:rsid w:val="00F00128"/>
    <w:rsid w:val="00F00C7D"/>
    <w:rsid w:val="00F02E89"/>
    <w:rsid w:val="00F03905"/>
    <w:rsid w:val="00F05195"/>
    <w:rsid w:val="00F05523"/>
    <w:rsid w:val="00F06111"/>
    <w:rsid w:val="00F13115"/>
    <w:rsid w:val="00F1311F"/>
    <w:rsid w:val="00F1317D"/>
    <w:rsid w:val="00F16A8E"/>
    <w:rsid w:val="00F2171C"/>
    <w:rsid w:val="00F22493"/>
    <w:rsid w:val="00F243E5"/>
    <w:rsid w:val="00F25C4F"/>
    <w:rsid w:val="00F27F66"/>
    <w:rsid w:val="00F30788"/>
    <w:rsid w:val="00F30A5E"/>
    <w:rsid w:val="00F32B12"/>
    <w:rsid w:val="00F32E58"/>
    <w:rsid w:val="00F32FEB"/>
    <w:rsid w:val="00F36347"/>
    <w:rsid w:val="00F37E9F"/>
    <w:rsid w:val="00F40882"/>
    <w:rsid w:val="00F40B04"/>
    <w:rsid w:val="00F433E7"/>
    <w:rsid w:val="00F446B5"/>
    <w:rsid w:val="00F44EEC"/>
    <w:rsid w:val="00F4619B"/>
    <w:rsid w:val="00F463BA"/>
    <w:rsid w:val="00F50A35"/>
    <w:rsid w:val="00F52C37"/>
    <w:rsid w:val="00F5346E"/>
    <w:rsid w:val="00F53A22"/>
    <w:rsid w:val="00F53EE1"/>
    <w:rsid w:val="00F54B27"/>
    <w:rsid w:val="00F55719"/>
    <w:rsid w:val="00F55A5C"/>
    <w:rsid w:val="00F56443"/>
    <w:rsid w:val="00F572BE"/>
    <w:rsid w:val="00F57889"/>
    <w:rsid w:val="00F57FC3"/>
    <w:rsid w:val="00F61705"/>
    <w:rsid w:val="00F62154"/>
    <w:rsid w:val="00F622FC"/>
    <w:rsid w:val="00F634C2"/>
    <w:rsid w:val="00F643A7"/>
    <w:rsid w:val="00F65016"/>
    <w:rsid w:val="00F7064B"/>
    <w:rsid w:val="00F70CC4"/>
    <w:rsid w:val="00F71E19"/>
    <w:rsid w:val="00F753B7"/>
    <w:rsid w:val="00F75C22"/>
    <w:rsid w:val="00F7768E"/>
    <w:rsid w:val="00F779B9"/>
    <w:rsid w:val="00F810F2"/>
    <w:rsid w:val="00F820F3"/>
    <w:rsid w:val="00F82FBE"/>
    <w:rsid w:val="00F83247"/>
    <w:rsid w:val="00F87274"/>
    <w:rsid w:val="00F90DD8"/>
    <w:rsid w:val="00F91ACB"/>
    <w:rsid w:val="00F91E1B"/>
    <w:rsid w:val="00F94097"/>
    <w:rsid w:val="00F95C18"/>
    <w:rsid w:val="00F97811"/>
    <w:rsid w:val="00FA37F1"/>
    <w:rsid w:val="00FA3D3E"/>
    <w:rsid w:val="00FA51C3"/>
    <w:rsid w:val="00FA5248"/>
    <w:rsid w:val="00FB06B6"/>
    <w:rsid w:val="00FB24FF"/>
    <w:rsid w:val="00FB26F5"/>
    <w:rsid w:val="00FB5C74"/>
    <w:rsid w:val="00FB5CAF"/>
    <w:rsid w:val="00FB7C0C"/>
    <w:rsid w:val="00FC01A0"/>
    <w:rsid w:val="00FC0762"/>
    <w:rsid w:val="00FC1402"/>
    <w:rsid w:val="00FC193F"/>
    <w:rsid w:val="00FC2B15"/>
    <w:rsid w:val="00FC2E71"/>
    <w:rsid w:val="00FC3E31"/>
    <w:rsid w:val="00FC4494"/>
    <w:rsid w:val="00FC4733"/>
    <w:rsid w:val="00FC5480"/>
    <w:rsid w:val="00FC581F"/>
    <w:rsid w:val="00FC5B86"/>
    <w:rsid w:val="00FD11AA"/>
    <w:rsid w:val="00FD1365"/>
    <w:rsid w:val="00FD4521"/>
    <w:rsid w:val="00FD61F4"/>
    <w:rsid w:val="00FD6870"/>
    <w:rsid w:val="00FD78AB"/>
    <w:rsid w:val="00FE18CF"/>
    <w:rsid w:val="00FE36FA"/>
    <w:rsid w:val="00FE3CF2"/>
    <w:rsid w:val="00FE41A2"/>
    <w:rsid w:val="00FE6E7A"/>
    <w:rsid w:val="00FE7896"/>
    <w:rsid w:val="00FE7959"/>
    <w:rsid w:val="00FF4C77"/>
    <w:rsid w:val="00FF51F5"/>
    <w:rsid w:val="00FF6250"/>
    <w:rsid w:val="00FF6336"/>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56A7B"/>
  <w15:chartTrackingRefBased/>
  <w15:docId w15:val="{A0C89E79-AB6E-7946-ACA2-C0A65EAF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81F"/>
    <w:rPr>
      <w:color w:val="0563C1" w:themeColor="hyperlink"/>
      <w:u w:val="single"/>
    </w:rPr>
  </w:style>
  <w:style w:type="character" w:styleId="UnresolvedMention">
    <w:name w:val="Unresolved Mention"/>
    <w:basedOn w:val="DefaultParagraphFont"/>
    <w:uiPriority w:val="99"/>
    <w:semiHidden/>
    <w:unhideWhenUsed/>
    <w:rsid w:val="000A081F"/>
    <w:rPr>
      <w:color w:val="605E5C"/>
      <w:shd w:val="clear" w:color="auto" w:fill="E1DFDD"/>
    </w:rPr>
  </w:style>
  <w:style w:type="character" w:styleId="CommentReference">
    <w:name w:val="annotation reference"/>
    <w:basedOn w:val="DefaultParagraphFont"/>
    <w:uiPriority w:val="99"/>
    <w:semiHidden/>
    <w:unhideWhenUsed/>
    <w:rsid w:val="00442C17"/>
    <w:rPr>
      <w:sz w:val="16"/>
      <w:szCs w:val="16"/>
    </w:rPr>
  </w:style>
  <w:style w:type="paragraph" w:styleId="CommentText">
    <w:name w:val="annotation text"/>
    <w:basedOn w:val="Normal"/>
    <w:link w:val="CommentTextChar"/>
    <w:uiPriority w:val="99"/>
    <w:semiHidden/>
    <w:unhideWhenUsed/>
    <w:rsid w:val="00442C17"/>
    <w:rPr>
      <w:sz w:val="20"/>
      <w:szCs w:val="20"/>
    </w:rPr>
  </w:style>
  <w:style w:type="character" w:customStyle="1" w:styleId="CommentTextChar">
    <w:name w:val="Comment Text Char"/>
    <w:basedOn w:val="DefaultParagraphFont"/>
    <w:link w:val="CommentText"/>
    <w:uiPriority w:val="99"/>
    <w:semiHidden/>
    <w:rsid w:val="00442C1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2C17"/>
    <w:rPr>
      <w:b/>
      <w:bCs/>
    </w:rPr>
  </w:style>
  <w:style w:type="character" w:customStyle="1" w:styleId="CommentSubjectChar">
    <w:name w:val="Comment Subject Char"/>
    <w:basedOn w:val="CommentTextChar"/>
    <w:link w:val="CommentSubject"/>
    <w:uiPriority w:val="99"/>
    <w:semiHidden/>
    <w:rsid w:val="00442C17"/>
    <w:rPr>
      <w:rFonts w:ascii="Times New Roman" w:eastAsia="Times New Roman" w:hAnsi="Times New Roman" w:cs="Times New Roman"/>
      <w:b/>
      <w:bCs/>
      <w:sz w:val="20"/>
      <w:szCs w:val="20"/>
    </w:rPr>
  </w:style>
  <w:style w:type="paragraph" w:styleId="Revision">
    <w:name w:val="Revision"/>
    <w:hidden/>
    <w:uiPriority w:val="99"/>
    <w:semiHidden/>
    <w:rsid w:val="00B73732"/>
    <w:rPr>
      <w:rFonts w:ascii="Times New Roman" w:eastAsia="Times New Roman" w:hAnsi="Times New Roman" w:cs="Times New Roman"/>
    </w:rPr>
  </w:style>
  <w:style w:type="character" w:styleId="PlaceholderText">
    <w:name w:val="Placeholder Text"/>
    <w:basedOn w:val="DefaultParagraphFont"/>
    <w:uiPriority w:val="99"/>
    <w:semiHidden/>
    <w:rsid w:val="00DA0366"/>
    <w:rPr>
      <w:color w:val="808080"/>
    </w:rPr>
  </w:style>
  <w:style w:type="table" w:styleId="PlainTable4">
    <w:name w:val="Plain Table 4"/>
    <w:basedOn w:val="TableNormal"/>
    <w:uiPriority w:val="44"/>
    <w:rsid w:val="0022786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131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2.jpeg"/><Relationship Id="rId5" Type="http://schemas.openxmlformats.org/officeDocument/2006/relationships/comments" Target="commen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hyperlink" Target="mailto:logan.novak@uga.edu" TargetMode="External"/><Relationship Id="rId9" Type="http://schemas.openxmlformats.org/officeDocument/2006/relationships/hyperlink" Target="http://www.phylo.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21</Pages>
  <Words>7980</Words>
  <Characters>45490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Gabriel Novak</dc:creator>
  <cp:keywords/>
  <dc:description/>
  <cp:lastModifiedBy>Logan Novak</cp:lastModifiedBy>
  <cp:revision>1093</cp:revision>
  <dcterms:created xsi:type="dcterms:W3CDTF">2023-02-06T18:41:00Z</dcterms:created>
  <dcterms:modified xsi:type="dcterms:W3CDTF">2023-06-14T19:01:00Z</dcterms:modified>
</cp:coreProperties>
</file>