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B5651D"/>
          <w:sz w:val="22"/>
          <w:szCs w:val="22"/>
        </w:rPr>
        <w:t xml:space="preserve">DOCUMENTO TÉCNICO DE SOLUÇÃO</w:t>
      </w:r>
    </w:p>
    <w:p>
      <w:pPr>
        <w:spacing w:after="200" w:before="200"/>
        <w:jc w:val="center"/>
      </w:pPr>
      <w:r>
        <w:rPr>
          <w:b/>
          <w:bCs/>
          <w:color w:val="1F4E79"/>
          <w:sz w:val="44"/>
          <w:szCs w:val="44"/>
        </w:rPr>
        <w:t xml:space="preserve">Motor de Orquestração de Pré-Contratação de Fundos de Investimento</w:t>
      </w:r>
    </w:p>
    <w:p>
      <w:pPr>
        <w:spacing w:after="900"/>
        <w:jc w:val="center"/>
      </w:pPr>
      <w:r>
        <w:rPr>
          <w:i/>
          <w:iCs/>
          <w:color w:val="595959"/>
          <w:sz w:val="24"/>
          <w:szCs w:val="24"/>
        </w:rPr>
        <w:t xml:space="preserve">Validação de Perfil de Investimento, Termos e Pendências Cadastrais — Desenho Técnico e Fluxo Agnóstico de Pré-Contratação</w:t>
      </w:r>
    </w:p>
    <w:p>
      <w:pPr>
        <w:spacing w:before="1600"/>
        <w:jc w:val="center"/>
      </w:pPr>
      <w:r>
        <w:rPr>
          <w:color w:val="595959"/>
          <w:sz w:val="20"/>
          <w:szCs w:val="20"/>
        </w:rPr>
        <w:t xml:space="preserve">Versão 0.1 — Rascunho para validação com Engenharia e Negócio</w:t>
      </w:r>
    </w:p>
    <w:p>
      <w:pPr>
        <w:spacing w:before="100"/>
        <w:jc w:val="center"/>
      </w:pPr>
      <w:r>
        <w:rPr>
          <w:color w:val="595959"/>
          <w:sz w:val="20"/>
          <w:szCs w:val="20"/>
        </w:rPr>
        <w:t xml:space="preserve">Julho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 xml:space="preserve">Ao abrir o arquivo no Word, clique com o botão direito sobre o sumário e selecione "Atualizar campo" para gerar a lista de seções.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1. Contexto e Objetivo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1.1 Contexto atual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Hoje a jornada de investimento em fundos é composta por três blocos principais que já existem e funcionam de forma independente: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Vitrine — </w:t>
      </w:r>
      <w:r>
        <w:rPr>
          <w:sz w:val="21"/>
          <w:szCs w:val="21"/>
        </w:rPr>
        <w:t xml:space="preserve">a Vitrine lista produtos e a posição do cliente, aplicando regras de habilitação, suitability e conformidade regulatória antes de liberar a aplicação;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Fluxo transacional — </w:t>
      </w:r>
      <w:r>
        <w:rPr>
          <w:sz w:val="21"/>
          <w:szCs w:val="21"/>
        </w:rPr>
        <w:t xml:space="preserve">a contratação é sequencial e transacional: cada passo depende do anterior, e a efetivação só ocorre após os termos assinados e o segundo fator validado;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Formalização remota — </w:t>
      </w:r>
      <w:r>
        <w:rPr>
          <w:sz w:val="21"/>
          <w:szCs w:val="21"/>
        </w:rPr>
        <w:t xml:space="preserve">é a jornada em que o cliente revisa e formaliza (ou recusa) movimentos de aplicação solicitados, assinando termos de ciência de risco quando exigido.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Essas validações (perfil de investimento, termos assinados e pendências cadastrais) hoje tendem a ser tratadas de forma pontual dentro de cada fluxo de produto, o que dificulta a reutilização da mesma lógica por outros times e outros produtos além de fundos.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1.2 Objetivo deste documento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Estruturar o desenho técnico de uma jornada de pré-contratação de fundos que: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valide, antes e durante a contratação, se o cliente possui perfil de investimento vigente, termos assinados e ausência de pendências cadastrais;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insira, de forma dinâmica, os steps necessários (assinatura de termo, preenchimento de perfil, ciência de desenquadramento) dentro do fluxo transacional já existente, sem duplicar regra em cada produto;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seja desenhada como um fluxo agnóstico de produto e de canal, para que outros times possam reaproveitar o mesmo motor de validações em suas próprias jornadas de pré-contratação;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sirva como insumo comum para o time de engenharia (o que construir) e para o time de negócio (como a regra funciona ponta a ponta).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2. Escopo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2.1 Dentro do escopo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Desenho da jornada de pré-contratação: vitrine → validação de perfil/termo/cadastro → seleção de produto → steps condicionais de termo/perfil → simulação → validação de desenquadramento → conclusão.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Proposta de arquitetura de orquestração (Motor de Orquestração + BFF de Pré-Contratação).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Mapeamento das regras de negócio descritas às 8 APIs hoje utilizadas, com as rotas atuais citadas.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Modelo de estados da jornada.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Contrato de interface proposto (ilustrativo) para o motor agnóstico.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Lista de pontos em aberto que precisam de detalhamento com os times donos de cada API.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2.2 Fora do escopo (nesta versão)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Definição fechada de payloads/contratos técnicos reais de cada endpoint das APIs 1 a 8 — os nomes de rota usados aqui são referências para conexão do fluxo, a detalhar.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Regras específicas de produtos de investimento além de fundos (a solução é desenhada para permitir extensão, mas o desenho detalhado aqui é o de fundos).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Layout/UX final das telas de vitrine e dos steps do fluxo transacional.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3. Visão Geral da Solução Proposta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3.1 O problema a resolver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decisão de "o cliente pode seguir?" e "quais passos faltam antes de concluir a contratação?" depende de regras de perfil, suitability, termos e cadastro que já existem nas APIs 3, 4, 5 e 8. Hoje essa composição de regras tende a ficar implícita dentro do fluxo de cada produto. Isso cria dois riscos: retrabalho quando outro time (outro produto) precisa da mesma validação, e divergência de regra entre jornadas.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3.2 A proposta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Criar um Motor de Orquestração de Pré-Contratação: um componente central (serviço próprio ou camada dedicada dentro de um BFF) responsável por consultar as APIs de domínio e devolver um "checklist" de pendências e o conjunto de steps que o fluxo transacional deve apresentar para aquele cliente e aquele produto — independente de qual vitrine ou qual produto está chamando.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Esse motor não substitui as APIs 1 a 8: ele orquestra e interpreta as respostas delas, aplicando a árvore de decisão de negócio descrita na seção 5, e devolve uma resposta agnóstica de canal (web, app) e de produto (fundos hoje, outros produtos amanhã).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3.3 Padrão técnico sugerido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Motor de regras implementado como uma máquina de estados finita (FSM), onde cada estado representa um ponto da jornada (ver seção 6).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Cada regra de negócio (perfil vigente, termo geral assinado, termo do produto, pendência cadastral, elegibilidade CVM50, desenquadramento) é encapsulada em um "verificador" próprio, que isola a chamada à API de domínio correspondente.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 BFF de Pré-Contratação conversa apenas com o motor; o motor conversa com as APIs 1, 3, 4, 5, 6, 7 e 8. O fluxo transacional (API 2) recebe do BFF a lista de steps a apresentar.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3.4 Benefícios esperados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Reuso do motor por outros times/produtos que também precisem validar perfil, termo e cadastro antes de uma contratação.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Regra de negócio centralizada e versionada em um único lugar, reduzindo divergência entre jornadas.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Mudanças regulatórias (ex.: nova regra de suitability ou novo termo obrigatório) são alteradas no motor, sem exigir alteração em cada fluxo de produto.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Fluxo transacional (API 2) fica mais simples: ele executa os steps que o motor determinar, sem precisar conhecer a árvore de decisão completa.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4. Arquitetura da Solução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figura abaixo representa os componentes propostos e como eles se conectam às APIs hoje existentes.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Figura 1 — Visão de componentes: Vitrine, BFF de Pré-Contratação, Motor de Orquestração e APIs de domínio.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4.1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73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Frontend / Vitrine</w:t>
            </w:r>
          </w:p>
        </w:tc>
        <w:tc>
          <w:tcPr>
            <w:tcW w:type="dxa" w:w="73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Interface web/app onde o cliente visualiza produtos, posições e eventuais banners de pendência.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BFF de Pré-Contratação</w:t>
            </w:r>
          </w:p>
        </w:tc>
        <w:tc>
          <w:tcPr>
            <w:tcW w:type="dxa" w:w="73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Camada de orquestração de tela: agrega a resposta do Motor de Orquestração e conteúdo de vitrine/catálogo (API 7) e posições (API 1) para montar a experiência do cliente. Direciona para o fluxo transacional com os steps definidos.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Motor de Orquestração de Pré-Contratação</w:t>
            </w:r>
          </w:p>
        </w:tc>
        <w:tc>
          <w:tcPr>
            <w:tcW w:type="dxa" w:w="73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Componente novo e agnóstico proposto neste documento. Aplica a árvore de decisão de negócio (seção 5), consultando as APIs 1, 3, 4, 5, 6, 7 e 8, e devolve o checklist de pendências e os steps necessários.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Fluxo Transacional / API 2</w:t>
            </w:r>
          </w:p>
        </w:tc>
        <w:tc>
          <w:tcPr>
            <w:tcW w:type="dxa" w:w="73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Executa a contratação em si (sequencial), incorporando os steps adicionais (assinatura de termo, coleta de perfil, ciência de desenquadramento) indicados pelo motor. Aciona a API 3 para persistência de termos.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APIs 1, 3, 4, 5, 6, 7, 8</w:t>
            </w:r>
          </w:p>
        </w:tc>
        <w:tc>
          <w:tcPr>
            <w:tcW w:type="dxa" w:w="73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APIs de domínio já existentes, mantidas por outros times, conforme descrito na seção 7.</w:t>
            </w:r>
          </w:p>
        </w:tc>
      </w:tr>
    </w:tbl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 xml:space="preserve">O Motor de Orquestração pode nascer como uma camada dentro do BFF (mais rápido de entregar) e evoluir para um serviço próprio quando outro time de fato precisar reutilizá-lo — mas o contrato de interface (seção 8) já deve ser desenhado como se fosse um serviço independente, para não gerar acoplamento desnecessário com a Vitrine de fundos.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5. Fluxo de Negócio Ponta a Ponta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figura abaixo representa a árvore de decisão descrita para a jornada de pré-contratação de fundos.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741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95959"/>
          <w:sz w:val="18"/>
          <w:szCs w:val="18"/>
        </w:rPr>
        <w:t xml:space="preserve">Figura 2 — Fluxo de decisão da pré-contratação, da vitrine até a conclusão.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5.1 Passo a passo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1. Acesso à vitrine — </w:t>
      </w:r>
      <w:r>
        <w:rPr>
          <w:sz w:val="21"/>
          <w:szCs w:val="21"/>
        </w:rPr>
        <w:t xml:space="preserve">O cliente acessa a vitrine de investimentos em fundos. O motor consulta se o cliente possui perfil de investimento vigente (API 4) ou termo já assinado (API 3).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2a. Sem pendência — </w:t>
      </w:r>
      <w:r>
        <w:rPr>
          <w:sz w:val="21"/>
          <w:szCs w:val="21"/>
        </w:rPr>
        <w:t xml:space="preserve">Se possui perfil ou termo, a vitrine é exibida normalmente e o cliente pode selecionar um produto para investir/aplicar, seguindo direto para o fluxo transacional.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2b. Com pendência — </w:t>
      </w:r>
      <w:r>
        <w:rPr>
          <w:sz w:val="21"/>
          <w:szCs w:val="21"/>
        </w:rPr>
        <w:t xml:space="preserve">Se não possui, a vitrine exibe um banner de pendência — mas a seleção de produto continua liberada mesmo assim.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3. Seleção de produto — </w:t>
      </w:r>
      <w:r>
        <w:rPr>
          <w:sz w:val="21"/>
          <w:szCs w:val="21"/>
        </w:rPr>
        <w:t xml:space="preserve">Em ambos os casos o cliente escolhe o produto. O motor verifica se aquele produto tem um termo pré-determinado associado (atributo do catálogo, API 7, cruzado com as regras de termo da API 3).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4a. Termo pré-determinado existe — </w:t>
      </w:r>
      <w:r>
        <w:rPr>
          <w:sz w:val="21"/>
          <w:szCs w:val="21"/>
        </w:rPr>
        <w:t xml:space="preserve">O cliente é direcionado ao fluxo transacional (API 2) com um step adicional para assinatura do termo específico do produto — apresentando o termo ou a rota adequada para aquele produto.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4b. Termo pré-determinado não existe — </w:t>
      </w:r>
      <w:r>
        <w:rPr>
          <w:sz w:val="21"/>
          <w:szCs w:val="21"/>
        </w:rPr>
        <w:t xml:space="preserve">O cliente também é direcionado ao fluxo transacional (API 2), mas com um step adicional genérico (ver item 5) em vez do termo específico do produto.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5. Step de coleta — </w:t>
      </w:r>
      <w:r>
        <w:rPr>
          <w:sz w:val="21"/>
          <w:szCs w:val="21"/>
        </w:rPr>
        <w:t xml:space="preserve">Em ambos os caminhos (4a/4b), o step adicional do fluxo transacional oferece ao cliente as opções de: preencher o perfil de investidor (API 4); preencher o termo de investidor qualificado ou profissional (TIQ/TIP); preencher o TDI — Termo de Investidor; ou seguir sem perfil/termo, mantendo a pendência.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6. Simulação — </w:t>
      </w:r>
      <w:r>
        <w:rPr>
          <w:sz w:val="21"/>
          <w:szCs w:val="21"/>
        </w:rPr>
        <w:t xml:space="preserve">Concluído o step de coleta (ou a opção de seguir sem perfil), o cliente avança para a simulação do produto escolhido (dados de posição/benchmark da API 1, saldo da API 6).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7. Verificação de desenquadramento — </w:t>
      </w:r>
      <w:r>
        <w:rPr>
          <w:sz w:val="21"/>
          <w:szCs w:val="21"/>
        </w:rPr>
        <w:t xml:space="preserve">Após a simulação, o motor verifica se a operação gera desenquadramento do perfil do cliente em relação à política da empresa para aquele produto (API 4).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8a. Desenquadra — </w:t>
      </w:r>
      <w:r>
        <w:rPr>
          <w:sz w:val="21"/>
          <w:szCs w:val="21"/>
        </w:rPr>
        <w:t xml:space="preserve">Se houver desenquadramento, é apresentado o termo de ciência de desenquadramento; após a assinatura, o cliente conclui a contratação.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8b. Não desenquadra — </w:t>
      </w:r>
      <w:r>
        <w:rPr>
          <w:sz w:val="21"/>
          <w:szCs w:val="21"/>
        </w:rPr>
        <w:t xml:space="preserve">Se não houver desenquadramento, não existe termo adicional e o cliente conclui a contratação diretamente.</w:t>
      </w:r>
    </w:p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 xml:space="preserve">A validação de pendências cadastrais (API 8) e de elegibilidade/CVM 50 e entes públicos (API 5), citadas no início da demanda, não estavam detalhadas na árvore de decisão original. A recomendação técnica é tratá-las no mesmo ponto de decisão do passo 1 (compondo o mesmo checklist de pendências e o mesmo banner da vitrine) e, quando aplicável, revalidá-las antes da efetivação (passo 8). Esse ponto precisa ser confirmado com o time de negócio — ver seção 10.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6. Máquina de Estados da Jornada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Proposta de estados para o Motor de Orquestração controlar a jornada de forma explícita e auditável.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26"/>
        <w:gridCol w:w="23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6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Condição de entrada</w:t>
            </w:r>
          </w:p>
        </w:tc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Próximo(s) estado(s)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INICIO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Cliente acessa a vitrine de fundos.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Acesso à vitrine.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VITRINE_LIBERADA ou VITRINE_COM_PENDENCIA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VITRINE_LIBERADA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Cliente possui perfil/termo vigente; sem banner.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ou termo OK (API 3 / API 4).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PRODUTO_SELECIONADO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VITRINE_COM_PENDENCIA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Vitrine exibida com banner; seleção segue liberada.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e termo ausentes (API 3 / API 4).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PRODUTO_SELECIONADO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PRODUTO_SELECIONADO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Cliente escolheu um produto para investir/aplicar.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Seleção na vitrine (API 7).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STEPS_DEFINIDOS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STEPS_DEFINIDOS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Motor calcula se há termo pré-determinado do produto e monta os steps do fluxo transacional.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 a atributos do produto (API 7) e regras de termo (API 3).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COLETA_PERFIL_TERMO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COLETA_PERFIL_TERMO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 do fluxo transacional: preenche perfil, TIQ/TIP, TDI, ou segue sem perfil.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Entrada no fluxo transacional (API 2).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SIMULACAO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SIMULACAO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Simulação do produto (valores, benchmark, saldo).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Perfil/termo tratado (ou pendência aceita).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VALIDACAO_ENQUADRAMENTO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VALIDACAO_ENQUADRAMENTO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Motor verifica desenquadramento do perfil frente à política da empresa.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Simulação concluída (API 4).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TERMO_DESENQUADRAMENTO ou CONCLUIDO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TERMO_DESENQUADRAMENTO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Apresenta e coleta a assinatura do termo de ciência de desenquadramento.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Desenquadramento identificado.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CONCLUIDO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CONCLUIDO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Contratação efetivada.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2º fator validado e termos assinados (API 2).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7. Mapeamento de Regras de Negócio × APIs × Rotas Atuais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Tabela de referência para conectar cada ponto da jornada às APIs e rotas já existentes, citadas na demanda original. Onde a regra ainda não está clara o suficiente para apontar uma rota única, foi marcada como "a detalhar".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626"/>
        <w:gridCol w:w="27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Regra / etapa de negócio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626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Rota atual de referência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perfil de investimento vigente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de investidor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Usada no ponto de decisão inicial (passo 1).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termo geral já assinado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 (consulta)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Usada no ponto de decisão inicial (passo 1), em conjunto com o perfil.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Exibir catálogo de produtos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7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catálogo de produto de fundos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Alimenta a vitrine (BFF).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posições do cliente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 de posições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Alimenta a vitrine (BFF).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fundos elegíveis para aplicação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fundos elegíveis para aplicação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Filtra produtos exibidos/selecionáveis.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saldo disponível em conta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6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saldo disponível em conta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Usado na simulação e antes da efetivação.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Verificar se produto tem termo pré-determinado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7 + API 3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catálogo de produto de fundos / termo de ciência de risco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se o atributo "termo obrigatório" vive no catálogo (API 7) ou na regra de suitability (API 3).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termo específico do produto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 (via API 2)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 adicionado ao fluxo transacional (passo 4a).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Iniciar / pré-validar contratação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consulta/pré-validação de contratação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Ponto de entrada do fluxo transacional após seleção do produto.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Preencher perfil de investidor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perfil de investidor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Uma das opções do step de coleta (passo 5).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termo de investidor qualificado/profissional (TIQ/TIP)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nome oficial do termo (o texto original cita "TCQ") e regra de elegibilidade associada.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TDI — Termo de Investidor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assinatura de termos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em que caso o TDI é oferecido em vez do TIQ/TIP.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Seguir sem perfil / manter pendência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qual API registra que o cliente optou por seguir sem perfil (auditoria/compliance).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validações de suitability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 de suitability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Usada na simulação e na verificação de desenquadramento.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benchmarks do produto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benchmarks dos produtos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Usado na tela de simulação (passo 6).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Verificar desenquadramento de perfil x produto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 de suitability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Ponto de decisão do passo 7.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Assinar termo de ciência de desenquadramento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3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termo de ciência de risco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Step do passo 8a.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Criar a contratação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cria a contratação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Efetivação, após todos os steps concluídos.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Efetivar contratação (2º fator)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efetivar contratação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Conclusão final da jornada (passo 8a/8b).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Validações/permissão de aplicação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2 / API 4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validações/permissão de aplicação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se é regra de suitability, de saldo, ou combinação de ambas.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documentos do fundo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documentos do fundo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Apoio informativo na vitrine/simulação, fora da árvore de decisão principal.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Consultar/registrar movimentos solicitados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1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movimentos solicitados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Usado na formalização remota (fora do escopo direto desta jornada, mas compartilha regra de termos).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Validar pendências cadastrais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8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validações de dados cadastrais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confirmar se compõe o checklist inicial (passo 1) e/ou bloqueia a efetivação (passo 8).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CVM 50, entes públicos e elegibilidade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5</w:t>
            </w:r>
          </w:p>
        </w:tc>
        <w:tc>
          <w:tcPr>
            <w:tcW w:type="dxa" w:w="262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 de CVM 50, entes públicos e elegibilidade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 detalhar: aplicável a perfis específicos de cliente (ex.: entes públicos); confirmar em que ponto da jornada entra.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Consultar saldo investido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API 6</w:t>
            </w:r>
          </w:p>
        </w:tc>
        <w:tc>
          <w:tcPr>
            <w:tcW w:type="dxa" w:w="2626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saldo investido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Apoio informativo na vitrine/posições.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8. Contrato de Interface Proposto do Motor de Orquestração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Proposta ilustrativa de contrato para o motor agnóstico — nomes de campos e rota são exemplificativos e devem ser ajustados ao padrão de API interno da empresa.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8.1 Consulta de checklist de pré-contratação</w:t>
      </w:r>
    </w:p>
    <w:p>
      <w:pPr>
        <w:spacing w:after="160" w:line="30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GET /pre-contratacao/v1/checklist?clienteId={id}&amp;produtoId={id}&amp;canal={web|app}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Resposta ilustrativa: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17"/>
          <w:szCs w:val="17"/>
        </w:rPr>
        <w:t xml:space="preserve">{
  "clienteId": "123456",
  "produtoId": "FIC-RF-001",
  "pendencias": {
    "perfilInvestidor": false,
    "termoGeralAssinado": false,
    "pendenciaCadastral": false,
    "elegibilidadeCvm50": true
  },
  "produto": {
    "possuiTermoPreDeterminado": true,
    "termoId": "TERMO-FIC-RF-001"
  },
  "stepsNecessarios": [
    "ASSINATURA_TERMO_PRODUTO",
    "COLETA_PERFIL_OU_TERMO",
    "SIMULACAO",
    "VALIDACAO_ENQUADRAMENTO"
  ],
  "estadoAtual": "STEPS_DEFINIDOS"
}</w:t>
      </w:r>
    </w:p>
    <w:p>
      <w:pPr>
        <w:pStyle w:val="Heading2"/>
        <w:spacing w:after="120" w:before="280"/>
      </w:pPr>
      <w:r>
        <w:rPr>
          <w:b/>
          <w:bCs/>
          <w:color w:val="2E5F8A"/>
          <w:sz w:val="24"/>
          <w:szCs w:val="24"/>
        </w:rPr>
        <w:t xml:space="preserve">8.2 Registro de conclusão de um step (opcional)</w:t>
      </w:r>
    </w:p>
    <w:p>
      <w:pPr>
        <w:spacing w:after="160" w:line="300"/>
      </w:pPr>
      <w:r>
        <w:rPr>
          <w:b/>
          <w:bCs/>
          <w:i w:val="false"/>
          <w:iCs w:val="false"/>
          <w:color w:val="000000"/>
          <w:sz w:val="21"/>
          <w:szCs w:val="21"/>
        </w:rPr>
        <w:t xml:space="preserve">POST /pre-contratacao/v1/eventos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Usado pelo fluxo transacional (API 2) para informar ao motor que um step foi concluído (ex.: termo assinado, perfil preenchido), permitindo recalcular o checklist e o próximo estado.</w:t>
      </w:r>
    </w:p>
    <w:p>
      <w:pPr>
        <w:pBdr>
          <w:left w:val="single" w:color="B5651D" w:sz="12" w:space="8"/>
        </w:pBdr>
        <w:spacing w:after="200" w:before="80"/>
      </w:pPr>
      <w:r>
        <w:rPr>
          <w:b/>
          <w:bCs/>
          <w:i/>
          <w:iCs/>
          <w:color w:val="B5651D"/>
          <w:sz w:val="20"/>
          <w:szCs w:val="20"/>
        </w:rPr>
        <w:t xml:space="preserve">Observação: </w:t>
      </w:r>
      <w:r>
        <w:rPr>
          <w:i/>
          <w:iCs/>
          <w:color w:val="595959"/>
          <w:sz w:val="20"/>
          <w:szCs w:val="20"/>
        </w:rPr>
        <w:t xml:space="preserve">Este contrato é um ponto de partida para discussão com o time de arquitetura; o formato final deve seguir o padrão de API já adotado internamente (autenticação, versionamento, tratamento de erro).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9. Considerações para Frontend e BFF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 frontend consome uma única chamada de "checklist" do BFF de Pré-Contratação, sem precisar saber quais das 8 APIs geraram cada pendência — isso mantém o frontend agnóstico e simplifica a manutenção.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 banner de pendência da vitrine e os steps do fluxo transacional podem ser guiados pelo mesmo campo "stepsNecessarios", evitando lógica de negócio duplicada em telas diferentes.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Como a jornada é sequencial (cada passo depende do anterior), o BFF deve tratar o "estadoAtual" retornado pelo motor como fonte de verdade para decidir qual tela/step mostrar a seguir, evitando que o frontend precise reconstruir essa lógica.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Para outros times reaproveitarem o motor, a integração recomendada é via chamada direta ao motor (e não ao BFF de fundos), preservando o desacoplamento.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10. Pontos em Aberto para Validação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Itens que dependem de definição com os times donos das APIs 1 a 8 e/ou com o time de negócio antes da construção: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Contratos técnicos reais (payload, autenticação, códigos de erro) de cada rota listada na seção 7.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Onde exatamente a pendência cadastral (API 8) entra na árvore de decisão: compõe o banner inicial, bloqueia a efetivação, ou ambos.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Em que ponto da jornada a consulta de CVM 50/entes públicos/elegibilidade (API 5) deve ocorrer, e para quais perfis de cliente ela é aplicável.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Regra exata de quando oferecer o termo de investidor qualificado/profissional (TIQ/TIP) versus o TDI — o texto original cita "TCQ", que precisa ser confirmado como o nome correto do termo.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Onde e como se registra a opção do cliente de "seguir sem perfil", para fins de auditoria e compliance.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Se o atributo "produto possui termo pré-determinado" deve viver no catálogo (API 7) ou na engine de suitability (API 3).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Critério exato de cálculo do desenquadramento de perfil frente à política da empresa (API 4): calculado antes ou depois da simulação, e quais variáveis entram.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SLA e estratégia de contingência (timeout, fallback) para cada API consultada pelo motor.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Formato definitivo do contrato do motor de orquestração, alinhado ao padrão de API interno.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30"/>
          <w:szCs w:val="30"/>
        </w:rPr>
        <w:t xml:space="preserve">11. Próximos Passos Sugeridos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Validar com os times donos das APIs 1 a 8 o mapeamento da seção 7 e destravar os pontos em aberto da seção 10.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Detalhar os contratos técnicos (payloads reais) das rotas necessárias ao motor.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Prototipar o Motor de Orquestração (mesmo com respostas mockadas) para validar a máquina de estados junto ao time de negócio.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Definir, com o time de arquitetura, se o motor nasce como camada do BFF de fundos ou como serviço independente desde o início.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sz w:val="21"/>
          <w:szCs w:val="21"/>
        </w:rPr>
        <w:t xml:space="preserve">Planejar a extensão do motor para outros produtos além de fundos, usando fundos como piloto.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a92fb58326ecd7a61395eb7e5b8b8b62e2249d.png"/><Relationship Id="rId8" Type="http://schemas.openxmlformats.org/officeDocument/2006/relationships/image" Target="media/18b52742ba925c01d3d909a8973bfcebfa0dbbc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2026-07-26T16:42:56.032Z</dcterms:created>
  <dcterms:modified xsi:type="dcterms:W3CDTF">2026-07-26T16:42:56.044Z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