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B5651D"/>
          <w:sz w:val="22"/>
          <w:szCs w:val="22"/>
        </w:rPr>
        <w:t xml:space="preserve">DOCUMENTO TÉCNICO DE SOLUÇÃO</w:t>
      </w:r>
    </w:p>
    <w:p>
      <w:pPr>
        <w:spacing w:after="200" w:before="200"/>
        <w:jc w:val="center"/>
      </w:pPr>
      <w:r>
        <w:rPr>
          <w:b/>
          <w:bCs/>
          <w:color w:val="1F4E79"/>
          <w:sz w:val="44"/>
          <w:szCs w:val="44"/>
        </w:rPr>
        <w:t xml:space="preserve">Motor de Orquestração de Pré-Contratação de Fundos de Investimento</w:t>
      </w:r>
    </w:p>
    <w:p>
      <w:pPr>
        <w:spacing w:after="900"/>
        <w:jc w:val="center"/>
      </w:pPr>
      <w:r>
        <w:rPr>
          <w:i/>
          <w:iCs/>
          <w:color w:val="595959"/>
          <w:sz w:val="24"/>
          <w:szCs w:val="24"/>
        </w:rPr>
        <w:t xml:space="preserve">Validação de Perfil de Investimento, Termos e Pendências Cadastrais — Desenho Técnico e Fluxo Agnóstico de Pré-Contratação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>Versão 0.2 — Inclui fichas de contrato por endpoint (por API) e diagramas com fonte editável separada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>Julho de 2026 (atualizado em 26/07/2026)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Ao abrir o arquivo no Word, clique com o botão direito sobre o sumário e selecione "Atualizar campo" para gerar a lista de seções.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Contexto e Objetivo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1.1 Contexto atual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Hoje a jornada de investimento em fundos é composta por três blocos principais que já existem e funcionam de forma independente: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Vitrine — </w:t>
      </w:r>
      <w:r>
        <w:rPr>
          <w:sz w:val="21"/>
          <w:szCs w:val="21"/>
        </w:rPr>
        <w:t xml:space="preserve">a Vitrine lista produtos e a posição do cliente, aplicando regras de habilitação, suitability e conformidade regulatória antes de liberar a aplicação;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Fluxo transacional — </w:t>
      </w:r>
      <w:r>
        <w:rPr>
          <w:sz w:val="21"/>
          <w:szCs w:val="21"/>
        </w:rPr>
        <w:t xml:space="preserve">a contratação é sequencial e transacional: cada passo depende do anterior, e a efetivação só ocorre após os termos assinados e o segundo fator validado;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Formalização remota — </w:t>
      </w:r>
      <w:r>
        <w:rPr>
          <w:sz w:val="21"/>
          <w:szCs w:val="21"/>
        </w:rPr>
        <w:t xml:space="preserve">é a jornada em que o cliente revisa e formaliza (ou recusa) movimentos de aplicação solicitados, assinando termos de ciência de risco quando exigido.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Essas validações (perfil de investimento, termos assinados e pendências cadastrais) hoje tendem a ser tratadas de forma pontual dentro de cada fluxo de produto, o que dificulta a reutilização da mesma lógica por outros times e outros produtos além de fundos.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1.2 Objetivo deste documento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Estruturar o desenho técnico de uma jornada de pré-contratação de fundos que: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valide, antes e durante a contratação, se o cliente possui perfil de investimento vigente, termos assinados e ausência de pendências cadastrais;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insira, de forma dinâmica, os steps necessários (assinatura de termo, preenchimento de perfil, ciência de desenquadramento) dentro do fluxo transacional já existente, sem duplicar regra em cada produto;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seja desenhada como um fluxo agnóstico de produto e de canal, para que outros times possam reaproveitar o mesmo motor de validações em suas próprias jornadas de pré-contratação;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sirva como insumo comum para o time de engenharia (o que construir) e para o time de negócio (como a regra funciona ponta a ponta).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Escopo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2.1 Dentro do escopo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Desenho da jornada de pré-contratação: vitrine → validação de perfil/termo/cadastro → seleção de produto → steps condicionais de termo/perfil → simulação → validação de desenquadramento → conclusão.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Proposta de arquitetura de orquestração (Motor de Orquestração + BFF de Pré-Contratação).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Mapeamento das regras de negócio descritas às 8 APIs hoje utilizadas, com as rotas atuais citadas.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Modelo de estados da jornada.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Contrato de interface proposto (ilustrativo) para o motor agnóstico.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Lista de pontos em aberto que precisam de detalhamento com os times donos de cada API.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2.2 Fora do escopo (nesta versão)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>Definição fechada de payloads/contratos técnicos reais de cada endpoint das APIs 1 a 8 — os nomes de rota usados aqui são referências para conexão do fluxo, a detalhar. Um template estruturado para capturar esses contratos, por API, já está disponível na seção 8 (Fichas de Endpoint).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Regras específicas de produtos de investimento além de fundos (a solução é desenhada para permitir extensão, mas o desenho detalhado aqui é o de fundos).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Layout/UX final das telas de vitrine e dos steps do fluxo transacional.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Visão Geral da Solução Proposta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3.1 O problema a resolver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decisão de "o cliente pode seguir?" e "quais passos faltam antes de concluir a contratação?" depende de regras de perfil, suitability, termos e cadastro que já existem nas APIs 3, 4, 5 e 8. Hoje essa composição de regras tende a ficar implícita dentro do fluxo de cada produto. Isso cria dois riscos: retrabalho quando outro time (outro produto) precisa da mesma validação, e divergência de regra entre jornadas.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3.2 A proposta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Criar um Motor de Orquestração de Pré-Contratação: um componente central (serviço próprio ou camada dedicada dentro de um BFF) responsável por consultar as APIs de domínio e devolver um "checklist" de pendências e o conjunto de steps que o fluxo transacional deve apresentar para aquele cliente e aquele produto — independente de qual vitrine ou qual produto está chamando.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Esse motor não substitui as APIs 1 a 8: ele orquestra e interpreta as respostas delas, aplicando a árvore de decisão de negócio descrita na seção 5, e devolve uma resposta agnóstica de canal (web, app) e de produto (fundos hoje, outros produtos amanhã).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3.3 Padrão técnico sugerido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Motor de regras implementado como uma máquina de estados finita (FSM), onde cada estado representa um ponto da jornada (ver seção 6).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Cada regra de negócio (perfil vigente, termo geral assinado, termo do produto, pendência cadastral, elegibilidade CVM50, desenquadramento) é encapsulada em um "verificador" próprio, que isola a chamada à API de domínio correspondente.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BFF de Pré-Contratação conversa apenas com o motor; o motor conversa com as APIs 1, 3, 4, 5, 6, 7 e 8. O fluxo transacional (API 2) recebe do BFF a lista de steps a apresentar.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3.4 Benefícios esperados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Reuso do motor por outros times/produtos que também precisem validar perfil, termo e cadastro antes de uma contratação.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 de negócio centralizada e versionada em um único lugar, reduzindo divergência entre jornadas.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Mudanças regulatórias (ex.: nova regra de suitability ou novo termo obrigatório) são alteradas no motor, sem exigir alteração em cada fluxo de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Fluxo transacional (API 2) fica mais simples: ele executa os steps que o motor determinar, sem precisar conhecer a árvore de decisão completa.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Arquitetura da Solução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figura abaixo representa os componentes propostos e como eles se conectam às APIs hoje existentes.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645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Fonte editável: </w:t>
      </w:r>
      <w:r>
        <w:rPr>
          <w:i/>
          <w:iCs/>
          <w:color w:val="595959"/>
          <w:sz w:val="20"/>
          <w:szCs w:val="20"/>
        </w:rPr>
        <w:t>figura1_componentes.dot (Graphviz) — ver seção 13 para detalhes de como editar e re-renderizar.</w:t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Figura 1 — Visão de componentes: Vitrine, BFF de Pré-Contratação, Motor de Orquestração e APIs de domínio.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4.1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3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/ Vitrine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Interface web/app onde o cliente visualiza produtos, posições e eventuais banners de pendência.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BFF de Pré-Contratação</w:t>
            </w:r>
          </w:p>
        </w:tc>
        <w:tc>
          <w:tcPr>
            <w:tcW w:type="dxa" w:w="73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Camada de orquestração de tela: agrega a resposta do Motor de Orquestração e conteúdo de vitrine/catálogo (API 7) e posições (API 1) para montar a experiência do cliente. Direciona para o fluxo transacional com os steps definidos.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de Orquestração de Pré-Contratação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Componente novo e agnóstico proposto neste documento. Aplica a árvore de decisão de negócio (seção 5), consultando as APIs 1, 3, 4, 5, 6, 7 e 8, e devolve o checklist de pendências e os steps necessários.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Fluxo Transacional / API 2</w:t>
            </w:r>
          </w:p>
        </w:tc>
        <w:tc>
          <w:tcPr>
            <w:tcW w:type="dxa" w:w="73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Executa a contratação em si (sequencial), incorporando os steps adicionais (assinatura de termo, coleta de perfil, ciência de desenquadramento) indicados pelo motor. Aciona a API 3 para persistência de termos.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APIs 1, 3, 4, 5, 6, 7, 8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APIs de domínio já existentes, mantidas por outros times, conforme descrito na seção 7.</w:t>
            </w:r>
          </w:p>
        </w:tc>
      </w:tr>
    </w:tbl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>O Motor de Orquestração pode nascer como uma camada dentro do BFF (mais rápido de entregar) e evoluir para um serviço próprio quando outro time de fato precisar reutilizá-lo — mas o contrato de interface (seção 9) já deve ser desenhado como se fosse um serviço independente, para não gerar acoplamento desnecessário com a Vitrine de fundos.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Fluxo de Negócio Ponta a Ponta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figura abaixo representa a árvore de decisão descrita para a jornada de pré-contratação de fundos.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713783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1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Fonte editável: </w:t>
      </w:r>
      <w:r>
        <w:rPr>
          <w:i/>
          <w:iCs/>
          <w:color w:val="595959"/>
          <w:sz w:val="20"/>
          <w:szCs w:val="20"/>
        </w:rPr>
        <w:t>figura2_fluxo_decisao.dot (Graphviz) — ver seção 13 para detalhes de como editar e re-renderizar.</w:t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Figura 2 — Fluxo de decisão da pré-contratação, da vitrine até a conclusão.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5.1 Passo a passo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1. Acesso à vitrine — </w:t>
      </w:r>
      <w:r>
        <w:rPr>
          <w:sz w:val="21"/>
          <w:szCs w:val="21"/>
        </w:rPr>
        <w:t xml:space="preserve">O cliente acessa a vitrine de investimentos em fundos. O motor consulta se o cliente possui perfil de investimento vigente (API 4) ou termo já assinado (API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2a. Sem pendência — </w:t>
      </w:r>
      <w:r>
        <w:rPr>
          <w:sz w:val="21"/>
          <w:szCs w:val="21"/>
        </w:rPr>
        <w:t xml:space="preserve">Se possui perfil ou termo, a vitrine é exibida normalmente e o cliente pode selecionar um produto para investir/aplicar, seguindo direto para o fluxo transacional.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2b. Com pendência — </w:t>
      </w:r>
      <w:r>
        <w:rPr>
          <w:sz w:val="21"/>
          <w:szCs w:val="21"/>
        </w:rPr>
        <w:t xml:space="preserve">Se não possui, a vitrine exibe um banner de pendência — mas a seleção de produto continua liberada mesmo assim.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3. Seleção de produto — </w:t>
      </w:r>
      <w:r>
        <w:rPr>
          <w:sz w:val="21"/>
          <w:szCs w:val="21"/>
        </w:rPr>
        <w:t xml:space="preserve">Em ambos os casos o cliente escolhe o produto. O motor verifica se aquele produto tem um termo pré-determinado associado (atributo do catálogo, API 7, cruzado com as regras de termo da 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4a. Termo pré-determinado existe — </w:t>
      </w:r>
      <w:r>
        <w:rPr>
          <w:sz w:val="21"/>
          <w:szCs w:val="21"/>
        </w:rPr>
        <w:t xml:space="preserve">O cliente é direcionado ao fluxo transacional (API 2) com um step adicional para assinatura do termo específico do produto — apresentando o termo ou a rota adequada para aquele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4b. Termo pré-determinado não existe — </w:t>
      </w:r>
      <w:r>
        <w:rPr>
          <w:sz w:val="21"/>
          <w:szCs w:val="21"/>
        </w:rPr>
        <w:t xml:space="preserve">O cliente também é direcionado ao fluxo transacional (API 2), mas com um step adicional genérico (ver item 5) em vez do termo específico do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5. Step de coleta — </w:t>
      </w:r>
      <w:r>
        <w:rPr>
          <w:sz w:val="21"/>
          <w:szCs w:val="21"/>
        </w:rPr>
        <w:t xml:space="preserve">Em ambos os caminhos (4a/4b), o step adicional do fluxo transacional oferece ao cliente as opções de: preencher o perfil de investidor (API 4); preencher o termo de investidor qualificado ou profissional (TIQ/TIP); preencher o TDI — Termo de Investidor; ou seguir sem perfil/termo, mantendo a pendência.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6. Simulação — </w:t>
      </w:r>
      <w:r>
        <w:rPr>
          <w:sz w:val="21"/>
          <w:szCs w:val="21"/>
        </w:rPr>
        <w:t xml:space="preserve">Concluído o step de coleta (ou a opção de seguir sem perfil), o cliente avança para a simulação do produto escolhido (dados de posição/benchmark da API 1, saldo da API 6).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7. Verificação de desenquadramento — </w:t>
      </w:r>
      <w:r>
        <w:rPr>
          <w:sz w:val="21"/>
          <w:szCs w:val="21"/>
        </w:rPr>
        <w:t xml:space="preserve">Após a simulação, o motor verifica se a operação gera desenquadramento do perfil do cliente em relação à política da empresa para aquele produto (API 4).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8a. Desenquadra — </w:t>
      </w:r>
      <w:r>
        <w:rPr>
          <w:sz w:val="21"/>
          <w:szCs w:val="21"/>
        </w:rPr>
        <w:t xml:space="preserve">Se houver desenquadramento, é apresentado o termo de ciência de desenquadramento; após a assinatura, o cliente conclui a contratação.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8b. Não desenquadra — </w:t>
      </w:r>
      <w:r>
        <w:rPr>
          <w:sz w:val="21"/>
          <w:szCs w:val="21"/>
        </w:rPr>
        <w:t xml:space="preserve">Se não houver desenquadramento, não existe termo adicional e o cliente conclui a contratação diretamente.</w:t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>A validação de pendências cadastrais (API 8) e de elegibilidade/CVM 50 e entes públicos (API 5), citadas no início da demanda, não estavam detalhadas na árvore de decisão original. A recomendação técnica é tratá-las no mesmo ponto de decisão do passo 1 (compondo o mesmo checklist de pendências e o mesmo banner da vitrine) e, quando aplicável, revalidá-las antes da efetivação (passo 8). Esse ponto precisa ser confirmado com o time de negócio — ver seção 11.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Máquina de Estados da Jornada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Proposta de estados para o Motor de Orquestração controlar a jornada de forma explícita e auditável.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26"/>
        <w:gridCol w:w="23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 de entrada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Próximo(s) estado(s)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INICIO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acessa a vitrine de fundos.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Acesso à vitrine.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VITRINE_LIBERADA ou VITRINE_COM_PENDENCIA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VITRINE_LIBERADA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possui perfil/termo vigente; sem banner.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ou termo OK (API 3 / API 4).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VITRINE_COM_PENDENCIA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 exibida com banner; seleção segue liberada.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e termo ausentes (API 3 / API 4).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escolheu um produto para investir/aplicar.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Seleção na vitrine (API 7).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STEPS_DEFINIDOS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STEPS_DEFINIDOS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calcula se há termo pré-determinado do produto e monta os steps do fluxo transacional.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a atributos do produto (API 7) e regras de termo (API 3).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COLETA_PERFIL_TERMO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COLETA_PERFIL_TERMO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do fluxo transacional: preenche perfil, TIQ/TIP, TDI, ou segue sem perfil.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Entrada no fluxo transacional (API 2).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SIMULACAO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SIMULACAO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Simulação do produto (valores, benchmark, saldo).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Perfil/termo tratado (ou pendência aceita).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VALIDACAO_ENQUADRAMENTO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VALIDACAO_ENQUADRAMENTO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verifica desenquadramento do perfil frente à política da empresa.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Simulação concluída (API 4).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TERMO_DESENQUADRAMENTO ou CONCLUIDO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TERMO_DESENQUADRAMENTO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Apresenta e coleta a assinatura do termo de ciência de desenquadramento.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Desenquadramento identificado.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CONCLUIDO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CONCLUIDO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Contratação efetivada.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2º fator validado e termos assinados (API 2).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Mapeamento de Regras de Negócio × APIs × Rotas Atuais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Tabela de referência para conectar cada ponto da jornada às APIs e rotas já existentes, citadas na demanda original. Onde a regra ainda não está clara o suficiente para apontar uma rota única, foi marcada como "a detalhar".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626"/>
        <w:gridCol w:w="2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 / etapa de negócio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6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Rota atual de referência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perfil de investimento vigente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de investidor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no ponto de decisão inicial (passo 1).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termo geral já assinado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 (consulta)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no ponto de decisão inicial (passo 1), em conjunto com o perfil.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Exibir catálogo de produtos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7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catálogo de produto de fundos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Alimenta a vitrine (BFF).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posições do cliente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de posições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Alimenta a vitrine (BFF).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fundos elegíveis para aplicação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fundos elegíveis para aplicação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Filtra produtos exibidos/selecionáveis.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saldo disponível em conta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6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saldo disponível em conta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simulação e antes da efetivação.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Verificar se produto tem termo pré-determinado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7 + 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catálogo de produto de fundos / termo de ciência de risco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o atributo "termo obrigatório" vive no catálogo (API 7) ou na regra de suitability (API 3).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específico do produto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 (via API 2)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adicionado ao fluxo transacional (passo 4a).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Iniciar / pré-validar contratação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consulta/pré-validação de contratação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Ponto de entrada do fluxo transacional após seleção do produto.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Preencher perfil de investidor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de investidor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Uma das opções do step de coleta (passo 5).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de investidor qualificado/profissional (TIQ/TIP)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nome oficial do termo (o texto original cita "TCQ") e regra de elegibilidade associada.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TDI — Termo de Investidor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em que caso o TDI é oferecido em vez do TIQ/TIP.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Seguir sem perfil / manter pendência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qual API registra que o cliente optou por seguir sem perfil (auditoria/compliance).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validações de suitability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suitability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na simulação e na verificação de desenquadramento.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benchmarks do produto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benchmarks dos produtos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tela de simulação (passo 6).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Verificar desenquadramento de perfil x produto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suitability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Ponto de decisão do passo 7.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de ciência de desenquadramento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 de ciência de risco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do passo 8a.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Criar a contratação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cria a contratação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Efetivação, após todos os steps concluídos.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Efetivar contratação (2º fator)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efetivar contratação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Conclusão final da jornada (passo 8a/8b).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Validações/permissão de aplicação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 / 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validações/permissão de aplicação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é regra de suitability, de saldo, ou combinação de ambas.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documentos do fundo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documentos do fundo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Apoio informativo na vitrine/simulação, fora da árvore de decisão principal.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Consultar/registrar movimentos solicitados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movimentos solicitados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formalização remota (fora do escopo direto desta jornada, mas compartilha regra de termos).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Validar pendências cadastrais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8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dados cadastrais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compõe o checklist inicial (passo 1) e/ou bloqueia a efetivação (passo 8).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CVM 50, entes públicos e elegibilidade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5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de CVM 50, entes públicos e elegibilidade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aplicável a perfis específicos de cliente (ex.: entes públicos); confirmar em que ponto da jornada entra.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saldo investido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6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saldo investido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Apoio informativo na vitrine/posições.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8. Fichas de Endpoint — Contratos e Regras de Negócio (Hoje × Novo Fluxo)</w:t>
      </w:r>
    </w:p>
    <w:p>
      <w:pPr>
        <w:spacing w:after="160" w:line="300"/>
      </w:pPr>
      <w:r>
        <w:rPr>
          <w:color w:val="000000"/>
          <w:sz w:val="21"/>
          <w:szCs w:val="21"/>
        </w:rPr>
        <w:t>Esta seção traz uma ficha por API (1 a 8) para registrar, em um único lugar, a rota atual, a regra de negócio de hoje, o papel da API no novo fluxo do Motor de Orquestração e o contrato técnico (request/response). As linhas de contrato estão marcadas como “a preencher” — use esta estrutura como o formulário de trabalho ao validar cada API com o time dono.</w:t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>duplique o padrão de tabela desta seção para novos endpoints que entrarem no escopo; mantenha sempre as mesmas sete linhas (rota, regra hoje, regra no novo fluxo, request, response, autenticação, pendências) para preservar a consistência do documento.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8.1 API 1 — Fundos de Investimento (posições, movimentos, documentos, elegibilidade)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1 — Fundos de Investimento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 de posições · Fundos elegíveis para aplicação · Benchmarks dos produtos · Documentos do fundo · Movimentos solicitados.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Fornece dados de posição do cliente, fundos elegíveis para aplicação, benchmarks dos produtos, documentos do fundo e movimentos solicitados; hoje consumida de forma pontual por cada tela que precisa desses dados.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O BFF consulta para montar a vitrine (posições, documentos, apoio informativo) e para filtrar os produtos elegíveis na seleção (passo 3). O motor consulta o benchmark do produto durante a simulação (passo 6).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Nenhuma pendência de fluxo mapeada nesta versão; falta apenas fechar o contrato técnico real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8.2 API 2 — Contratação / Resgate e Termos (Fluxo Transacional)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2 — Fluxo Transacional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 / pré-validação de contratação · Cria a contratação · Efetivar contratação (2º fator) · Validações / permissão de aplicação.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Executa a contratação de forma sequencial e transacional; a efetivação só ocorre após os termos assinados e o segundo fator validado.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Recebe do BFF a lista de “stepsNecessarios” definida pelo motor e incorpora esses steps (assinatura de termo, coleta de perfil, ciência de desenquadramento) antes da efetivação; aciona a API 3 para persistir cada termo assinado.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Confirmar se “validações/permissão de aplicação” é regra de suitability, de saldo, ou combinação de ambas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8.3 API 3 — Termos / Suitability (persistência de termos)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3 — Termos / Suitability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Assinatura de termos (consulta) · Assinatura de termos (registro) · Termo de ciência de risco.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Registra e consulta a assinatura de termos gerais e específicos do cliente.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Consultada pelo motor no passo 1 (termo geral assinado?) e no passo 3 (produto tem termo pré-determinado?, cruzado com a API 7); acionada pelo fluxo transacional (API 2) para persistir cada termo coletado nos steps (termo do produto, TIQ/TIP, TDI, termo de ciência de desenquadramento).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Confirmar nome oficial do termo de investidor qualificado/profissional (o texto original cita “TCQ”); confirmar quando oferecer TIQ/TIP vs. TDI; confirmar se o atributo “termo pré-determinado” vive na API 7 ou na API 3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8.4 API 4 — Suitability / Enquadramento de Perfil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4 — Suitability / Enquadramento de Perfil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Perfil de investidor · Validações de suitability.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Mantém o perfil de investimento do cliente e as validações de suitability.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Consultada pelo motor no passo 1 (perfil vigente?), no step de coleta (preenchimento do perfil) e no passo 7 (verificação de desenquadramento do perfil frente à política da empresa, após a simulação).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Critério exato de cálculo do desenquadramento — antes ou depois da simulação, e quais variáveis entram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8.5 API 5 — CVM 50, Entes Públicos e Elegibilidade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5 — CVM 50 / Entes Públicos / Elegibilidade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 de CVM 50, entes públicos e elegibilidade.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Não estava detalhada na árvore de decisão original recebida com a demanda.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Proposta: compor o checklist do passo 1 junto com perfil/termo/cadastro, e revalidar antes da efetivação (passo 8), aplicável a perfis específicos de cliente — a confirmar com negócio.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Em que ponto exato da jornada entra e para quais perfis de cliente é aplicável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8.6 API 6 — Contas e Saldos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6 — Contas e Saldos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Saldo disponível em conta · Saldo investido.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Fornece o saldo disponível e o saldo investido do cliente.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Saldo disponível usado na simulação (passo 6) e antes da efetivação; saldo investido como apoio informativo na vitrine/posições.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Nenhuma pendência de fluxo mapeada nesta versão.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8.7 API 7 — Vitrine / Catálogo de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7 — Vitrine / Catálogo de Produtos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Catálogo de produto de fundos.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Alimenta a vitrine com os produtos de fundos disponíveis para o cliente.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Consultada pelo motor no passo 3 para verificar se o produto selecionado tem termo pré-determinado (atributo do catálogo, cruzado com a regra de termo da API 3); alimenta o BFF para montar a tela de vitrine.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Confirmar se o atributo “produto possui termo pré-determinado” deve viver no catálogo (API 7) ou na engine de suitability (API 3) (ver seção 11).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8.8 API 8 — Dados Cadastrais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20"/>
                <w:szCs w:val="20"/>
              </w:rPr>
              <w:t>API 8 — Dados Cadastrais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Rota(s) atual(is) referenciada(s)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Validações de dados cadastrais.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Regra de negócio HOJE (fluxo atual)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Não estava detalhada na árvore de decisão original recebida com a demanda.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Papel no NOVO FLUXO (Motor de Orquestração)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Proposta: compor o checklist/banner do passo 1 e, possivelmente, bloquear a efetivação no passo 8 — a confirmar com negócio.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Request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Contrato — Response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com o time dono da API — payload, campos, tipos, obrigatoriedade]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Autenticação / Headers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[A preencher — mecanismo de autenticação, headers obrigatórios, versionamento]</w:t>
            </w:r>
          </w:p>
        </w:tc>
      </w:tr>
      <w:tr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1F4E79"/>
                <w:sz w:val="17"/>
                <w:szCs w:val="17"/>
              </w:rPr>
              <w:t>Pendências / perguntas em aberto</w:t>
            </w:r>
          </w:p>
        </w:tc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Confirmar se a pendência cadastral compõe apenas o banner inicial, bloqueia a efetivação, ou ambos (ver seção 11).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9. Contrato de Interface Proposto do Motor de Orquestração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Proposta ilustrativa de contrato para o motor agnóstico — nomes de campos e rota são exemplificativos e devem ser ajustados ao padrão de API interno da empresa.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9.1 Consulta de checklist de pré-contratação</w:t>
      </w:r>
    </w:p>
    <w:p>
      <w:pPr>
        <w:spacing w:after="160" w:line="30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GET /pre-contratacao/v1/checklist?clienteId={id}&amp;produtoId={id}&amp;canal={web|app}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Resposta ilustrativa: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{
  "clienteId": "123456",
  "produtoId": "FIC-RF-001",
  "pendencias": {
    "perfilInvestidor": false,
    "termoGeralAssinado": false,
    "pendenciaCadastral": false,
    "elegibilidadeCvm50": true
  },
  "produto": {
    "possuiTermoPreDeterminado": true,
    "termoId": "TERMO-FIC-RF-001"
  },
  "stepsNecessarios": [
    "ASSINATURA_TERMO_PRODUTO",
    "COLETA_PERFIL_OU_TERMO",
    "SIMULACAO",
    "VALIDACAO_ENQUADRAMENTO"
  ],
  "estadoAtual": "STEPS_DEFINIDOS"
}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>9.2 Registro de conclusão de um step (opcional)</w:t>
      </w:r>
    </w:p>
    <w:p>
      <w:pPr>
        <w:spacing w:after="160" w:line="30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POST /pre-contratacao/v1/eventos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Usado pelo fluxo transacional (API 2) para informar ao motor que um step foi concluído (ex.: termo assinado, perfil preenchido), permitindo recalcular o checklist e o próximo estado.</w:t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Este contrato é um ponto de partida para discussão com o time de arquitetura; o formato final deve seguir o padrão de API já adotado internamente (autenticação, versionamento, tratamento de erro).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10. Considerações para Frontend e BFF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frontend consome uma única chamada de "checklist" do BFF de Pré-Contratação, sem precisar saber quais das 8 APIs geraram cada pendência — isso mantém o frontend agnóstico e simplifica a manutenção.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banner de pendência da vitrine e os steps do fluxo transacional podem ser guiados pelo mesmo campo "stepsNecessarios", evitando lógica de negócio duplicada em telas diferentes.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Como a jornada é sequencial (cada passo depende do anterior), o BFF deve tratar o "estadoAtual" retornado pelo motor como fonte de verdade para decidir qual tela/step mostrar a seguir, evitando que o frontend precise reconstruir essa lógica.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Para outros times reaproveitarem o motor, a integração recomendada é via chamada direta ao motor (e não ao BFF de fundos), preservando o desacoplamento.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11. Pontos em Aberto para Validação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Itens que dependem de definição com os times donos das APIs 1 a 8 e/ou com o time de negócio antes da construção: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Contratos técnicos reais (payload, autenticação, códigos de erro) de cada rota listada na seção 7.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Onde exatamente a pendência cadastral (API 8) entra na árvore de decisão: compõe o banner inicial, bloqueia a efetivação, ou ambos.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Em que ponto da jornada a consulta de CVM 50/entes públicos/elegibilidade (API 5) deve ocorrer, e para quais perfis de cliente ela é aplicável.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 exata de quando oferecer o termo de investidor qualificado/profissional (TIQ/TIP) versus o TDI — o texto original cita "TCQ", que precisa ser confirmado como o nome correto do termo.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Onde e como se registra a opção do cliente de "seguir sem perfil", para fins de auditoria e compliance.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Se o atributo "produto possui termo pré-determinado" deve viver no catálogo (API 7) ou na engine de suitability (API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Critério exato de cálculo do desenquadramento de perfil frente à política da empresa (API 4): calculado antes ou depois da simulação, e quais variáveis entram.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SLA e estratégia de contingência (timeout, fallback) para cada API consultada pelo motor.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Formato definitivo do contrato do motor de orquestração, alinhado ao padrão de API interno.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12. Próximos Passos Sugeridos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>Validar com os times donos das APIs 1 a 8 o mapeamento da seção 7 e destravar os pontos em aberto da seção 11.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Detalhar os contratos técnicos (payloads reais) das rotas necessárias ao motor.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Prototipar o Motor de Orquestração (mesmo com respostas mockadas) para validar a máquina de estados junto ao time de negócio.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Definir, com o time de arquitetura, se o motor nasce como camada do BFF de fundos ou como serviço independente desde o início.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Planejar a extensão do motor para outros produtos além de fundos, usando fundos como piloto.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13. Arquivos Complementares Entregues com Este Documento</w:t>
      </w:r>
    </w:p>
    <w:p>
      <w:pPr>
        <w:spacing w:after="160" w:line="300"/>
      </w:pPr>
      <w:r>
        <w:rPr>
          <w:color w:val="000000"/>
          <w:sz w:val="21"/>
          <w:szCs w:val="21"/>
        </w:rPr>
        <w:t>Além deste Word, esta atualização é entregue com os seguintes arquivos, para facilitar versionamento e futuras alterações: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>documento_tecnico_pre_contratacao_fundos_v0.2.docx</w:t>
      </w:r>
      <w:r>
        <w:rPr>
          <w:sz w:val="21"/>
          <w:szCs w:val="21"/>
        </w:rPr>
        <w:t xml:space="preserve"> — este documento.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>documento_tecnico_pre_contratacao_fundos_v0.2.md</w:t>
      </w:r>
      <w:r>
        <w:rPr>
          <w:sz w:val="21"/>
          <w:szCs w:val="21"/>
        </w:rPr>
        <w:t xml:space="preserve"> — versão Markdown equivalente, adequada para versionar em repositório de código (git).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>figura1_componentes.dot / figura1_componentes.png</w:t>
      </w:r>
      <w:r>
        <w:rPr>
          <w:sz w:val="21"/>
          <w:szCs w:val="21"/>
        </w:rPr>
        <w:t xml:space="preserve"> — diagrama de componentes (Figura 1); fonte editável em Graphviz DOT.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>figura2_fluxo_decisao.dot / figura2_fluxo_decisao.png</w:t>
      </w:r>
      <w:r>
        <w:rPr>
          <w:sz w:val="21"/>
          <w:szCs w:val="21"/>
        </w:rPr>
        <w:t xml:space="preserve"> — diagrama de fluxo de decisão (Figura 2); fonte editável em Graphviz DOT.</w:t>
      </w:r>
    </w:p>
    <w:p>
      <w:pPr>
        <w:spacing w:after="160" w:line="300"/>
      </w:pPr>
      <w:r>
        <w:rPr>
          <w:b/>
          <w:bCs/>
          <w:color w:val="000000"/>
          <w:sz w:val="21"/>
          <w:szCs w:val="21"/>
        </w:rPr>
        <w:t xml:space="preserve">Como editar os diagramas: </w:t>
      </w:r>
      <w:r>
        <w:rPr>
          <w:color w:val="000000"/>
          <w:sz w:val="21"/>
          <w:szCs w:val="21"/>
        </w:rPr>
        <w:t>abra o arquivo .dot em qualquer editor de texto (ou em https://dreampuf.github.io/GraphvizOnline/ para pré-visualizar), ajuste nós, rótulos, cores ou setas, e gere a imagem novamente com “dot -Tpng arquivo.dot -o arquivo.png” (requer Graphviz instalado) ou pelo próprio editor online.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>14. Registro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type="dxa" w:w="58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FFFFFF"/>
                <w:sz w:val="18"/>
                <w:szCs w:val="18"/>
              </w:rPr>
              <w:t>Alteração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000000"/>
                <w:sz w:val="17"/>
                <w:szCs w:val="17"/>
              </w:rPr>
              <w:t>0.1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Julho/2026</w:t>
            </w:r>
          </w:p>
        </w:tc>
        <w:tc>
          <w:tcPr>
            <w:tcW w:type="dxa" w:w="58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Rascunho inicial para validação com Engenharia e Negócio.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bCs/>
                <w:color w:val="000000"/>
                <w:sz w:val="17"/>
                <w:szCs w:val="17"/>
              </w:rPr>
              <w:t>0.2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26/07/2026</w:t>
            </w:r>
          </w:p>
        </w:tc>
        <w:tc>
          <w:tcPr>
            <w:tcW w:type="dxa" w:w="58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/>
            <w:r>
              <w:rPr>
                <w:color w:val="000000"/>
                <w:sz w:val="17"/>
                <w:szCs w:val="17"/>
              </w:rPr>
              <w:t>Adição da seção 8 (Fichas de Endpoint — rota, regra hoje x novo fluxo e contrato, por API); diagramas de arquitetura passam a ter arquivos-fonte editáveis separados (.dot); geração de versão Markdown do documento; ajuste de numeração das seções 9 a 12; pequenas atualizações de referências cruzadas.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a92fb58326ecd7a61395eb7e5b8b8b62e2249d.png"/><Relationship Id="rId8" Type="http://schemas.openxmlformats.org/officeDocument/2006/relationships/image" Target="media/18b52742ba925c01d3d909a8973bfcebfa0dbbc7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2026-07-26T16:42:56.032Z</dcterms:created>
  <dcterms:modified xsi:type="dcterms:W3CDTF">2026-07-26T16:42:56.044Z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