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87757">
      <w:pPr>
        <w:spacing w:before="280" w:after="120"/>
        <w:jc w:val="center"/>
      </w:pPr>
      <w:r>
        <w:rPr>
          <w:rFonts w:ascii="微软雅黑" w:hAnsi="微软雅黑" w:eastAsia="微软雅黑"/>
          <w:b/>
          <w:sz w:val="40"/>
        </w:rPr>
        <w:t>04 · 交付验收与后续规划</w:t>
      </w:r>
    </w:p>
    <w:p w14:paraId="63C5F9E4">
      <w:pPr>
        <w:ind w:left="320"/>
      </w:pPr>
      <w:r>
        <w:rPr>
          <w:rFonts w:ascii="微软雅黑" w:hAnsi="微软雅黑" w:eastAsia="微软雅黑"/>
          <w:color w:val="555555"/>
          <w:sz w:val="20"/>
        </w:rPr>
        <w:t>本文说明校验体系、评测指标、已知问题与后续路线图。</w:t>
      </w:r>
    </w:p>
    <w:p w14:paraId="0A07DC09">
      <w:pPr>
        <w:ind w:left="320"/>
      </w:pPr>
      <w:r>
        <w:rPr>
          <w:rFonts w:ascii="微软雅黑" w:hAnsi="微软雅黑" w:eastAsia="微软雅黑"/>
          <w:color w:val="555555"/>
          <w:sz w:val="20"/>
        </w:rPr>
        <w:t>与代码库同步版本：2026-10-24</w:t>
      </w:r>
    </w:p>
    <w:p w14:paraId="1CDDDE05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F4C26CD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一、交付物清单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4406"/>
        <w:gridCol w:w="2880"/>
      </w:tblGrid>
      <w:tr w14:paraId="7B66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661BE6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w="4406" w:type="dxa"/>
          </w:tcPr>
          <w:p w14:paraId="0D95A3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w="2880" w:type="dxa"/>
          </w:tcPr>
          <w:p w14:paraId="37DF8C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 w14:paraId="1CED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6B9875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可运行系统</w:t>
            </w:r>
          </w:p>
        </w:tc>
        <w:tc>
          <w:tcPr>
            <w:tcW w:w="4406" w:type="dxa"/>
          </w:tcPr>
          <w:p w14:paraId="7AC012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纯静态 SPA</w:t>
            </w:r>
          </w:p>
        </w:tc>
        <w:tc>
          <w:tcPr>
            <w:tcW w:w="2880" w:type="dxa"/>
          </w:tcPr>
          <w:p w14:paraId="61C2768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prototype/</w:t>
            </w:r>
            <w:r>
              <w:rPr>
                <w:rFonts w:ascii="微软雅黑" w:hAnsi="微软雅黑" w:eastAsia="微软雅黑"/>
                <w:sz w:val="19"/>
              </w:rPr>
              <w:t>（单独拷走即可运行）</w:t>
            </w:r>
          </w:p>
        </w:tc>
      </w:tr>
      <w:tr w14:paraId="6E0E0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461D0E69">
            <w:pPr>
              <w:spacing w:after="0" w:line="240" w:lineRule="auto"/>
            </w:pPr>
          </w:p>
        </w:tc>
        <w:tc>
          <w:tcPr>
            <w:tcW w:w="4406" w:type="dxa"/>
          </w:tcPr>
          <w:p w14:paraId="3FF269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后端服务</w:t>
            </w:r>
          </w:p>
        </w:tc>
        <w:tc>
          <w:tcPr>
            <w:tcW w:w="2880" w:type="dxa"/>
          </w:tcPr>
          <w:p w14:paraId="3A9BD85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backend/</w:t>
            </w:r>
            <w:r>
              <w:rPr>
                <w:rFonts w:ascii="微软雅黑" w:hAnsi="微软雅黑" w:eastAsia="微软雅黑"/>
                <w:sz w:val="19"/>
              </w:rPr>
              <w:t>（FastAPI + SQLite + 向量）</w:t>
            </w:r>
          </w:p>
        </w:tc>
      </w:tr>
      <w:tr w14:paraId="2882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5709D0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w="4406" w:type="dxa"/>
          </w:tcPr>
          <w:p w14:paraId="76522B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18,785 部法规 / 339,351 条条文 / 2.71 亿字</w:t>
            </w:r>
          </w:p>
        </w:tc>
        <w:tc>
          <w:tcPr>
            <w:tcW w:w="2880" w:type="dxa"/>
          </w:tcPr>
          <w:p w14:paraId="37542F4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prototype/data/laws/</w:t>
            </w:r>
          </w:p>
        </w:tc>
      </w:tr>
      <w:tr w14:paraId="40AA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3166E788">
            <w:pPr>
              <w:spacing w:after="0" w:line="240" w:lineRule="auto"/>
            </w:pPr>
          </w:p>
        </w:tc>
        <w:tc>
          <w:tcPr>
            <w:tcW w:w="4406" w:type="dxa"/>
          </w:tcPr>
          <w:p w14:paraId="3F52E3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译文层 21 分卷 / 1,566 部 / 60,084 条</w:t>
            </w:r>
          </w:p>
        </w:tc>
        <w:tc>
          <w:tcPr>
            <w:tcW w:w="2880" w:type="dxa"/>
          </w:tcPr>
          <w:p w14:paraId="7CB9BAD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prototype/data/trans/</w:t>
            </w:r>
          </w:p>
        </w:tc>
      </w:tr>
      <w:tr w14:paraId="7CF5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2AF6B158">
            <w:pPr>
              <w:spacing w:after="0" w:line="240" w:lineRule="auto"/>
            </w:pPr>
          </w:p>
        </w:tc>
        <w:tc>
          <w:tcPr>
            <w:tcW w:w="4406" w:type="dxa"/>
          </w:tcPr>
          <w:p w14:paraId="57BFA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中文标题 18,746 条（99.79%）</w:t>
            </w:r>
          </w:p>
        </w:tc>
        <w:tc>
          <w:tcPr>
            <w:tcW w:w="2880" w:type="dxa"/>
          </w:tcPr>
          <w:p w14:paraId="3805C9A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prototype/data/title-zh/</w:t>
            </w:r>
          </w:p>
        </w:tc>
      </w:tr>
      <w:tr w14:paraId="1AD0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2EC02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</w:t>
            </w:r>
          </w:p>
        </w:tc>
        <w:tc>
          <w:tcPr>
            <w:tcW w:w="4406" w:type="dxa"/>
          </w:tcPr>
          <w:p w14:paraId="4985F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本 11 份</w:t>
            </w:r>
          </w:p>
        </w:tc>
        <w:tc>
          <w:tcPr>
            <w:tcW w:w="2880" w:type="dxa"/>
          </w:tcPr>
          <w:p w14:paraId="1B9667E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docs/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deliverables/</w:t>
            </w:r>
          </w:p>
        </w:tc>
      </w:tr>
      <w:tr w14:paraId="77BF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1521F3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校验工具</w:t>
            </w:r>
          </w:p>
        </w:tc>
        <w:tc>
          <w:tcPr>
            <w:tcW w:w="4406" w:type="dxa"/>
          </w:tcPr>
          <w:p w14:paraId="29B824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 个检查器</w:t>
            </w:r>
          </w:p>
        </w:tc>
        <w:tc>
          <w:tcPr>
            <w:tcW w:w="2880" w:type="dxa"/>
          </w:tcPr>
          <w:p w14:paraId="6A9F553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</w:t>
            </w:r>
            <w:r>
              <w:rPr>
                <w:rFonts w:ascii="微软雅黑" w:hAnsi="微软雅黑" w:eastAsia="微软雅黑"/>
                <w:sz w:val="19"/>
              </w:rPr>
              <w:t xml:space="preserve"/>
            </w:r>
            <w:r>
              <w:rPr>
                <w:rFonts w:ascii="Consolas" w:hAnsi="Consolas" w:eastAsia="Consolas"/>
                <w:sz w:val="18"/>
              </w:rPr>
              <w:t/>
            </w:r>
          </w:p>
        </w:tc>
      </w:tr>
      <w:tr w14:paraId="2C1B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dxa"/>
          </w:tcPr>
          <w:p w14:paraId="525D4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w="4406" w:type="dxa"/>
          </w:tcPr>
          <w:p w14:paraId="7A5300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Dockerfile / compose / Nginx 示例</w:t>
            </w:r>
          </w:p>
        </w:tc>
        <w:tc>
          <w:tcPr>
            <w:tcW w:w="2880" w:type="dxa"/>
          </w:tcPr>
          <w:p w14:paraId="3620CB8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backend/</w:t>
            </w:r>
            <w:r>
              <w:rPr>
                <w:rFonts w:ascii="微软雅黑" w:hAnsi="微软雅黑" w:eastAsia="微软雅黑"/>
                <w:sz w:val="19"/>
              </w:rPr>
              <w:t xml:space="preserve"> + 根目录</w:t>
            </w:r>
          </w:p>
        </w:tc>
      </w:tr>
    </w:tbl>
    <w:p w14:paraId="683C70D4"/>
    <w:p w14:paraId="034E8B50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04611FE1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二、校验体系</w:t>
      </w:r>
    </w:p>
    <w:p w14:paraId="48EBF088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2.1 八个检查器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E7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85F7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检查器</w:t>
            </w:r>
          </w:p>
        </w:tc>
        <w:tc>
          <w:tcPr>
            <w:tcW w:w="2880" w:type="dxa"/>
          </w:tcPr>
          <w:p w14:paraId="41377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检查内容</w:t>
            </w:r>
          </w:p>
        </w:tc>
        <w:tc>
          <w:tcPr>
            <w:tcW w:w="2880" w:type="dxa"/>
          </w:tcPr>
          <w:p w14:paraId="127360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当前结果</w:t>
            </w:r>
          </w:p>
        </w:tc>
      </w:tr>
      <w:tr w14:paraId="3BB0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ACFAC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node --check</w:t>
            </w:r>
            <w:r>
              <w:rPr>
                <w:rFonts w:ascii="微软雅黑" w:hAnsi="微软雅黑" w:eastAsia="微软雅黑"/>
                <w:sz w:val="19"/>
              </w:rPr>
              <w:t>（全量）</w:t>
            </w:r>
          </w:p>
        </w:tc>
        <w:tc>
          <w:tcPr>
            <w:tcW w:w="2880" w:type="dxa"/>
          </w:tcPr>
          <w:p w14:paraId="6E841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382 个 JS 文件语法</w:t>
            </w:r>
          </w:p>
        </w:tc>
        <w:tc>
          <w:tcPr>
            <w:tcW w:w="2880" w:type="dxa"/>
          </w:tcPr>
          <w:p w14:paraId="4C1351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 失败</w:t>
            </w:r>
          </w:p>
        </w:tc>
      </w:tr>
      <w:tr w14:paraId="43DE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309D2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tools/verify.js</w:t>
            </w:r>
          </w:p>
        </w:tc>
        <w:tc>
          <w:tcPr>
            <w:tcW w:w="2880" w:type="dxa"/>
          </w:tcPr>
          <w:p w14:paraId="233D9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数据完整性、引用完整性、字段合法性</w:t>
            </w:r>
          </w:p>
        </w:tc>
        <w:tc>
          <w:tcPr>
            <w:tcW w:w="2880" w:type="dxa"/>
          </w:tcPr>
          <w:p w14:paraId="110E2D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全部通过</w:t>
            </w:r>
          </w:p>
        </w:tc>
      </w:tr>
      <w:tr w14:paraId="00A4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68901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tools/verify-data.js</w:t>
            </w:r>
          </w:p>
        </w:tc>
        <w:tc>
          <w:tcPr>
            <w:tcW w:w="2880" w:type="dxa"/>
          </w:tcPr>
          <w:p w14:paraId="635138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逐文件统计一致性、条号唯一性、译文条号唯一</w:t>
            </w:r>
          </w:p>
        </w:tc>
        <w:tc>
          <w:tcPr>
            <w:tcW w:w="2880" w:type="dxa"/>
          </w:tcPr>
          <w:p w14:paraId="0D7C61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全部通过</w:t>
            </w:r>
            <w:r>
              <w:rPr>
                <w:rFonts w:ascii="微软雅黑" w:hAnsi="微软雅黑" w:eastAsia="微软雅黑"/>
                <w:sz w:val="19"/>
              </w:rPr>
              <w:t>（6 警告 / 4 提示）</w:t>
            </w:r>
          </w:p>
        </w:tc>
      </w:tr>
      <w:tr w14:paraId="4F7D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A6687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tools/verify-data-home.js</w:t>
            </w:r>
          </w:p>
        </w:tc>
        <w:tc>
          <w:tcPr>
            <w:tcW w:w="2880" w:type="dxa"/>
          </w:tcPr>
          <w:p w14:paraId="4DC528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A1–A11 数据自足性（catalog 对齐、译文条号、标题一致、无外部路径）</w:t>
            </w:r>
          </w:p>
        </w:tc>
        <w:tc>
          <w:tcPr>
            <w:tcW w:w="2880" w:type="dxa"/>
          </w:tcPr>
          <w:p w14:paraId="655DBB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全部通过</w:t>
            </w:r>
            <w:r>
              <w:rPr>
                <w:rFonts w:ascii="微软雅黑" w:hAnsi="微软雅黑" w:eastAsia="微软雅黑"/>
                <w:sz w:val="19"/>
              </w:rPr>
              <w:t>（1 警告）</w:t>
            </w:r>
          </w:p>
        </w:tc>
      </w:tr>
      <w:tr w14:paraId="6864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3808C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tools/verify-fulltext.js</w:t>
            </w:r>
          </w:p>
        </w:tc>
        <w:tc>
          <w:tcPr>
            <w:tcW w:w="2880" w:type="dxa"/>
          </w:tcPr>
          <w:p w14:paraId="3317F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分卷与权威存储逐条比对</w:t>
            </w:r>
          </w:p>
        </w:tc>
        <w:tc>
          <w:tcPr>
            <w:tcW w:w="2880" w:type="dxa"/>
          </w:tcPr>
          <w:p w14:paraId="5213AA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FAILED=0</w:t>
            </w:r>
          </w:p>
        </w:tc>
      </w:tr>
      <w:tr w14:paraId="0355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46942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tools/test-trans-layer.js</w:t>
            </w:r>
          </w:p>
        </w:tc>
        <w:tc>
          <w:tcPr>
            <w:tcW w:w="2880" w:type="dxa"/>
          </w:tcPr>
          <w:p w14:paraId="2DA424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译文层结构、懒加载、合并逻辑</w:t>
            </w:r>
          </w:p>
        </w:tc>
        <w:tc>
          <w:tcPr>
            <w:tcW w:w="2880" w:type="dxa"/>
          </w:tcPr>
          <w:p w14:paraId="32B7FB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全部通过</w:t>
            </w:r>
          </w:p>
        </w:tc>
      </w:tr>
      <w:tr w14:paraId="2F06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FA138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tools/check-i18n.js</w:t>
            </w:r>
          </w:p>
        </w:tc>
        <w:tc>
          <w:tcPr>
            <w:tcW w:w="2880" w:type="dxa"/>
          </w:tcPr>
          <w:p w14:paraId="622D9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 语种 × 870 键</w:t>
            </w:r>
          </w:p>
        </w:tc>
        <w:tc>
          <w:tcPr>
            <w:tcW w:w="2880" w:type="dxa"/>
          </w:tcPr>
          <w:p w14:paraId="1A8CFD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missing=0</w:t>
            </w:r>
          </w:p>
        </w:tc>
      </w:tr>
      <w:tr w14:paraId="034C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52CE5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tools/scan-forbidden2.js</w:t>
            </w:r>
          </w:p>
        </w:tc>
        <w:tc>
          <w:tcPr>
            <w:tcW w:w="2880" w:type="dxa"/>
          </w:tcPr>
          <w:p w14:paraId="24F221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项目红线禁用表述</w:t>
            </w:r>
          </w:p>
        </w:tc>
        <w:tc>
          <w:tcPr>
            <w:tcW w:w="2880" w:type="dxa"/>
          </w:tcPr>
          <w:p w14:paraId="5713FB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CLEAN</w:t>
            </w:r>
          </w:p>
        </w:tc>
      </w:tr>
    </w:tbl>
    <w:p w14:paraId="7D61D19C"/>
    <w:p w14:paraId="7B28FFE4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2.2 数据自足性的 11 项检查（A1–A11）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7609"/>
      </w:tblGrid>
      <w:tr w14:paraId="0192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46568C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7609" w:type="dxa"/>
          </w:tcPr>
          <w:p w14:paraId="427E1A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2087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0337B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A1</w:t>
            </w:r>
          </w:p>
        </w:tc>
        <w:tc>
          <w:tcPr>
            <w:tcW w:w="7609" w:type="dxa"/>
          </w:tcPr>
          <w:p w14:paraId="6A65BB8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laws/index.json</w:t>
            </w:r>
            <w:r>
              <w:rPr>
                <w:rFonts w:ascii="微软雅黑" w:hAnsi="微软雅黑" w:eastAsia="微软雅黑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sz w:val="18"/>
              </w:rPr>
              <w:t>laws/*.json</w:t>
            </w:r>
            <w:r>
              <w:rPr>
                <w:rFonts w:ascii="微软雅黑" w:hAnsi="微软雅黑" w:eastAsia="微软雅黑"/>
                <w:sz w:val="19"/>
              </w:rPr>
              <w:t xml:space="preserve"> 一一对应</w:t>
            </w:r>
          </w:p>
        </w:tc>
      </w:tr>
      <w:tr w14:paraId="668D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3AF655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A2</w:t>
            </w:r>
          </w:p>
        </w:tc>
        <w:tc>
          <w:tcPr>
            <w:tcW w:w="7609" w:type="dxa"/>
          </w:tcPr>
          <w:p w14:paraId="2C64F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index.json 的 lawCount / articleCount / chars 与逐文件统计一致</w:t>
            </w:r>
          </w:p>
        </w:tc>
      </w:tr>
      <w:tr w14:paraId="1369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1F764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A3</w:t>
            </w:r>
          </w:p>
        </w:tc>
        <w:tc>
          <w:tcPr>
            <w:tcW w:w="7609" w:type="dxa"/>
          </w:tcPr>
          <w:p w14:paraId="60B24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每部法的 articleCount 与 articles.length 一致；条文 id / no 唯一</w:t>
            </w:r>
          </w:p>
        </w:tc>
      </w:tr>
      <w:tr w14:paraId="5FAB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46DB15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A4</w:t>
            </w:r>
          </w:p>
        </w:tc>
        <w:tc>
          <w:tcPr>
            <w:tcW w:w="7609" w:type="dxa"/>
          </w:tcPr>
          <w:p w14:paraId="206A92F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packFor</w:t>
            </w:r>
            <w:r>
              <w:rPr>
                <w:rFonts w:ascii="微软雅黑" w:hAnsi="微软雅黑" w:eastAsia="微软雅黑"/>
                <w:sz w:val="19"/>
              </w:rPr>
              <w:t xml:space="preserve"> 可解析：法规的 layer+pack 能在分卷中找到</w:t>
            </w:r>
          </w:p>
        </w:tc>
      </w:tr>
      <w:tr w14:paraId="619D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3F84D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A5</w:t>
            </w:r>
          </w:p>
        </w:tc>
        <w:tc>
          <w:tcPr>
            <w:tcW w:w="7609" w:type="dxa"/>
          </w:tcPr>
          <w:p w14:paraId="55809A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 manifest 声明的每个分卷存在；byLaw 每条都能在文件中找到</w:t>
            </w:r>
          </w:p>
        </w:tc>
      </w:tr>
      <w:tr w14:paraId="7E09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348E1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A6</w:t>
            </w:r>
          </w:p>
        </w:tc>
        <w:tc>
          <w:tcPr>
            <w:tcW w:w="7609" w:type="dxa"/>
          </w:tcPr>
          <w:p w14:paraId="6FDFDF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译文条目的 lawId 必在 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>；条号必为真实条号</w:t>
            </w:r>
          </w:p>
        </w:tc>
      </w:tr>
      <w:tr w14:paraId="4AC9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3F4C3A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A7</w:t>
            </w:r>
          </w:p>
        </w:tc>
        <w:tc>
          <w:tcPr>
            <w:tcW w:w="7609" w:type="dxa"/>
          </w:tcPr>
          <w:p w14:paraId="60DF23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标题译名存在时 </w:t>
            </w:r>
            <w:r>
              <w:rPr>
                <w:rFonts w:ascii="Consolas" w:hAnsi="Consolas" w:eastAsia="Consolas"/>
                <w:sz w:val="18"/>
              </w:rPr>
              <w:t>title.zh</w:t>
            </w:r>
            <w:r>
              <w:rPr>
                <w:rFonts w:ascii="微软雅黑" w:hAnsi="微软雅黑" w:eastAsia="微软雅黑"/>
                <w:sz w:val="19"/>
              </w:rPr>
              <w:t xml:space="preserve"> 必须存在</w:t>
            </w:r>
          </w:p>
        </w:tc>
      </w:tr>
      <w:tr w14:paraId="1203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241CE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A8</w:t>
            </w:r>
          </w:p>
        </w:tc>
        <w:tc>
          <w:tcPr>
            <w:tcW w:w="7609" w:type="dxa"/>
          </w:tcPr>
          <w:p w14:paraId="4FDEEA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无外部依赖</w:t>
            </w:r>
            <w:r>
              <w:rPr>
                <w:rFonts w:ascii="微软雅黑" w:hAnsi="微软雅黑" w:eastAsia="微软雅黑"/>
                <w:sz w:val="19"/>
              </w:rPr>
              <w:t xml:space="preserve">：所有数据文件都在 </w:t>
            </w:r>
            <w:r>
              <w:rPr>
                <w:rFonts w:ascii="Consolas" w:hAnsi="Consolas" w:eastAsia="Consolas"/>
                <w:sz w:val="18"/>
              </w:rPr>
              <w:t>prototype/</w:t>
            </w:r>
            <w:r>
              <w:rPr>
                <w:rFonts w:ascii="微软雅黑" w:hAnsi="微软雅黑" w:eastAsia="微软雅黑"/>
                <w:sz w:val="19"/>
              </w:rPr>
              <w:t xml:space="preserve"> 内</w:t>
            </w:r>
          </w:p>
        </w:tc>
      </w:tr>
      <w:tr w14:paraId="28F6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5970D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A9</w:t>
            </w:r>
          </w:p>
        </w:tc>
        <w:tc>
          <w:tcPr>
            <w:tcW w:w="7609" w:type="dxa"/>
          </w:tcPr>
          <w:p w14:paraId="1652F89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titles.zh.json</w:t>
            </w:r>
            <w:r>
              <w:rPr>
                <w:rFonts w:ascii="微软雅黑" w:hAnsi="微软雅黑" w:eastAsia="微软雅黑"/>
                <w:sz w:val="19"/>
              </w:rPr>
              <w:t xml:space="preserve"> 的 translatedCount 与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>实际有中文标题的条数一致</w:t>
            </w:r>
          </w:p>
        </w:tc>
      </w:tr>
      <w:tr w14:paraId="6CC2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5BE11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A10</w:t>
            </w:r>
          </w:p>
        </w:tc>
        <w:tc>
          <w:tcPr>
            <w:tcW w:w="7609" w:type="dxa"/>
          </w:tcPr>
          <w:p w14:paraId="641375A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titles.zh.json</w:t>
            </w:r>
            <w:r>
              <w:rPr>
                <w:rFonts w:ascii="微软雅黑" w:hAnsi="微软雅黑" w:eastAsia="微软雅黑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sz w:val="18"/>
              </w:rPr>
              <w:t>title.zh</w:t>
            </w:r>
            <w:r>
              <w:rPr>
                <w:rFonts w:ascii="微软雅黑" w:hAnsi="微软雅黑" w:eastAsia="微软雅黑"/>
                <w:sz w:val="19"/>
              </w:rPr>
              <w:t xml:space="preserve"> 逐条一致，且不含已删法规</w:t>
            </w:r>
          </w:p>
        </w:tc>
      </w:tr>
      <w:tr w14:paraId="36A1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dxa"/>
          </w:tcPr>
          <w:p w14:paraId="58724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A11</w:t>
            </w:r>
          </w:p>
        </w:tc>
        <w:tc>
          <w:tcPr>
            <w:tcW w:w="7609" w:type="dxa"/>
          </w:tcPr>
          <w:p w14:paraId="083D9E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分卷抽样可解析且命中 </w:t>
            </w:r>
            <w:r>
              <w:rPr>
                <w:rFonts w:ascii="Consolas" w:hAnsi="Consolas" w:eastAsia="Consolas"/>
                <w:sz w:val="18"/>
              </w:rPr>
              <w:t>packFor</w:t>
            </w:r>
            <w:r>
              <w:rPr>
                <w:rFonts w:ascii="微软雅黑" w:hAnsi="微软雅黑" w:eastAsia="微软雅黑"/>
                <w:sz w:val="19"/>
              </w:rPr>
              <w:t xml:space="preserve"> 映射</w:t>
            </w:r>
          </w:p>
        </w:tc>
      </w:tr>
    </w:tbl>
    <w:p w14:paraId="0A565C12"/>
    <w:p w14:paraId="4FACBAE0">
      <w:pPr>
        <w:ind w:left="320"/>
      </w:pPr>
      <w:r>
        <w:rPr>
          <w:rFonts w:ascii="微软雅黑" w:hAnsi="微软雅黑" w:eastAsia="微软雅黑"/>
          <w:b/>
          <w:color w:val="555555"/>
          <w:sz w:val="20"/>
        </w:rPr>
        <w:t>A8 是项目形态的守门项</w:t>
      </w:r>
      <w:r>
        <w:rPr>
          <w:rFonts w:ascii="微软雅黑" w:hAnsi="微软雅黑" w:eastAsia="微软雅黑"/>
          <w:color w:val="555555"/>
          <w:sz w:val="20"/>
        </w:rPr>
        <w:t xml:space="preserve">：一旦有数据引用 </w:t>
      </w:r>
      <w:r>
        <w:rPr>
          <w:rFonts w:ascii="Consolas" w:hAnsi="Consolas" w:eastAsia="Consolas"/>
          <w:color w:val="555555"/>
          <w:sz w:val="19"/>
        </w:rPr>
        <w:t>prototype/</w:t>
      </w:r>
      <w:r>
        <w:rPr>
          <w:rFonts w:ascii="微软雅黑" w:hAnsi="微软雅黑" w:eastAsia="微软雅黑"/>
          <w:color w:val="555555"/>
          <w:sz w:val="20"/>
        </w:rPr>
        <w:t xml:space="preserve"> 之外的路径，</w:t>
      </w:r>
    </w:p>
    <w:p w14:paraId="6E40565D">
      <w:pPr>
        <w:ind w:left="320"/>
      </w:pPr>
      <w:r>
        <w:rPr>
          <w:rFonts w:ascii="微软雅黑" w:hAnsi="微软雅黑" w:eastAsia="微软雅黑"/>
          <w:color w:val="555555"/>
          <w:sz w:val="20"/>
        </w:rPr>
        <w:t xml:space="preserve">「拷走 </w:t>
      </w:r>
      <w:r>
        <w:rPr>
          <w:rFonts w:ascii="Consolas" w:hAnsi="Consolas" w:eastAsia="Consolas"/>
          <w:color w:val="555555"/>
          <w:sz w:val="19"/>
        </w:rPr>
        <w:t>prototype/</w:t>
      </w:r>
      <w:r>
        <w:rPr>
          <w:rFonts w:ascii="微软雅黑" w:hAnsi="微软雅黑" w:eastAsia="微软雅黑"/>
          <w:color w:val="555555"/>
          <w:sz w:val="20"/>
        </w:rPr>
        <w:t xml:space="preserve"> 即可完整运行」这条承诺就破了。</w:t>
      </w:r>
    </w:p>
    <w:p w14:paraId="359CCF5F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2.3 后端自测（</w:t>
      </w:r>
      <w:r>
        <w:rPr>
          <w:rFonts w:ascii="Consolas" w:hAnsi="Consolas" w:eastAsia="Consolas"/>
          <w:b/>
          <w:sz w:val="24"/>
        </w:rPr>
        <w:t>backend/test_api.py</w:t>
      </w:r>
      <w:r>
        <w:rPr>
          <w:rFonts w:ascii="微软雅黑" w:hAnsi="微软雅黑" w:eastAsia="微软雅黑"/>
          <w:b/>
          <w:sz w:val="25"/>
        </w:rPr>
        <w:t>，13 项）</w:t>
      </w:r>
    </w:p>
    <w:p w14:paraId="22F0A68B">
      <w:pPr>
        <w:ind w:left="240"/>
      </w:pPr>
      <w:r>
        <w:rPr>
          <w:rFonts w:ascii="Consolas" w:hAnsi="Consolas" w:eastAsia="Consolas"/>
          <w:sz w:val="18"/>
        </w:rPr>
        <w:t>A1  健康检查 ok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A2  法规数与 laws/ 一致（18,785）/ 条文数（339,351）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A3  12 个法域齐全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A4  分页正确（total / pages / 本页条数）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A5  民法典条文数与 articleCount 一致（1,260）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A6  首条结构完整（no / text 至少一种语言非空）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A7  「民法典」首位 = 中华人民共和国民法典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A8  「数据法」结果含中国数据安全法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A9  「缅甸仲裁」首位 = 仲裁法_2016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A10 检索延迟 ≤ 阈值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A11 不存在的法规返回 404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A12 /api/qa 返回依据且字段完整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A13 向量索引状态可读</w:t>
      </w:r>
    </w:p>
    <w:p w14:paraId="189A221E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16C0ABF5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三、检索质量评测</w:t>
      </w:r>
    </w:p>
    <w:p w14:paraId="4FAF0D54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3.1 评测集</w:t>
      </w:r>
    </w:p>
    <w:p w14:paraId="1AF9029D">
      <w:pPr>
        <w:spacing w:after="80" w:line="300" w:lineRule="auto"/>
      </w:pPr>
      <w:r>
        <w:rPr>
          <w:rFonts w:ascii="Consolas" w:hAnsi="Consolas" w:eastAsia="Consolas"/>
          <w:sz w:val="20"/>
        </w:rPr>
        <w:t>_work/rag/gold.json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110 道题</w:t>
      </w:r>
      <w:r>
        <w:rPr>
          <w:rFonts w:ascii="微软雅黑" w:hAnsi="微软雅黑" w:eastAsia="微软雅黑"/>
          <w:sz w:val="21"/>
        </w:rPr>
        <w:t>（含 4 道负例），按 12 法域、主题均匀分布。</w:t>
      </w:r>
    </w:p>
    <w:p w14:paraId="40269B5E">
      <w:pPr>
        <w:spacing w:after="80" w:line="300" w:lineRule="auto"/>
      </w:pPr>
      <w:r>
        <w:rPr>
          <w:rFonts w:ascii="微软雅黑" w:hAnsi="微软雅黑" w:eastAsia="微软雅黑"/>
          <w:sz w:val="21"/>
        </w:rPr>
        <w:t>金标是</w:t>
      </w:r>
      <w:r>
        <w:rPr>
          <w:rFonts w:ascii="微软雅黑" w:hAnsi="微软雅黑" w:eastAsia="微软雅黑"/>
          <w:b/>
          <w:sz w:val="21"/>
        </w:rPr>
        <w:t>机械弱标注</w:t>
      </w:r>
      <w:r>
        <w:rPr>
          <w:rFonts w:ascii="微软雅黑" w:hAnsi="微软雅黑" w:eastAsia="微软雅黑"/>
          <w:sz w:val="21"/>
        </w:rPr>
        <w:t>（按关键词 IDF 从全库挑出的候选），因此</w:t>
      </w:r>
      <w:r>
        <w:rPr>
          <w:rFonts w:ascii="微软雅黑" w:hAnsi="微软雅黑" w:eastAsia="微软雅黑"/>
          <w:b/>
          <w:sz w:val="21"/>
        </w:rPr>
        <w:t>绝对值低估真实效果</w:t>
      </w:r>
      <w:r>
        <w:rPr>
          <w:rFonts w:ascii="微软雅黑" w:hAnsi="微软雅黑" w:eastAsia="微软雅黑"/>
          <w:sz w:val="21"/>
        </w:rPr>
        <w:t>，</w:t>
      </w:r>
    </w:p>
    <w:p w14:paraId="392E9C1E">
      <w:pPr>
        <w:spacing w:after="80" w:line="300" w:lineRule="auto"/>
      </w:pPr>
      <w:r>
        <w:rPr>
          <w:rFonts w:ascii="微软雅黑" w:hAnsi="微软雅黑" w:eastAsia="微软雅黑"/>
          <w:sz w:val="21"/>
        </w:rPr>
        <w:t>只应看</w:t>
      </w:r>
      <w:r>
        <w:rPr>
          <w:rFonts w:ascii="微软雅黑" w:hAnsi="微软雅黑" w:eastAsia="微软雅黑"/>
          <w:b/>
          <w:sz w:val="21"/>
        </w:rPr>
        <w:t>相对变化</w:t>
      </w:r>
      <w:r>
        <w:rPr>
          <w:rFonts w:ascii="微软雅黑" w:hAnsi="微软雅黑" w:eastAsia="微软雅黑"/>
          <w:sz w:val="21"/>
        </w:rPr>
        <w:t>。</w:t>
      </w:r>
    </w:p>
    <w:p w14:paraId="1C3CC183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3.2 Phase B 对比结果（106 道有金标的题）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835"/>
        <w:gridCol w:w="1440"/>
        <w:gridCol w:w="1440"/>
        <w:gridCol w:w="1440"/>
        <w:gridCol w:w="1440"/>
      </w:tblGrid>
      <w:tr w14:paraId="5C32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053050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w="835" w:type="dxa"/>
          </w:tcPr>
          <w:p w14:paraId="03003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P@3</w:t>
            </w:r>
          </w:p>
        </w:tc>
        <w:tc>
          <w:tcPr>
            <w:tcW w:w="1440" w:type="dxa"/>
          </w:tcPr>
          <w:p w14:paraId="04716B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R@5</w:t>
            </w:r>
          </w:p>
        </w:tc>
        <w:tc>
          <w:tcPr>
            <w:tcW w:w="1440" w:type="dxa"/>
          </w:tcPr>
          <w:p w14:paraId="121FC6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MRR</w:t>
            </w:r>
          </w:p>
        </w:tc>
        <w:tc>
          <w:tcPr>
            <w:tcW w:w="1440" w:type="dxa"/>
          </w:tcPr>
          <w:p w14:paraId="0031A5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至少命中</w:t>
            </w:r>
          </w:p>
        </w:tc>
        <w:tc>
          <w:tcPr>
            <w:tcW w:w="1440" w:type="dxa"/>
          </w:tcPr>
          <w:p w14:paraId="67669E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国别准确</w:t>
            </w:r>
          </w:p>
        </w:tc>
      </w:tr>
      <w:tr w14:paraId="7143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69FDDC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BM25（纯词面）</w:t>
            </w:r>
          </w:p>
        </w:tc>
        <w:tc>
          <w:tcPr>
            <w:tcW w:w="835" w:type="dxa"/>
          </w:tcPr>
          <w:p w14:paraId="40B41B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5.7%</w:t>
            </w:r>
          </w:p>
        </w:tc>
        <w:tc>
          <w:tcPr>
            <w:tcW w:w="1440" w:type="dxa"/>
          </w:tcPr>
          <w:p w14:paraId="504AC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5.1%</w:t>
            </w:r>
          </w:p>
        </w:tc>
        <w:tc>
          <w:tcPr>
            <w:tcW w:w="1440" w:type="dxa"/>
          </w:tcPr>
          <w:p w14:paraId="60A9C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0.080</w:t>
            </w:r>
          </w:p>
        </w:tc>
        <w:tc>
          <w:tcPr>
            <w:tcW w:w="1440" w:type="dxa"/>
          </w:tcPr>
          <w:p w14:paraId="1018EA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10.4%</w:t>
            </w:r>
          </w:p>
        </w:tc>
        <w:tc>
          <w:tcPr>
            <w:tcW w:w="1440" w:type="dxa"/>
          </w:tcPr>
          <w:p w14:paraId="3A3F10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26.4%</w:t>
            </w:r>
          </w:p>
        </w:tc>
      </w:tr>
      <w:tr w14:paraId="721E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042D35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纯向量（bge-m3）</w:t>
            </w:r>
          </w:p>
        </w:tc>
        <w:tc>
          <w:tcPr>
            <w:tcW w:w="835" w:type="dxa"/>
          </w:tcPr>
          <w:p w14:paraId="58FE6D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6.3%</w:t>
            </w:r>
          </w:p>
        </w:tc>
        <w:tc>
          <w:tcPr>
            <w:tcW w:w="1440" w:type="dxa"/>
          </w:tcPr>
          <w:p w14:paraId="0F4E8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4.8%</w:t>
            </w:r>
          </w:p>
        </w:tc>
        <w:tc>
          <w:tcPr>
            <w:tcW w:w="1440" w:type="dxa"/>
          </w:tcPr>
          <w:p w14:paraId="5F7E4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0.126</w:t>
            </w:r>
          </w:p>
        </w:tc>
        <w:tc>
          <w:tcPr>
            <w:tcW w:w="1440" w:type="dxa"/>
          </w:tcPr>
          <w:p w14:paraId="69665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23.6%</w:t>
            </w:r>
          </w:p>
        </w:tc>
        <w:tc>
          <w:tcPr>
            <w:tcW w:w="1440" w:type="dxa"/>
          </w:tcPr>
          <w:p w14:paraId="043F82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40.6%</w:t>
            </w:r>
          </w:p>
        </w:tc>
      </w:tr>
      <w:tr w14:paraId="1EB7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4C6425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RRF 融合</w:t>
            </w:r>
          </w:p>
        </w:tc>
        <w:tc>
          <w:tcPr>
            <w:tcW w:w="835" w:type="dxa"/>
          </w:tcPr>
          <w:p w14:paraId="782BC4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15.7%</w:t>
            </w:r>
          </w:p>
        </w:tc>
        <w:tc>
          <w:tcPr>
            <w:tcW w:w="1440" w:type="dxa"/>
          </w:tcPr>
          <w:p w14:paraId="642EE5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13.3%</w:t>
            </w:r>
          </w:p>
        </w:tc>
        <w:tc>
          <w:tcPr>
            <w:tcW w:w="1440" w:type="dxa"/>
          </w:tcPr>
          <w:p w14:paraId="3F6FB1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0.233</w:t>
            </w:r>
          </w:p>
        </w:tc>
        <w:tc>
          <w:tcPr>
            <w:tcW w:w="1440" w:type="dxa"/>
          </w:tcPr>
          <w:p w14:paraId="63ECB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40.6%</w:t>
            </w:r>
          </w:p>
        </w:tc>
        <w:tc>
          <w:tcPr>
            <w:tcW w:w="1440" w:type="dxa"/>
          </w:tcPr>
          <w:p w14:paraId="0CC80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96.2%</w:t>
            </w:r>
          </w:p>
        </w:tc>
      </w:tr>
      <w:tr w14:paraId="2A39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 w14:paraId="67345A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融合 + 国别约束</w:t>
            </w:r>
          </w:p>
        </w:tc>
        <w:tc>
          <w:tcPr>
            <w:tcW w:w="835" w:type="dxa"/>
          </w:tcPr>
          <w:p w14:paraId="5BC4B9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16.7%</w:t>
            </w:r>
          </w:p>
        </w:tc>
        <w:tc>
          <w:tcPr>
            <w:tcW w:w="1440" w:type="dxa"/>
          </w:tcPr>
          <w:p w14:paraId="2C4E95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13.7%</w:t>
            </w:r>
          </w:p>
        </w:tc>
        <w:tc>
          <w:tcPr>
            <w:tcW w:w="1440" w:type="dxa"/>
          </w:tcPr>
          <w:p w14:paraId="21CBA0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0.262</w:t>
            </w:r>
          </w:p>
        </w:tc>
        <w:tc>
          <w:tcPr>
            <w:tcW w:w="1440" w:type="dxa"/>
          </w:tcPr>
          <w:p w14:paraId="4246C5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39.6%</w:t>
            </w:r>
          </w:p>
        </w:tc>
        <w:tc>
          <w:tcPr>
            <w:tcW w:w="1440" w:type="dxa"/>
          </w:tcPr>
          <w:p w14:paraId="6B519E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99.1%</w:t>
            </w:r>
          </w:p>
        </w:tc>
      </w:tr>
    </w:tbl>
    <w:p w14:paraId="4D6013F0"/>
    <w:p w14:paraId="7BF48829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相对 BM25</w:t>
      </w:r>
      <w:r>
        <w:rPr>
          <w:rFonts w:ascii="微软雅黑" w:hAnsi="微软雅黑" w:eastAsia="微软雅黑"/>
          <w:sz w:val="21"/>
        </w:rPr>
        <w:t xml:space="preserve">：P@3 </w:t>
      </w:r>
      <w:r>
        <w:rPr>
          <w:rFonts w:ascii="微软雅黑" w:hAnsi="微软雅黑" w:eastAsia="微软雅黑"/>
          <w:b/>
          <w:sz w:val="21"/>
        </w:rPr>
        <w:t>+11.0pt</w:t>
      </w:r>
      <w:r>
        <w:rPr>
          <w:rFonts w:ascii="微软雅黑" w:hAnsi="微软雅黑" w:eastAsia="微软雅黑"/>
          <w:sz w:val="21"/>
        </w:rPr>
        <w:t xml:space="preserve">、R@5 </w:t>
      </w:r>
      <w:r>
        <w:rPr>
          <w:rFonts w:ascii="微软雅黑" w:hAnsi="微软雅黑" w:eastAsia="微软雅黑"/>
          <w:b/>
          <w:sz w:val="21"/>
        </w:rPr>
        <w:t>+8.6pt</w:t>
      </w:r>
      <w:r>
        <w:rPr>
          <w:rFonts w:ascii="微软雅黑" w:hAnsi="微软雅黑" w:eastAsia="微软雅黑"/>
          <w:sz w:val="21"/>
        </w:rPr>
        <w:t xml:space="preserve">、MRR </w:t>
      </w:r>
      <w:r>
        <w:rPr>
          <w:rFonts w:ascii="微软雅黑" w:hAnsi="微软雅黑" w:eastAsia="微软雅黑"/>
          <w:b/>
          <w:sz w:val="21"/>
        </w:rPr>
        <w:t>+0.182</w:t>
      </w:r>
      <w:r>
        <w:rPr>
          <w:rFonts w:ascii="微软雅黑" w:hAnsi="微软雅黑" w:eastAsia="微软雅黑"/>
          <w:sz w:val="21"/>
        </w:rPr>
        <w:t xml:space="preserve">、至少命中 </w:t>
      </w:r>
      <w:r>
        <w:rPr>
          <w:rFonts w:ascii="微软雅黑" w:hAnsi="微软雅黑" w:eastAsia="微软雅黑"/>
          <w:b/>
          <w:sz w:val="21"/>
        </w:rPr>
        <w:t>+29.2pt</w:t>
      </w:r>
      <w:r>
        <w:rPr>
          <w:rFonts w:ascii="微软雅黑" w:hAnsi="微软雅黑" w:eastAsia="微软雅黑"/>
          <w:sz w:val="21"/>
        </w:rPr>
        <w:t xml:space="preserve">、国别 </w:t>
      </w:r>
      <w:r>
        <w:rPr>
          <w:rFonts w:ascii="微软雅黑" w:hAnsi="微软雅黑" w:eastAsia="微软雅黑"/>
          <w:b/>
          <w:sz w:val="21"/>
        </w:rPr>
        <w:t>+72.7pt</w:t>
      </w:r>
    </w:p>
    <w:p w14:paraId="1B8C3B1A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3.3 三种方案为什么是互补的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745"/>
        <w:gridCol w:w="2037"/>
        <w:gridCol w:w="3213"/>
      </w:tblGrid>
      <w:tr w14:paraId="3728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5" w:type="dxa"/>
          </w:tcPr>
          <w:p w14:paraId="47DE7F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查询</w:t>
            </w:r>
          </w:p>
        </w:tc>
        <w:tc>
          <w:tcPr>
            <w:tcW w:w="1745" w:type="dxa"/>
          </w:tcPr>
          <w:p w14:paraId="0ADBA2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BM25</w:t>
            </w:r>
          </w:p>
        </w:tc>
        <w:tc>
          <w:tcPr>
            <w:tcW w:w="2037" w:type="dxa"/>
          </w:tcPr>
          <w:p w14:paraId="4852D7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纯向量</w:t>
            </w:r>
          </w:p>
        </w:tc>
        <w:tc>
          <w:tcPr>
            <w:tcW w:w="3213" w:type="dxa"/>
          </w:tcPr>
          <w:p w14:paraId="00869F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融合</w:t>
            </w:r>
          </w:p>
        </w:tc>
      </w:tr>
      <w:tr w14:paraId="3265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</w:tcPr>
          <w:p w14:paraId="34ED6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民法典</w:t>
            </w:r>
          </w:p>
        </w:tc>
        <w:tc>
          <w:tcPr>
            <w:tcW w:w="1745" w:type="dxa"/>
          </w:tcPr>
          <w:p w14:paraId="374B96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CN 民法典 #1</w:t>
            </w:r>
          </w:p>
        </w:tc>
        <w:tc>
          <w:tcPr>
            <w:tcW w:w="2037" w:type="dxa"/>
          </w:tcPr>
          <w:p w14:paraId="311DD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LA 民法典 #1 ✗</w:t>
            </w:r>
          </w:p>
        </w:tc>
        <w:tc>
          <w:tcPr>
            <w:tcW w:w="3213" w:type="dxa"/>
          </w:tcPr>
          <w:p w14:paraId="47CF08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CN 民法典 #1</w:t>
            </w:r>
          </w:p>
        </w:tc>
      </w:tr>
      <w:tr w14:paraId="0C9C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</w:tcPr>
          <w:p w14:paraId="493E74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数据法</w:t>
            </w:r>
          </w:p>
        </w:tc>
        <w:tc>
          <w:tcPr>
            <w:tcW w:w="1745" w:type="dxa"/>
          </w:tcPr>
          <w:p w14:paraId="2F154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VN #1，CN #4</w:t>
            </w:r>
          </w:p>
        </w:tc>
        <w:tc>
          <w:tcPr>
            <w:tcW w:w="2037" w:type="dxa"/>
          </w:tcPr>
          <w:p w14:paraId="4338C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BN 统计法 #1 ✗</w:t>
            </w:r>
          </w:p>
        </w:tc>
        <w:tc>
          <w:tcPr>
            <w:tcW w:w="3213" w:type="dxa"/>
          </w:tcPr>
          <w:p w14:paraId="32D1FC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VN #1，CN 数据安全法 #2</w:t>
            </w:r>
          </w:p>
        </w:tc>
      </w:tr>
      <w:tr w14:paraId="16F4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</w:tcPr>
          <w:p w14:paraId="0CF78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个人信息保护</w:t>
            </w:r>
          </w:p>
        </w:tc>
        <w:tc>
          <w:tcPr>
            <w:tcW w:w="1745" w:type="dxa"/>
          </w:tcPr>
          <w:p w14:paraId="487A59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CN #1–5</w:t>
            </w:r>
          </w:p>
        </w:tc>
        <w:tc>
          <w:tcPr>
            <w:tcW w:w="2037" w:type="dxa"/>
          </w:tcPr>
          <w:p w14:paraId="782F42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VN 条例 #1 ✗</w:t>
            </w:r>
          </w:p>
        </w:tc>
        <w:tc>
          <w:tcPr>
            <w:tcW w:w="3213" w:type="dxa"/>
          </w:tcPr>
          <w:p w14:paraId="0A5ED3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CN #1–5</w:t>
            </w:r>
          </w:p>
        </w:tc>
      </w:tr>
    </w:tbl>
    <w:p w14:paraId="6C45143C"/>
    <w:p w14:paraId="79805303">
      <w:pPr>
        <w:spacing w:after="80" w:line="300" w:lineRule="auto"/>
      </w:pPr>
      <w:r>
        <w:rPr>
          <w:rFonts w:ascii="微软雅黑" w:hAnsi="微软雅黑" w:eastAsia="微软雅黑"/>
          <w:sz w:val="21"/>
        </w:rPr>
        <w:t>BM25 强在字面精确（文号、全称、条号），向量强在语义等价（同义改写、跨语言），</w:t>
      </w:r>
    </w:p>
    <w:p w14:paraId="431EC08E">
      <w:pPr>
        <w:spacing w:after="80" w:line="300" w:lineRule="auto"/>
      </w:pPr>
      <w:r>
        <w:rPr>
          <w:rFonts w:ascii="微软雅黑" w:hAnsi="微软雅黑" w:eastAsia="微软雅黑"/>
          <w:sz w:val="21"/>
        </w:rPr>
        <w:t>RRF 只看排名，避开了两者分数不可比的问题。</w:t>
      </w:r>
    </w:p>
    <w:p w14:paraId="3AA204DB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6C3FB8FA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四、已知问题（如实列出）</w:t>
      </w:r>
    </w:p>
    <w:p w14:paraId="6888363C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4.1 数据层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944"/>
        <w:gridCol w:w="2236"/>
        <w:gridCol w:w="2300"/>
      </w:tblGrid>
      <w:tr w14:paraId="537B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ACE5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1944" w:type="dxa"/>
          </w:tcPr>
          <w:p w14:paraId="5A38A0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规模</w:t>
            </w:r>
          </w:p>
        </w:tc>
        <w:tc>
          <w:tcPr>
            <w:tcW w:w="2236" w:type="dxa"/>
          </w:tcPr>
          <w:p w14:paraId="49012B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w="2300" w:type="dxa"/>
          </w:tcPr>
          <w:p w14:paraId="6EADBD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180A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C35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条号在文内重复</w:t>
            </w:r>
          </w:p>
        </w:tc>
        <w:tc>
          <w:tcPr>
            <w:tcW w:w="1944" w:type="dxa"/>
          </w:tcPr>
          <w:p w14:paraId="1B354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325 部 / 7,917 处</w:t>
            </w:r>
          </w:p>
        </w:tc>
        <w:tc>
          <w:tcPr>
            <w:tcW w:w="2236" w:type="dxa"/>
          </w:tcPr>
          <w:p w14:paraId="25D27A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译文层与跨层比对需特殊处理</w:t>
            </w:r>
          </w:p>
        </w:tc>
        <w:tc>
          <w:tcPr>
            <w:tcW w:w="2300" w:type="dxa"/>
          </w:tcPr>
          <w:p w14:paraId="7CC16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已标 </w:t>
            </w:r>
            <w:r>
              <w:rPr>
                <w:rFonts w:ascii="Consolas" w:hAnsi="Consolas" w:eastAsia="Consolas"/>
                <w:sz w:val="18"/>
              </w:rPr>
              <w:t>dupIndex</w:t>
            </w:r>
            <w:r>
              <w:rPr>
                <w:rFonts w:ascii="微软雅黑" w:hAnsi="微软雅黑" w:eastAsia="微软雅黑"/>
                <w:sz w:val="19"/>
              </w:rPr>
              <w:t>；5 部列「编号不可对齐」例外</w:t>
            </w:r>
          </w:p>
        </w:tc>
      </w:tr>
      <w:tr w14:paraId="2F66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268E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缺中文标题</w:t>
            </w:r>
          </w:p>
        </w:tc>
        <w:tc>
          <w:tcPr>
            <w:tcW w:w="1944" w:type="dxa"/>
          </w:tcPr>
          <w:p w14:paraId="7AD54E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39 部</w:t>
            </w:r>
          </w:p>
        </w:tc>
        <w:tc>
          <w:tcPr>
            <w:tcW w:w="2236" w:type="dxa"/>
          </w:tcPr>
          <w:p w14:paraId="1F1082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显示原文标题，不空白但阅读成本高</w:t>
            </w:r>
          </w:p>
        </w:tc>
        <w:tc>
          <w:tcPr>
            <w:tcW w:w="2300" w:type="dxa"/>
          </w:tcPr>
          <w:p w14:paraId="23C01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需其他语种翻译模型</w:t>
            </w:r>
          </w:p>
        </w:tc>
      </w:tr>
      <w:tr w14:paraId="7BA4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8CCE3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heading</w:t>
            </w:r>
            <w:r>
              <w:rPr>
                <w:rFonts w:ascii="微软雅黑" w:hAnsi="微软雅黑" w:eastAsia="微软雅黑"/>
                <w:sz w:val="19"/>
              </w:rPr>
              <w:t xml:space="preserve"> 疑似被截断</w:t>
            </w:r>
          </w:p>
        </w:tc>
        <w:tc>
          <w:tcPr>
            <w:tcW w:w="1944" w:type="dxa"/>
          </w:tcPr>
          <w:p w14:paraId="10B5E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792 部 / 3,335 条</w:t>
            </w:r>
          </w:p>
        </w:tc>
        <w:tc>
          <w:tcPr>
            <w:tcW w:w="2236" w:type="dxa"/>
          </w:tcPr>
          <w:p w14:paraId="18D8F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列表摘要不准</w:t>
            </w:r>
          </w:p>
        </w:tc>
        <w:tc>
          <w:tcPr>
            <w:tcW w:w="2300" w:type="dxa"/>
          </w:tcPr>
          <w:p w14:paraId="12996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生成器已修，存量需重抓</w:t>
            </w:r>
          </w:p>
        </w:tc>
      </w:tr>
      <w:tr w14:paraId="1344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03F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缅甸文 OCR 不可读</w:t>
            </w:r>
          </w:p>
        </w:tc>
        <w:tc>
          <w:tcPr>
            <w:tcW w:w="1944" w:type="dxa"/>
          </w:tcPr>
          <w:p w14:paraId="135089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全部缅甸文 PDF</w:t>
            </w:r>
          </w:p>
        </w:tc>
        <w:tc>
          <w:tcPr>
            <w:tcW w:w="2236" w:type="dxa"/>
          </w:tcPr>
          <w:p w14:paraId="54ADA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该语种无法结构化</w:t>
            </w:r>
          </w:p>
        </w:tc>
        <w:tc>
          <w:tcPr>
            <w:tcW w:w="2300" w:type="dxa"/>
          </w:tcPr>
          <w:p w14:paraId="2C3F8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需缅甸文识别模型</w:t>
            </w:r>
          </w:p>
        </w:tc>
      </w:tr>
      <w:tr w14:paraId="0990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E1C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判例未入库</w:t>
            </w:r>
          </w:p>
        </w:tc>
        <w:tc>
          <w:tcPr>
            <w:tcW w:w="1944" w:type="dxa"/>
          </w:tcPr>
          <w:p w14:paraId="6E5A39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1,275 页</w:t>
            </w:r>
          </w:p>
        </w:tc>
        <w:tc>
          <w:tcPr>
            <w:tcW w:w="2236" w:type="dxa"/>
          </w:tcPr>
          <w:p w14:paraId="09E8A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无判例检索能力</w:t>
            </w:r>
          </w:p>
        </w:tc>
        <w:tc>
          <w:tcPr>
            <w:tcW w:w="2300" w:type="dxa"/>
          </w:tcPr>
          <w:p w14:paraId="3DCDB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 份缅甸文不可 OCR；2 份英文需判例数据模型</w:t>
            </w:r>
          </w:p>
        </w:tc>
      </w:tr>
      <w:tr w14:paraId="70DB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B433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泰文标题为机翻</w:t>
            </w:r>
          </w:p>
        </w:tc>
        <w:tc>
          <w:tcPr>
            <w:tcW w:w="1944" w:type="dxa"/>
          </w:tcPr>
          <w:p w14:paraId="54F02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606 条</w:t>
            </w:r>
          </w:p>
        </w:tc>
        <w:tc>
          <w:tcPr>
            <w:tcW w:w="2236" w:type="dxa"/>
          </w:tcPr>
          <w:p w14:paraId="02EE95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约六至七成可用</w:t>
            </w:r>
          </w:p>
        </w:tc>
        <w:tc>
          <w:tcPr>
            <w:tcW w:w="2300" w:type="dxa"/>
          </w:tcPr>
          <w:p w14:paraId="4C149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标 </w:t>
            </w:r>
            <w:r>
              <w:rPr>
                <w:rFonts w:ascii="Consolas" w:hAnsi="Consolas" w:eastAsia="Consolas"/>
                <w:sz w:val="18"/>
              </w:rPr>
              <w:t>reviewed=false</w:t>
            </w:r>
            <w:r>
              <w:rPr>
                <w:rFonts w:ascii="微软雅黑" w:hAnsi="微软雅黑" w:eastAsia="微软雅黑"/>
                <w:sz w:val="19"/>
              </w:rPr>
              <w:t>，原文始终可查</w:t>
            </w:r>
          </w:p>
        </w:tc>
      </w:tr>
    </w:tbl>
    <w:p w14:paraId="5695276E"/>
    <w:p w14:paraId="5F6AD787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4.2 技术层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1C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794A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2880" w:type="dxa"/>
          </w:tcPr>
          <w:p w14:paraId="7312E9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w="2880" w:type="dxa"/>
          </w:tcPr>
          <w:p w14:paraId="276A3B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计划</w:t>
            </w:r>
          </w:p>
        </w:tc>
      </w:tr>
      <w:tr w14:paraId="638EC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9C4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条文级向量滞后</w:t>
            </w:r>
          </w:p>
        </w:tc>
        <w:tc>
          <w:tcPr>
            <w:tcW w:w="2880" w:type="dxa"/>
          </w:tcPr>
          <w:p w14:paraId="775C2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51 部切分法规仍是旧整段向量</w:t>
            </w:r>
          </w:p>
        </w:tc>
        <w:tc>
          <w:tcPr>
            <w:tcW w:w="2880" w:type="dxa"/>
          </w:tcPr>
          <w:p w14:paraId="28AA35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重跑条文级向量（GPU 约 4 小时）</w:t>
            </w:r>
          </w:p>
        </w:tc>
      </w:tr>
      <w:tr w14:paraId="2E21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C4ED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前端仍加载条文分卷</w:t>
            </w:r>
          </w:p>
        </w:tc>
        <w:tc>
          <w:tcPr>
            <w:tcW w:w="2880" w:type="dxa"/>
          </w:tcPr>
          <w:p w14:paraId="3923D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API 模式首屏 0.68 s（可再降到 0.4 s 内）</w:t>
            </w:r>
          </w:p>
        </w:tc>
        <w:tc>
          <w:tcPr>
            <w:tcW w:w="2880" w:type="dxa"/>
          </w:tcPr>
          <w:p w14:paraId="47B5B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把条文也走 API</w:t>
            </w:r>
          </w:p>
        </w:tc>
      </w:tr>
      <w:tr w14:paraId="39C87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878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 CI 流水线</w:t>
            </w:r>
          </w:p>
        </w:tc>
        <w:tc>
          <w:tcPr>
            <w:tcW w:w="2880" w:type="dxa"/>
          </w:tcPr>
          <w:p w14:paraId="6987DD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校验靠手动跑，存在回归风险</w:t>
            </w:r>
          </w:p>
        </w:tc>
        <w:tc>
          <w:tcPr>
            <w:tcW w:w="2880" w:type="dxa"/>
          </w:tcPr>
          <w:p w14:paraId="24239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接入 GitHub Actions</w:t>
            </w:r>
          </w:p>
        </w:tc>
      </w:tr>
      <w:tr w14:paraId="7F0A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07C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 worker、无缓存层</w:t>
            </w:r>
          </w:p>
        </w:tc>
        <w:tc>
          <w:tcPr>
            <w:tcW w:w="2880" w:type="dxa"/>
          </w:tcPr>
          <w:p w14:paraId="5C7F9F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并发能力有限</w:t>
            </w:r>
          </w:p>
        </w:tc>
        <w:tc>
          <w:tcPr>
            <w:tcW w:w="2880" w:type="dxa"/>
          </w:tcPr>
          <w:p w14:paraId="43475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需先评估 SQLite 只读并发</w:t>
            </w:r>
          </w:p>
        </w:tc>
      </w:tr>
    </w:tbl>
    <w:p w14:paraId="69A3671A"/>
    <w:p w14:paraId="47E8E575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4.3 产品层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6300"/>
      </w:tblGrid>
      <w:tr w14:paraId="30F6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FCB23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6300" w:type="dxa"/>
          </w:tcPr>
          <w:p w14:paraId="552515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C5A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805D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问答只召回不生成</w:t>
            </w:r>
          </w:p>
        </w:tc>
        <w:tc>
          <w:tcPr>
            <w:tcW w:w="6300" w:type="dxa"/>
          </w:tcPr>
          <w:p w14:paraId="60435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后端 </w:t>
            </w:r>
            <w:r>
              <w:rPr>
                <w:rFonts w:ascii="Consolas" w:hAnsi="Consolas" w:eastAsia="Consolas"/>
                <w:sz w:val="18"/>
              </w:rPr>
              <w:t>/api/qa</w:t>
            </w:r>
            <w:r>
              <w:rPr>
                <w:rFonts w:ascii="微软雅黑" w:hAnsi="微软雅黑" w:eastAsia="微软雅黑"/>
                <w:sz w:val="19"/>
              </w:rPr>
              <w:t xml:space="preserve"> 返回条文依据；生成依赖用户自带 Key（BYOK）</w:t>
            </w:r>
          </w:p>
        </w:tc>
      </w:tr>
      <w:tr w14:paraId="6BB7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15DC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比对报告维度覆盖低</w:t>
            </w:r>
          </w:p>
        </w:tc>
        <w:tc>
          <w:tcPr>
            <w:tcW w:w="6300" w:type="dxa"/>
          </w:tcPr>
          <w:p w14:paraId="3ABC6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单条条文常只涉及 1 个维度，报告偏薄</w:t>
            </w:r>
          </w:p>
        </w:tc>
      </w:tr>
      <w:tr w14:paraId="463E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4053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无用户系统</w:t>
            </w:r>
          </w:p>
        </w:tc>
        <w:tc>
          <w:tcPr>
            <w:tcW w:w="6300" w:type="dxa"/>
          </w:tcPr>
          <w:p w14:paraId="06C606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对话不落盘、无收藏批注（隐私取舍）</w:t>
            </w:r>
          </w:p>
        </w:tc>
      </w:tr>
    </w:tbl>
    <w:p w14:paraId="538C9DED"/>
    <w:p w14:paraId="5F71D65F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417DE6C6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五、后续规划</w:t>
      </w:r>
    </w:p>
    <w:p w14:paraId="2A428C2C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短期（1–2 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2473"/>
        <w:gridCol w:w="1672"/>
        <w:gridCol w:w="3632"/>
      </w:tblGrid>
      <w:tr w14:paraId="7E20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1B5CE8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优先</w:t>
            </w:r>
          </w:p>
        </w:tc>
        <w:tc>
          <w:tcPr>
            <w:tcW w:w="2473" w:type="dxa"/>
          </w:tcPr>
          <w:p w14:paraId="6F89E4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w="1672" w:type="dxa"/>
          </w:tcPr>
          <w:p w14:paraId="2F72A6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</w:t>
            </w:r>
          </w:p>
        </w:tc>
        <w:tc>
          <w:tcPr>
            <w:tcW w:w="3632" w:type="dxa"/>
          </w:tcPr>
          <w:p w14:paraId="1A6CE5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收益</w:t>
            </w:r>
          </w:p>
        </w:tc>
      </w:tr>
      <w:tr w14:paraId="5E1E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5FE1D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2473" w:type="dxa"/>
          </w:tcPr>
          <w:p w14:paraId="79ED13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重跑条文级向量</w:t>
            </w:r>
          </w:p>
        </w:tc>
        <w:tc>
          <w:tcPr>
            <w:tcW w:w="1672" w:type="dxa"/>
          </w:tcPr>
          <w:p w14:paraId="19EA7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 小时 GPU</w:t>
            </w:r>
          </w:p>
        </w:tc>
        <w:tc>
          <w:tcPr>
            <w:tcW w:w="3632" w:type="dxa"/>
          </w:tcPr>
          <w:p w14:paraId="3BAA29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消除 51 部法规的召回偏差</w:t>
            </w:r>
          </w:p>
        </w:tc>
      </w:tr>
      <w:tr w14:paraId="7F85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52BC1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2473" w:type="dxa"/>
          </w:tcPr>
          <w:p w14:paraId="3DBBF7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接入 GitHub Actions</w:t>
            </w:r>
          </w:p>
        </w:tc>
        <w:tc>
          <w:tcPr>
            <w:tcW w:w="1672" w:type="dxa"/>
          </w:tcPr>
          <w:p w14:paraId="07661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半天</w:t>
            </w:r>
          </w:p>
        </w:tc>
        <w:tc>
          <w:tcPr>
            <w:tcW w:w="3632" w:type="dxa"/>
          </w:tcPr>
          <w:p w14:paraId="6FB13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 个校验器自动跑，防回归</w:t>
            </w:r>
          </w:p>
        </w:tc>
      </w:tr>
      <w:tr w14:paraId="4036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5C87D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473" w:type="dxa"/>
          </w:tcPr>
          <w:p w14:paraId="6F5716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把条文也走 API</w:t>
            </w:r>
          </w:p>
        </w:tc>
        <w:tc>
          <w:tcPr>
            <w:tcW w:w="1672" w:type="dxa"/>
          </w:tcPr>
          <w:p w14:paraId="6A04A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 天</w:t>
            </w:r>
          </w:p>
        </w:tc>
        <w:tc>
          <w:tcPr>
            <w:tcW w:w="3632" w:type="dxa"/>
          </w:tcPr>
          <w:p w14:paraId="5AD27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首屏 2.15 s → 1 s 内，前端资源降到 1 MB 级</w:t>
            </w:r>
          </w:p>
        </w:tc>
      </w:tr>
      <w:tr w14:paraId="48EE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7183E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473" w:type="dxa"/>
          </w:tcPr>
          <w:p w14:paraId="5E81D4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README 与部署文档</w:t>
            </w:r>
          </w:p>
        </w:tc>
        <w:tc>
          <w:tcPr>
            <w:tcW w:w="1672" w:type="dxa"/>
          </w:tcPr>
          <w:p w14:paraId="049CE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半天</w:t>
            </w:r>
          </w:p>
        </w:tc>
        <w:tc>
          <w:tcPr>
            <w:tcW w:w="3632" w:type="dxa"/>
          </w:tcPr>
          <w:p w14:paraId="36FE5F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他人可独立跑起来</w:t>
            </w:r>
          </w:p>
        </w:tc>
      </w:tr>
    </w:tbl>
    <w:p w14:paraId="7E478894"/>
    <w:p w14:paraId="7E9B937F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中期（1–2 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2455"/>
        <w:gridCol w:w="5268"/>
      </w:tblGrid>
      <w:tr w14:paraId="38F4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2CE58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优先</w:t>
            </w:r>
          </w:p>
        </w:tc>
        <w:tc>
          <w:tcPr>
            <w:tcW w:w="2455" w:type="dxa"/>
          </w:tcPr>
          <w:p w14:paraId="591468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w="5268" w:type="dxa"/>
          </w:tcPr>
          <w:p w14:paraId="4BF219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B6B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4E219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455" w:type="dxa"/>
          </w:tcPr>
          <w:p w14:paraId="6AAD8B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补 39 部缺失标题</w:t>
            </w:r>
          </w:p>
        </w:tc>
        <w:tc>
          <w:tcPr>
            <w:tcW w:w="5268" w:type="dxa"/>
          </w:tcPr>
          <w:p w14:paraId="69939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需缅甸文/马来文/老挝文翻译能力</w:t>
            </w:r>
          </w:p>
        </w:tc>
      </w:tr>
      <w:tr w14:paraId="402C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2911E2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455" w:type="dxa"/>
          </w:tcPr>
          <w:p w14:paraId="141AFA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判例数据模型与入库</w:t>
            </w:r>
          </w:p>
        </w:tc>
        <w:tc>
          <w:tcPr>
            <w:tcW w:w="5268" w:type="dxa"/>
          </w:tcPr>
          <w:p w14:paraId="236C72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先做 2 份英文判例，验证模型</w:t>
            </w:r>
          </w:p>
        </w:tc>
      </w:tr>
      <w:tr w14:paraId="0D03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63CD5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455" w:type="dxa"/>
          </w:tcPr>
          <w:p w14:paraId="4BC0C3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条文变迁追踪</w:t>
            </w:r>
          </w:p>
        </w:tc>
        <w:tc>
          <w:tcPr>
            <w:tcW w:w="5268" w:type="dxa"/>
          </w:tcPr>
          <w:p w14:paraId="78D791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数据已有 </w:t>
            </w:r>
            <w:r>
              <w:rPr>
                <w:rFonts w:ascii="Consolas" w:hAnsi="Consolas" w:eastAsia="Consolas"/>
                <w:sz w:val="18"/>
              </w:rPr>
              <w:t>revisions</w:t>
            </w:r>
            <w:r>
              <w:rPr>
                <w:rFonts w:ascii="微软雅黑" w:hAnsi="微软雅黑" w:eastAsia="微软雅黑"/>
                <w:sz w:val="19"/>
              </w:rPr>
              <w:t xml:space="preserve"> 字段，完全未用</w:t>
            </w:r>
          </w:p>
        </w:tc>
      </w:tr>
      <w:tr w14:paraId="79B1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7EF4E4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455" w:type="dxa"/>
          </w:tcPr>
          <w:p w14:paraId="405559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移动端 / PWA</w:t>
            </w:r>
          </w:p>
        </w:tc>
        <w:tc>
          <w:tcPr>
            <w:tcW w:w="5268" w:type="dxa"/>
          </w:tcPr>
          <w:p w14:paraId="21C8F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现场演示更灵活</w:t>
            </w:r>
          </w:p>
        </w:tc>
      </w:tr>
      <w:tr w14:paraId="634C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dxa"/>
          </w:tcPr>
          <w:p w14:paraId="0CDDCC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455" w:type="dxa"/>
          </w:tcPr>
          <w:p w14:paraId="366755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引注批量导出</w:t>
            </w:r>
          </w:p>
        </w:tc>
        <w:tc>
          <w:tcPr>
            <w:tcW w:w="5268" w:type="dxa"/>
          </w:tcPr>
          <w:p w14:paraId="2B9049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支持一次导出多条条文引注</w:t>
            </w:r>
          </w:p>
        </w:tc>
      </w:tr>
    </w:tbl>
    <w:p w14:paraId="100CD07A"/>
    <w:p w14:paraId="3363D0F0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长期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1C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F8C3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w="4320" w:type="dxa"/>
          </w:tcPr>
          <w:p w14:paraId="27314B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EDC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795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修订与失效自动追踪</w:t>
            </w:r>
          </w:p>
        </w:tc>
        <w:tc>
          <w:tcPr>
            <w:tcW w:w="4320" w:type="dxa"/>
          </w:tcPr>
          <w:p w14:paraId="1BFED0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定时抓取官方公报，比对版本变化</w:t>
            </w:r>
          </w:p>
        </w:tc>
      </w:tr>
      <w:tr w14:paraId="7BAA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6BE1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条文级跨语言对齐</w:t>
            </w:r>
          </w:p>
        </w:tc>
        <w:tc>
          <w:tcPr>
            <w:tcW w:w="4320" w:type="dxa"/>
          </w:tcPr>
          <w:p w14:paraId="5BEE5B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中英泰越同一条文的平行对照</w:t>
            </w:r>
          </w:p>
        </w:tc>
      </w:tr>
      <w:tr w14:paraId="0592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AB8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用户体系（收藏/批注/共享）</w:t>
            </w:r>
          </w:p>
        </w:tc>
        <w:tc>
          <w:tcPr>
            <w:tcW w:w="4320" w:type="dxa"/>
          </w:tcPr>
          <w:p w14:paraId="45798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需引入后端持久化与鉴权</w:t>
            </w:r>
          </w:p>
        </w:tc>
      </w:tr>
      <w:tr w14:paraId="495F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C8C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覆盖率提升</w:t>
            </w:r>
          </w:p>
        </w:tc>
        <w:tc>
          <w:tcPr>
            <w:tcW w:w="4320" w:type="dxa"/>
          </w:tcPr>
          <w:p w14:paraId="1F076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菲律宾/新加坡目前占比过高，需平衡其他法域</w:t>
            </w:r>
          </w:p>
        </w:tc>
      </w:tr>
    </w:tbl>
    <w:p w14:paraId="119CC77C"/>
    <w:p w14:paraId="2544224A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1F545961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六、验收步骤（可在 5 分钟内复现）</w:t>
      </w:r>
    </w:p>
    <w:p w14:paraId="5AE72D47">
      <w:pPr>
        <w:ind w:left="240"/>
      </w:pPr>
      <w:r>
        <w:rPr>
          <w:rFonts w:ascii="Consolas" w:hAnsi="Consolas" w:eastAsia="Consolas"/>
          <w:sz w:val="18"/>
        </w:rPr>
        <w:t># ① 纯静态形态（不装任何东西）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直接用浏览器打开 prototype/index.html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→ 首页应显示 18,785 部法规 / 339,351 条条文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② 后端形态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backend/build_db.py                      # 首次约 7 分钟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pip install -r backend/requirements.txt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uvicorn backend.app.main:app --port 8000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浏览器打开 http://127.0.0.1:8000/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→ 首屏约 0.7 秒（纯静态为 4.2 秒）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③ 跑校验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backend/test_api.py                      # 13 项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tools/verify.js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tools/verify-data.js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tools/verify-data-home.js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tools/verify-fulltext.js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tools/test-trans-layer.js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tools/check-i18n.js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tools/scan-forbidden2.js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④ 功能抽查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#/search?q=民法典        首条应为《中华人民共和国民法典》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#/law/MY-H075            应为 146 条（不是 1 条）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#/compare                点「中越外商投资准入对比」应生成报告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   #/assistant              问「数据法」应给出条文级依据</w:t>
      </w:r>
    </w:p>
    <w:p w14:paraId="72892505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45C46EE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七、成果小结（数字口径统一）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7355"/>
      </w:tblGrid>
      <w:tr w14:paraId="262A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21162C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7355" w:type="dxa"/>
          </w:tcPr>
          <w:p w14:paraId="24536E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成果</w:t>
            </w:r>
          </w:p>
        </w:tc>
      </w:tr>
      <w:tr w14:paraId="4255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19F97E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数据规模</w:t>
            </w:r>
          </w:p>
        </w:tc>
        <w:tc>
          <w:tcPr>
            <w:tcW w:w="7355" w:type="dxa"/>
          </w:tcPr>
          <w:p w14:paraId="262AF3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 法域 · 18,785 部法规 · 339,351 条条文 · 2.71 亿字</w:t>
            </w:r>
          </w:p>
        </w:tc>
      </w:tr>
      <w:tr w14:paraId="2F70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5B90B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跨语言</w:t>
            </w:r>
          </w:p>
        </w:tc>
        <w:tc>
          <w:tcPr>
            <w:tcW w:w="7355" w:type="dxa"/>
          </w:tcPr>
          <w:p w14:paraId="719C29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 1,566 部 / 60,084 条；中文标题覆盖 99.79%；界面 6 语种</w:t>
            </w:r>
          </w:p>
        </w:tc>
      </w:tr>
      <w:tr w14:paraId="4F18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102162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检索质量</w:t>
            </w:r>
          </w:p>
        </w:tc>
        <w:tc>
          <w:tcPr>
            <w:tcW w:w="7355" w:type="dxa"/>
          </w:tcPr>
          <w:p w14:paraId="2E4C8E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P@3 5.7% → </w:t>
            </w:r>
            <w:r>
              <w:rPr>
                <w:rFonts w:ascii="微软雅黑" w:hAnsi="微软雅黑" w:eastAsia="微软雅黑"/>
                <w:b/>
                <w:sz w:val="19"/>
              </w:rPr>
              <w:t>16.7%</w:t>
            </w:r>
            <w:r>
              <w:rPr>
                <w:rFonts w:ascii="微软雅黑" w:hAnsi="微软雅黑" w:eastAsia="微软雅黑"/>
                <w:sz w:val="19"/>
              </w:rPr>
              <w:t xml:space="preserve">；国别准确 26.4% → </w:t>
            </w:r>
            <w:r>
              <w:rPr>
                <w:rFonts w:ascii="微软雅黑" w:hAnsi="微软雅黑" w:eastAsia="微软雅黑"/>
                <w:b/>
                <w:sz w:val="19"/>
              </w:rPr>
              <w:t>99.1%</w:t>
            </w:r>
          </w:p>
        </w:tc>
      </w:tr>
      <w:tr w14:paraId="48D5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1F03E9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响应性能</w:t>
            </w:r>
          </w:p>
        </w:tc>
        <w:tc>
          <w:tcPr>
            <w:tcW w:w="7355" w:type="dxa"/>
          </w:tcPr>
          <w:p w14:paraId="7F6CE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首屏 4.45 s → </w:t>
            </w:r>
            <w:r>
              <w:rPr>
                <w:rFonts w:ascii="微软雅黑" w:hAnsi="微软雅黑" w:eastAsia="微软雅黑"/>
                <w:b/>
                <w:sz w:val="19"/>
              </w:rPr>
              <w:t>0.68 s</w:t>
            </w:r>
            <w:r>
              <w:rPr>
                <w:rFonts w:ascii="微软雅黑" w:hAnsi="微软雅黑" w:eastAsia="微软雅黑"/>
                <w:sz w:val="19"/>
              </w:rPr>
              <w:t xml:space="preserve">（6.6 倍）；检索 P50 </w:t>
            </w:r>
            <w:r>
              <w:rPr>
                <w:rFonts w:ascii="微软雅黑" w:hAnsi="微软雅黑" w:eastAsia="微软雅黑"/>
                <w:b/>
                <w:sz w:val="19"/>
              </w:rPr>
              <w:t>0.3–0.6 s</w:t>
            </w:r>
          </w:p>
        </w:tc>
      </w:tr>
      <w:tr w14:paraId="2B2D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2E8397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可溯源性</w:t>
            </w:r>
          </w:p>
        </w:tc>
        <w:tc>
          <w:tcPr>
            <w:tcW w:w="7355" w:type="dxa"/>
          </w:tcPr>
          <w:p w14:paraId="184BCC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每部法有官方来源；每条译文有 batch/engine；每类数据修复有留痕</w:t>
            </w:r>
          </w:p>
        </w:tc>
      </w:tr>
      <w:tr w14:paraId="0969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1B571B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工程规范</w:t>
            </w:r>
          </w:p>
        </w:tc>
        <w:tc>
          <w:tcPr>
            <w:tcW w:w="7355" w:type="dxa"/>
          </w:tcPr>
          <w:p w14:paraId="6E7529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 个校验器 · 11 项自足性检查 · 13 项后端自测 · 全绿</w:t>
            </w:r>
          </w:p>
        </w:tc>
      </w:tr>
      <w:tr w14:paraId="6F3E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5" w:type="dxa"/>
          </w:tcPr>
          <w:p w14:paraId="2EEC33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形态完整性</w:t>
            </w:r>
          </w:p>
        </w:tc>
        <w:tc>
          <w:tcPr>
            <w:tcW w:w="7355" w:type="dxa"/>
          </w:tcPr>
          <w:p w14:paraId="55416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纯静态（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9"/>
              </w:rPr>
              <w:t xml:space="preserve"> 零依赖）与后端（含向量检索）双形态，同一套前端</w:t>
            </w:r>
          </w:p>
        </w:tc>
      </w:tr>
    </w:tbl>
    <w:p w14:paraId="6CD5C110"/>
    <w:p w14:paraId="7F014157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08643987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八、一句话总结</w:t>
      </w:r>
    </w:p>
    <w:p w14:paraId="62754678">
      <w:pPr>
        <w:spacing w:after="80" w:line="300" w:lineRule="auto"/>
      </w:pPr>
      <w:r>
        <w:rPr>
          <w:rFonts w:ascii="微软雅黑" w:hAnsi="微软雅黑" w:eastAsia="微软雅黑"/>
          <w:sz w:val="21"/>
        </w:rPr>
        <w:t>**把「可溯源」做成了工程约束，把「跨语言」做成了可用的检索能力，把「AI」做成了可回溯的引用——</w:t>
      </w:r>
    </w:p>
    <w:p w14:paraId="1F225FE7">
      <w:pPr>
        <w:spacing w:after="80" w:line="300" w:lineRule="auto"/>
      </w:pPr>
      <w:r>
        <w:rPr>
          <w:rFonts w:ascii="微软雅黑" w:hAnsi="微软雅黑" w:eastAsia="微软雅黑"/>
          <w:sz w:val="21"/>
        </w:rPr>
        <w:t>而不是一个只能演示的界面。**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40A0"/>
    <w:rsid w:val="00FC693F"/>
    <w:rsid w:val="062B3D4A"/>
    <w:rsid w:val="0A951569"/>
    <w:rsid w:val="18300B23"/>
    <w:rsid w:val="1A78055F"/>
    <w:rsid w:val="23694EE9"/>
    <w:rsid w:val="366E2AEA"/>
    <w:rsid w:val="3CE33B06"/>
    <w:rsid w:val="3DE21D40"/>
    <w:rsid w:val="3DE845B9"/>
    <w:rsid w:val="42276243"/>
    <w:rsid w:val="52670DFD"/>
    <w:rsid w:val="53620E89"/>
    <w:rsid w:val="582E57DE"/>
    <w:rsid w:val="58D36385"/>
    <w:rsid w:val="612C6F7A"/>
    <w:rsid w:val="6D3310A9"/>
    <w:rsid w:val="72356B79"/>
    <w:rsid w:val="724B641D"/>
    <w:rsid w:val="77C41912"/>
    <w:rsid w:val="7BF7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1015</Words>
  <Characters>1776</Characters>
  <Lines>0</Lines>
  <Paragraphs>0</Paragraphs>
  <TotalTime>0</TotalTime>
  <ScaleCrop>false</ScaleCrop>
  <LinksUpToDate>false</LinksUpToDate>
  <CharactersWithSpaces>1938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王勃森</cp:lastModifiedBy>
  <dcterms:modified xsi:type="dcterms:W3CDTF">2026-10-24T10:13:28Z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eyJoZGlkIjoiZTU2OTdlOWQwNThlNmI5ODNlOGRkN2YxZDJlYWUxMTAiLCJ1c2VySWQiOiIxODg4MzcwMzg1In0=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AC9BCCC62B564CD5BD0BD27BA14BBC00_12</vt:lpwstr>
  </property>
</Properties>
</file>