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  <w:shd w:val="clear" w:color="auto" w:fill="0A1B33"/>
      </w:pPr>
      <w:r>
        <w:rPr>
          <w:rFonts w:ascii="Segoe UI" w:hAnsi="Segoe UI" w:eastAsia="微软雅黑"/>
          <w:b/>
          <w:color w:val="FFFFFF"/>
          <w:sz w:val="22"/>
        </w:rPr>
        <w:t>CALR  ·  中国—东盟法律法规数据库</w:t>
      </w:r>
    </w:p>
    <w:p>
      <w:pPr>
        <w:spacing w:before="800" w:after="0"/>
      </w:pPr>
    </w:p>
    <w:p>
      <w:pPr>
        <w:spacing w:before="800" w:after="200"/>
        <w:jc w:val="center"/>
      </w:pPr>
      <w:r>
        <w:rPr>
          <w:rFonts w:ascii="Segoe UI" w:hAnsi="Segoe UI" w:eastAsia="微软雅黑"/>
          <w:b/>
          <w:color w:val="0A1B33"/>
          <w:sz w:val="60"/>
        </w:rPr>
        <w:t>产品解决方案说明书</w:t>
      </w:r>
    </w:p>
    <w:p>
      <w:pPr>
        <w:spacing w:before="0" w:after="120"/>
        <w:jc w:val="center"/>
      </w:pPr>
      <w:r>
        <w:rPr>
          <w:rFonts w:ascii="Segoe UI" w:hAnsi="Segoe UI" w:eastAsia="微软雅黑"/>
          <w:b w:val="0"/>
          <w:color w:val="5C6675"/>
          <w:sz w:val="24"/>
        </w:rPr>
        <w:t>China–ASEAN Laws and Regulations Database</w:t>
      </w:r>
    </w:p>
    <w:p>
      <w:pPr>
        <w:spacing w:before="0" w:after="80"/>
        <w:jc w:val="center"/>
      </w:pPr>
      <w:r>
        <w:rPr>
          <w:rFonts w:ascii="Segoe UI" w:hAnsi="Segoe UI" w:eastAsia="微软雅黑"/>
          <w:b w:val="0"/>
          <w:color w:val="12305A"/>
          <w:sz w:val="26"/>
        </w:rPr>
        <w:t>可溯源 · 跨语言 · 可解释的东盟法律检索与 AI 问答平台</w:t>
      </w:r>
    </w:p>
    <w:p>
      <w:pPr>
        <w:spacing w:before="0" w:after="160"/>
        <w:pBdr>
          <w:bottom w:val="single" w:sz="12" w:space="2" w:color="C6A15B"/>
        </w:pBdr>
      </w:pPr>
    </w:p>
    <w:p>
      <w:pPr>
        <w:spacing w:before="600" w:after="0"/>
      </w:pPr>
    </w:p>
    <w:p>
      <w:pPr>
        <w:spacing w:before="0" w:after="40"/>
        <w:jc w:val="center"/>
      </w:pPr>
      <w:r>
        <w:rPr>
          <w:rFonts w:ascii="Segoe UI" w:hAnsi="Segoe UI" w:eastAsia="微软雅黑"/>
          <w:b/>
          <w:color w:val="0A1B33"/>
          <w:sz w:val="24"/>
        </w:rPr>
        <w:t>2026 中国（广西）—东盟“AI+法律”应用创新大赛</w:t>
      </w:r>
    </w:p>
    <w:p>
      <w:pPr>
        <w:spacing w:before="0" w:after="360"/>
        <w:jc w:val="center"/>
      </w:pPr>
      <w:r>
        <w:rPr>
          <w:rFonts w:ascii="Segoe UI" w:hAnsi="Segoe UI" w:eastAsia="微软雅黑"/>
          <w:b w:val="0"/>
          <w:color w:val="5C6675"/>
          <w:sz w:val="22"/>
        </w:rPr>
        <w:t>高校学生赛道 · 面向东盟法律服务方向</w:t>
      </w:r>
    </w:p>
    <w:p>
      <w:pPr>
        <w:spacing w:before="0" w:after="80"/>
        <w:jc w:val="center"/>
      </w:pPr>
      <w:r>
        <w:rPr>
          <w:rFonts w:ascii="Segoe UI" w:hAnsi="Segoe UI" w:eastAsia="微软雅黑"/>
          <w:b/>
          <w:color w:val="0A1B33"/>
          <w:sz w:val="24"/>
        </w:rPr>
        <w:t>上海对外经贸大学  ·  一粒橡子队</w:t>
      </w:r>
    </w:p>
    <w:p>
      <w:pPr>
        <w:spacing w:before="0" w:after="0"/>
        <w:jc w:val="center"/>
      </w:pPr>
      <w:r>
        <w:rPr>
          <w:rFonts w:ascii="Segoe UI" w:hAnsi="Segoe UI" w:eastAsia="微软雅黑"/>
          <w:b w:val="0"/>
          <w:color w:val="5C6675"/>
          <w:sz w:val="20"/>
        </w:rPr>
        <w:t>2026 年 10 月  ·  Version 1.0</w:t>
      </w:r>
    </w:p>
    <w:p>
      <w:pPr>
        <w:spacing w:before="0" w:after="0"/>
      </w:pPr>
    </w:p>
    <w:p>
      <w:pPr>
        <w:spacing w:before="400" w:after="0"/>
        <w:pBdr>
          <w:bottom w:val="single" w:sz="4" w:space="2" w:color="0A1B33"/>
        </w:pBdr>
      </w:pPr>
    </w:p>
    <w:p>
      <w:r>
        <w:br w:type="page"/>
      </w:r>
    </w:p>
    <w:p>
      <w:pPr>
        <w:spacing w:before="0" w:after="160"/>
        <w:pBdr>
          <w:bottom w:val="single" w:sz="8" w:space="2" w:color="C6A15B"/>
        </w:pBdr>
      </w:pPr>
      <w:r>
        <w:rPr>
          <w:rFonts w:ascii="Segoe UI" w:hAnsi="Segoe UI" w:eastAsia="微软雅黑"/>
          <w:b/>
          <w:color w:val="0A1B33"/>
          <w:sz w:val="40"/>
        </w:rPr>
        <w:t>目　录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摘要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一、背景与问题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二、产品演示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附录 A 数据口径</w:t>
      </w:r>
    </w:p>
    <w:p>
      <w:pPr>
        <w:spacing w:before="160" w:after="0"/>
      </w:pPr>
      <w:r>
        <w:rPr>
          <w:rFonts w:ascii="Segoe UI" w:hAnsi="Segoe UI" w:eastAsia="微软雅黑"/>
          <w:b w:val="0"/>
          <w:color w:val="5C6675"/>
          <w:sz w:val="18"/>
        </w:rPr>
        <w:t>（按章节顺序排列；页码见页脚）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  <w:p>
      <w:r>
        <w:rPr>
          <w:rFonts w:ascii="Segoe UI" w:hAnsi="Segoe UI" w:eastAsia="微软雅黑"/>
          <w:b w:val="0"/>
          <w:sz w:val="21"/>
        </w:rPr>
        <w:t>﻿# 产品解决方案说明书</w:t>
      </w:r>
    </w:p>
    <w:p>
      <w:pPr>
        <w:ind w:left="340"/>
        <w:shd w:val="clear" w:color="auto" w:fill="F7FAFC"/>
      </w:pPr>
      <w:r>
        <w:rPr>
          <w:rFonts w:ascii="Segoe UI" w:hAnsi="Segoe UI" w:eastAsia="微软雅黑"/>
          <w:b w:val="0"/>
          <w:color w:val="4A5568"/>
          <w:sz w:val="20"/>
        </w:rPr>
        <w:t>版本 1.0 · 测试</w:t>
      </w:r>
    </w:p>
    <w:p>
      <w:pPr>
        <w:pBdr>
          <w:bottom w:val="single" w:sz="6" w:space="1" w:color="CBD5E0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摘要</w:t>
      </w:r>
    </w:p>
    <w:p>
      <w:r>
        <w:rPr>
          <w:rFonts w:ascii="Segoe UI" w:hAnsi="Segoe UI" w:eastAsia="微软雅黑"/>
          <w:b w:val="0"/>
          <w:sz w:val="21"/>
        </w:rPr>
        <w:t>这是一段测试摘要，用于验证渲染管线。</w:t>
      </w:r>
      <w:r>
        <w:rPr>
          <w:rFonts w:ascii="Segoe UI" w:hAnsi="Segoe UI" w:eastAsia="微软雅黑"/>
          <w:b/>
          <w:sz w:val="21"/>
        </w:rPr>
        <w:t>加粗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代码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Segoe UI" w:hAnsi="Segoe UI" w:eastAsia="微软雅黑"/>
          <w:color w:val="2B6CB0"/>
          <w:sz w:val="21"/>
          <w:u w:val="single"/>
        </w:rPr>
        <w:t>链接</w:t>
      </w:r>
      <w:r>
        <w:rPr>
          <w:rFonts w:ascii="Segoe UI" w:hAnsi="Segoe UI" w:eastAsia="微软雅黑"/>
          <w:color w:val="4A5568"/>
          <w:sz w:val="19"/>
        </w:rPr>
        <w:t xml:space="preserve"> (../README.md)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一、背景与问题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1.1 需求</w:t>
      </w:r>
    </w:p>
    <w:p>
      <w:r>
        <w:rPr>
          <w:rFonts w:ascii="Segoe UI" w:hAnsi="Segoe UI" w:eastAsia="微软雅黑"/>
          <w:b w:val="0"/>
          <w:sz w:val="21"/>
        </w:rPr>
        <w:t>测试段落。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指标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值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来源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18,785 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index.json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339,351 条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index.json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二、产品演示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1  法规详情页：原文与 AI 译文逐条对照（真实界面截图）</w:t>
      </w:r>
    </w:p>
    <w:p>
      <w:pPr>
        <w:pBdr>
          <w:bottom w:val="single" w:sz="6" w:space="1" w:color="CBD5E0"/>
        </w:pBdr>
      </w:pP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附录 A 数据口径</w:t>
      </w:r>
    </w:p>
    <w:p>
      <w:r>
        <w:rPr>
          <w:rFonts w:ascii="Segoe UI" w:hAnsi="Segoe UI" w:eastAsia="微软雅黑"/>
          <w:b w:val="0"/>
          <w:sz w:val="21"/>
        </w:rPr>
        <w:t>测试结束。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/>
        <w:b w:val="0"/>
        <w:color w:val="5C6675"/>
        <w:sz w:val="18"/>
      </w:rPr>
      <w:t xml:space="preserve">第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PAGE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  /  共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NUMPAGES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Segoe UI" w:hAnsi="Segoe UI" w:eastAsia="微软雅黑"/>
        <w:b w:val="0"/>
        <w:color w:val="5C6675"/>
        <w:sz w:val="17"/>
      </w:rPr>
      <w:t>CALR 产品解决方案说明书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1B3A5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产品解决方案说明书</dc:title>
  <dc:subject>面向 12 法域的法律检索、跨语言比对与可溯源 AI 问答平台</dc:subject>
  <dc:creator>上海对外经贸大学 一粒橡子队</dc:creator>
  <cp:keywords>CALR; 中国—东盟; 法律法规数据库; 法律检索; 跨语言; AI 问答</cp:keywords>
  <dc:description>产品解决方案说明书（比赛评审版）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