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rFonts w:ascii="微软雅黑" w:hAnsi="微软雅黑" w:eastAsia="微软雅黑"/>
          <w:b/>
          <w:sz w:val="40"/>
        </w:rPr>
        <w:t>01 · 项目总览</w:t>
      </w:r>
    </w:p>
    <w:p>
      <w:pPr>
        <w:ind w:left="320"/>
      </w:pPr>
      <w:r>
        <w:rPr>
          <w:rFonts w:ascii="微软雅黑" w:hAnsi="微软雅黑" w:eastAsia="微软雅黑"/>
          <w:color w:val="555555"/>
          <w:sz w:val="20"/>
        </w:rPr>
        <w:t>中国—东盟法律法规数据库（CALR, China–ASEAN Laws and Regulations Database）</w:t>
      </w:r>
    </w:p>
    <w:p>
      <w:pPr>
        <w:ind w:left="320"/>
      </w:pPr>
      <w:r>
        <w:rPr>
          <w:rFonts w:ascii="微软雅黑" w:hAnsi="微软雅黑" w:eastAsia="微软雅黑"/>
          <w:color w:val="555555"/>
          <w:sz w:val="20"/>
        </w:rPr>
        <w:t>参赛队伍：上海对外经贸大学 一粒橡子队 · 负责人：王勃森</w:t>
      </w:r>
    </w:p>
    <w:p>
      <w:pPr>
        <w:ind w:left="320"/>
      </w:pPr>
      <w:r>
        <w:rPr>
          <w:rFonts w:ascii="微软雅黑" w:hAnsi="微软雅黑" w:eastAsia="微软雅黑"/>
          <w:color w:val="555555"/>
          <w:sz w:val="20"/>
        </w:rPr>
        <w:t>文档版本：2026-10-24（与代码库当前状态同步）</w:t>
      </w:r>
    </w:p>
    <w:p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一、项目定位</w:t>
      </w:r>
    </w:p>
    <w:p>
      <w:pPr>
        <w:spacing w:after="80" w:line="300" w:lineRule="auto"/>
      </w:pPr>
      <w:r>
        <w:rPr>
          <w:rFonts w:ascii="微软雅黑" w:hAnsi="微软雅黑" w:eastAsia="微软雅黑"/>
          <w:sz w:val="21"/>
        </w:rPr>
        <w:t>面向涉外法律实务的</w:t>
      </w:r>
      <w:r>
        <w:rPr>
          <w:rFonts w:ascii="微软雅黑" w:hAnsi="微软雅黑" w:eastAsia="微软雅黑"/>
          <w:b/>
          <w:sz w:val="21"/>
        </w:rPr>
        <w:t>区域性官方法规数据库</w:t>
      </w:r>
      <w:r>
        <w:rPr>
          <w:rFonts w:ascii="微软雅黑" w:hAnsi="微软雅黑" w:eastAsia="微软雅黑"/>
          <w:sz w:val="21"/>
        </w:rPr>
        <w:t xml:space="preserve">：把中国与东盟十国共 </w:t>
      </w:r>
      <w:r>
        <w:rPr>
          <w:rFonts w:ascii="微软雅黑" w:hAnsi="微软雅黑" w:eastAsia="微软雅黑"/>
          <w:b/>
          <w:sz w:val="21"/>
        </w:rPr>
        <w:t>12 个法域</w:t>
      </w:r>
      <w:r>
        <w:rPr>
          <w:rFonts w:ascii="微软雅黑" w:hAnsi="微软雅黑" w:eastAsia="微软雅黑"/>
          <w:sz w:val="21"/>
        </w:rPr>
        <w:t>的官方法规文本，</w:t>
      </w:r>
    </w:p>
    <w:p>
      <w:pPr>
        <w:spacing w:after="80" w:line="300" w:lineRule="auto"/>
      </w:pPr>
      <w:r>
        <w:rPr>
          <w:rFonts w:ascii="微软雅黑" w:hAnsi="微软雅黑" w:eastAsia="微软雅黑"/>
          <w:sz w:val="21"/>
        </w:rPr>
        <w:t>做成可检索、可溯源、可对照、可引用的一站式工具。</w:t>
      </w:r>
    </w:p>
    <w:p>
      <w:pPr>
        <w:spacing w:after="80" w:line="300" w:lineRule="auto"/>
      </w:pPr>
      <w:r>
        <w:rPr>
          <w:rFonts w:ascii="微软雅黑" w:hAnsi="微软雅黑" w:eastAsia="微软雅黑"/>
          <w:sz w:val="21"/>
        </w:rPr>
        <w:t>三条主线：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主线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解决的问题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数据自足与可溯源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每部法规都能回答「从哪来、什么时候抓的、是否完整」，可点回官方页面核验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跨语言可用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中文用户能读到泰文、越南文、印尼文法规，反之亦然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AI 可解释检索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问答每条结论都附条文出处，可逐条回溯原文，不做推测性回答</w:t>
            </w:r>
          </w:p>
        </w:tc>
      </w:tr>
    </w:tbl>
    <w:p/>
    <w:p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二、数据规模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法域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12</w:t>
            </w:r>
            <w:r>
              <w:rPr>
                <w:rFonts w:ascii="微软雅黑" w:hAnsi="微软雅黑" w:eastAsia="微软雅黑"/>
                <w:sz w:val="19"/>
              </w:rPr>
              <w:t>（中国 + 东盟十国 + 多边条约）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法规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18,785</w:t>
            </w:r>
            <w:r>
              <w:rPr>
                <w:rFonts w:ascii="微软雅黑" w:hAnsi="微软雅黑" w:eastAsia="微软雅黑"/>
                <w:sz w:val="19"/>
              </w:rPr>
              <w:t xml:space="preserve"> 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条文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338,996</w:t>
            </w:r>
            <w:r>
              <w:rPr>
                <w:rFonts w:ascii="微软雅黑" w:hAnsi="微软雅黑" w:eastAsia="微软雅黑"/>
                <w:sz w:val="19"/>
              </w:rPr>
              <w:t xml:space="preserve"> 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正文字符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270,581,097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数据库体积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约 </w:t>
            </w:r>
            <w:r>
              <w:rPr>
                <w:rFonts w:ascii="微软雅黑" w:hAnsi="微软雅黑" w:eastAsia="微软雅黑"/>
                <w:b/>
                <w:sz w:val="19"/>
              </w:rPr>
              <w:t>1,610 MB</w:t>
            </w:r>
            <w:r>
              <w:rPr>
                <w:rFonts w:ascii="微软雅黑" w:hAnsi="微软雅黑" w:eastAsia="微软雅黑"/>
                <w:sz w:val="19"/>
              </w:rPr>
              <w:t xml:space="preserve">（SQLite，由 </w:t>
            </w:r>
            <w:r>
              <w:rPr>
                <w:rFonts w:ascii="Consolas" w:hAnsi="Consolas" w:eastAsia="Consolas"/>
                <w:sz w:val="18"/>
              </w:rPr>
              <w:t>backend/build_db.py</w:t>
            </w:r>
            <w:r>
              <w:rPr>
                <w:rFonts w:ascii="微软雅黑" w:hAnsi="微软雅黑" w:eastAsia="微软雅黑"/>
                <w:sz w:val="19"/>
              </w:rPr>
              <w:t xml:space="preserve"> 派生）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向量索引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bge-m3 1024 维 · 法规级 18,861 + 条文级 334,779 · int8 量化约 347 MB</w:t>
            </w:r>
          </w:p>
        </w:tc>
      </w:tr>
    </w:tbl>
    <w:p/>
    <w:p>
      <w:pPr>
        <w:spacing w:before="200" w:after="120"/>
      </w:pPr>
      <w:r>
        <w:rPr>
          <w:rFonts w:ascii="微软雅黑" w:hAnsi="微软雅黑" w:eastAsia="微软雅黑"/>
          <w:b/>
          <w:sz w:val="25"/>
        </w:rPr>
        <w:t>按法域分布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法域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法规数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法域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法规数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菲律宾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10,619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柬埔寨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187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新加坡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3,714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越南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88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中国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1,586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老挝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80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文莱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1,275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缅甸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80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泰国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816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马来西亚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74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东帝汶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230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印度尼西亚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36</w:t>
            </w:r>
          </w:p>
        </w:tc>
      </w:tr>
    </w:tbl>
    <w:p/>
    <w:p>
      <w:pPr>
        <w:spacing w:before="200" w:after="120"/>
      </w:pPr>
      <w:r>
        <w:rPr>
          <w:rFonts w:ascii="微软雅黑" w:hAnsi="微软雅黑" w:eastAsia="微软雅黑"/>
          <w:b/>
          <w:sz w:val="25"/>
        </w:rPr>
        <w:t>译文与标题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数值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译文层分卷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21 个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prototype/data/trans/</w:t>
            </w:r>
            <w:r>
              <w:rPr>
                <w:rFonts w:ascii="微软雅黑" w:hAnsi="微软雅黑" w:eastAsia="微软雅黑"/>
                <w:sz w:val="19"/>
              </w:rPr>
              <w:t>，与原文</w:t>
            </w:r>
            <w:r>
              <w:rPr>
                <w:rFonts w:ascii="微软雅黑" w:hAnsi="微软雅黑" w:eastAsia="微软雅黑"/>
                <w:b/>
                <w:sz w:val="19"/>
              </w:rPr>
              <w:t>物理分离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已译法规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1,566</w:t>
            </w:r>
            <w:r>
              <w:rPr>
                <w:rFonts w:ascii="微软雅黑" w:hAnsi="微软雅黑" w:eastAsia="微软雅黑"/>
                <w:sz w:val="19"/>
              </w:rPr>
              <w:t xml:space="preserve"> 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以中国法规中文→英文为主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译文条目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60,084</w:t>
            </w:r>
            <w:r>
              <w:rPr>
                <w:rFonts w:ascii="微软雅黑" w:hAnsi="微软雅黑" w:eastAsia="微软雅黑"/>
                <w:sz w:val="19"/>
              </w:rPr>
              <w:t xml:space="preserve"> 条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逐条对应原文条号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中文标题覆盖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18,166 / 18,785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96.7%，来源与引擎逐条可查</w:t>
            </w:r>
          </w:p>
        </w:tc>
      </w:tr>
    </w:tbl>
    <w:p/>
    <w:p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三、功能矩阵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功能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入口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法规检索（关键词 / 自然语言 / 条号）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#/search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已上线；API 模式下走混合检索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法规详情（原文 / 译文 / 目录 / 全文朗读 / 导出 PDF）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#/law/&lt;id&gt;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已上线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跨语言条款比对（2–3 法域五维度并排）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#/compare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已上线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AI 智能问答（条文级引用）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#/assistant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已上线；API 模式下走条文级向量召回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法律术语对照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#/terms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已上线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数据来源与核验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#/sources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已上线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规范引注导出（GB/T 7714 · Bluebook · 简化 · 完整）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详情页「下载与引用」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已上线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多语言界面（中 / 英 / 越 / 泰 / 印尼 / 马来）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顶部语言选择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已上线，826 键 × 5 语种</w:t>
            </w:r>
          </w:p>
        </w:tc>
      </w:tr>
    </w:tbl>
    <w:p/>
    <w:p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四、技术栈与运行方式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5"/>
        </w:rPr>
        <w:t>两种运行形态（同一份代码）</w:t>
      </w:r>
    </w:p>
    <w:p>
      <w:pPr>
        <w:ind w:left="240"/>
      </w:pPr>
      <w:r>
        <w:rPr>
          <w:rFonts w:ascii="Consolas" w:hAnsi="Consolas" w:eastAsia="Consolas"/>
          <w:sz w:val="18"/>
        </w:rPr>
        <w:t>① 纯静态（离线 / 答辩兜底）</w:t>
        <w:br/>
        <w:t xml:space="preserve">   file:///.../prototype/index.html</w:t>
        <w:br/>
        <w:t xml:space="preserve">   → 加载完整 data/*.js（含 intl-catalog 16.6 MB）</w:t>
        <w:br/>
        <w:t xml:space="preserve">   → 全部检索与问答在浏览器内完成，零依赖、零网络</w:t>
        <w:br/>
        <w:br/>
        <w:t>② 后端托管（推荐，性能与检索质量都更好）</w:t>
        <w:br/>
        <w:t xml:space="preserve">   http://&lt;host&gt;:8000/</w:t>
        <w:br/>
        <w:t xml:space="preserve">   → 后端 FastAPI 同时托管静态站与 /api/*</w:t>
        <w:br/>
        <w:t xml:space="preserve">   → 跳过 16.6 MB catalog，改用 /api/bootstrap（2.7 KB）+ /api/laws/compact（后台补齐）</w:t>
        <w:br/>
        <w:t xml:space="preserve">   → 检索走 BM25 + bge-m3 向量 + RRF 融合；问答走条文级向量召回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同一套前端代码自动识别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sz w:val="20"/>
        </w:rPr>
        <w:t>http(s)://</w:t>
      </w:r>
      <w:r>
        <w:rPr>
          <w:rFonts w:ascii="微软雅黑" w:hAnsi="微软雅黑" w:eastAsia="微软雅黑"/>
          <w:sz w:val="21"/>
        </w:rPr>
        <w:t xml:space="preserve"> 打开走 ②，</w:t>
      </w:r>
      <w:r>
        <w:rPr>
          <w:rFonts w:ascii="Consolas" w:hAnsi="Consolas" w:eastAsia="Consolas"/>
          <w:sz w:val="20"/>
        </w:rPr>
        <w:t>file://</w:t>
      </w:r>
      <w:r>
        <w:rPr>
          <w:rFonts w:ascii="微软雅黑" w:hAnsi="微软雅黑" w:eastAsia="微软雅黑"/>
          <w:sz w:val="21"/>
        </w:rPr>
        <w:t xml:space="preserve"> 打开走 ①。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5"/>
        </w:rPr>
        <w:t>目录结构</w:t>
      </w:r>
    </w:p>
    <w:p>
      <w:pPr>
        <w:ind w:left="240"/>
      </w:pPr>
      <w:r>
        <w:rPr>
          <w:rFonts w:ascii="Consolas" w:hAnsi="Consolas" w:eastAsia="Consolas"/>
          <w:sz w:val="18"/>
        </w:rPr>
        <w:t>prototype/            前端（零构建、零依赖）</w:t>
        <w:br/>
        <w:t xml:space="preserve">  index.html          入口；按打开方式决定是否加载 intl-catalog</w:t>
        <w:br/>
        <w:t xml:space="preserve">  assets/js/core/     store / search / qa / api / fulltext / i18n / router</w:t>
        <w:br/>
        <w:t xml:space="preserve">  assets/js/views/    home / search / law / compare / assistant / terms / sources</w:t>
        <w:br/>
        <w:t xml:space="preserve">  assets/css/         base / layout / components / views</w:t>
        <w:br/>
        <w:t xml:space="preserve">  data/laws/          权威存储：18,785 个 &lt;法规ID&gt;.json</w:t>
        <w:br/>
        <w:t xml:space="preserve">  data/{cn,intl,fulltext}/   条文分卷（按需加载）</w:t>
        <w:br/>
        <w:t xml:space="preserve">  data/trans/         译文层（21 分卷，与原文物理分离）</w:t>
        <w:br/>
        <w:t xml:space="preserve">  data/title-zh/      中文标题档案（含来源与引擎）</w:t>
        <w:br/>
        <w:br/>
        <w:t>backend/              后端（FastAPI + SQLite + ONNX 向量）</w:t>
        <w:br/>
        <w:t xml:space="preserve">  build_db.py         laws/*.json → calr.db</w:t>
        <w:br/>
        <w:t xml:space="preserve">  app/main.py         API 路由</w:t>
        <w:br/>
        <w:t xml:space="preserve">  app/db.py           只读数据库访问层</w:t>
        <w:br/>
        <w:t xml:space="preserve">  app/search.py       法规级 BM25</w:t>
        <w:br/>
        <w:t xml:space="preserve">  app/vectors.py      int8 向量索引 + RRF</w:t>
        <w:br/>
        <w:t xml:space="preserve">  app/hybrid.py       BM25 + 向量融合 + 国别约束</w:t>
        <w:br/>
        <w:t xml:space="preserve">  app/embedder.py     bge-m3 ONNX 封装（GPU 优先）</w:t>
        <w:br/>
        <w:t xml:space="preserve">  app/security.py     CORS / 限流 / 请求体上限 / QA 鉴权</w:t>
        <w:br/>
        <w:t xml:space="preserve">  test_api.py         13 项自测</w:t>
        <w:br/>
        <w:br/>
        <w:t>tools/                校验工具（verify-data / verify-data-home / test-trans-layer）</w:t>
        <w:br/>
        <w:t>rules/                项目红线与数据规范（SKILL）</w:t>
        <w:br/>
        <w:t>docs/                 本文档集（4 份）</w:t>
        <w:br/>
        <w:t>deliverables/         对外交付（本 4 份的 docx 版）</w:t>
        <w:br/>
        <w:t>_work/                本地工作区（不入库）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5"/>
        </w:rPr>
        <w:t>本机运行</w:t>
      </w:r>
    </w:p>
    <w:p>
      <w:pPr>
        <w:ind w:left="240"/>
      </w:pPr>
      <w:r>
        <w:rPr>
          <w:rFonts w:ascii="Consolas" w:hAnsi="Consolas" w:eastAsia="Consolas"/>
          <w:sz w:val="18"/>
        </w:rPr>
        <w:t># 建库（首次约 7 分钟）</w:t>
        <w:br/>
        <w:t>python backend/build_db.py</w:t>
        <w:br/>
        <w:br/>
        <w:t># 起服务（同时托管静态站）</w:t>
        <w:br/>
        <w:t>pip install -r backend/requirements.txt</w:t>
        <w:br/>
        <w:t>uvicorn backend.app.main:app --host 0.0.0.0 --port 8000</w:t>
        <w:br/>
        <w:t># 浏览器打开 http://127.0.0.1:8000/</w:t>
      </w:r>
    </w:p>
    <w:p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五、六个关键设计取舍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取舍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理由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权威存储用「一法一 JSON」而非数据库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法规是长文本、以整部为单位使用；JSON 便于人工审查、diff、逐部替换。数据库只是派生视图，随时可重建。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译文与原文物理分离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红线要求「不得把译文写回原文」。译放在 </w:t>
            </w:r>
            <w:r>
              <w:rPr>
                <w:rFonts w:ascii="Consolas" w:hAnsi="Consolas" w:eastAsia="Consolas"/>
                <w:sz w:val="18"/>
              </w:rPr>
              <w:t>data/trans/</w:t>
            </w:r>
            <w:r>
              <w:rPr>
                <w:rFonts w:ascii="微软雅黑" w:hAnsi="微软雅黑" w:eastAsia="微软雅黑"/>
                <w:sz w:val="19"/>
              </w:rPr>
              <w:t>，运行时按需合并进内存，磁盘上永不混写。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零依赖 SPA，不做构建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评委只需浏览器即可运行，不依赖 Node、不依赖网络；答辩现场不会因为环境问题失败。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SQLite 而非 PostgreSQL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单文件、零运维、可整库备份；18,785 部 / 34 万条的规模用 SQLite 完全够，检索延迟 P50 约 0.3–0.6 秒。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ONNX 而非 PyTorch 推理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省掉 2.5 GB 依赖；CPU 上比 PyTorch 快 3–5 倍；配 DirectML 可直接用任意 DX12 显卡，无需装 CUDA。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RRF 融合而非加权求和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BM25 分数量级 60–150，余弦 0–1，量纲不可比；RRF 只看排名，无需归一化也无需为每个查询调参。</w:t>
            </w:r>
          </w:p>
        </w:tc>
      </w:tr>
    </w:tbl>
    <w:p/>
    <w:p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六、已知不足（如实列出）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现状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影响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条文级向量略滞后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向量基于清理前的 18,861 部 / 334,779 条构建；当前库为 18,785 / 338,996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检索可用；被切分的 51 部法规的条文向量仍是旧的整段向量，召回精度略降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泰文标题为机器翻译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571 部泰文标题用 NLLB-200 译出，未人工校对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约六至七成可用，部分需人工复核；原文标题始终保留可查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325 部法规条号重复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多文件合集的各部分条号各自从 1 起编，已用 </w:t>
            </w:r>
            <w:r>
              <w:rPr>
                <w:rFonts w:ascii="Consolas" w:hAnsi="Consolas" w:eastAsia="Consolas"/>
                <w:sz w:val="18"/>
              </w:rPr>
              <w:t>dupIndex</w:t>
            </w:r>
            <w:r>
              <w:rPr>
                <w:rFonts w:ascii="微软雅黑" w:hAnsi="微软雅黑" w:eastAsia="微软雅黑"/>
                <w:sz w:val="19"/>
              </w:rPr>
              <w:t xml:space="preserve"> 保留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译文层与跨层比对需特殊处理，已有 5 部列为「编号不可对齐」例外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5,321 部缺中文标题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多为泰文/缅文原文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列表显示原文标题，不空白但中文用户阅读成本高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判例数据未入库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已收集 1,275 页判例 PDF，其中 3 份缅甸文 OCR 不可读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判例检索能力缺失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缅甸文 OCR 不可用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本机无缅甸文识别模型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缅甸文法规只能保留原文，无法结构化</w:t>
            </w:r>
          </w:p>
        </w:tc>
      </w:tr>
    </w:tbl>
    <w:p/>
    <w:p>
      <w:pPr>
        <w:spacing w:after="80" w:line="300" w:lineRule="auto"/>
      </w:pPr>
      <w:r>
        <w:rPr>
          <w:rFonts w:ascii="微软雅黑" w:hAnsi="微软雅黑" w:eastAsia="微软雅黑"/>
          <w:sz w:val="21"/>
        </w:rPr>
        <w:t xml:space="preserve">详细数据问题与处置记录见 </w:t>
      </w:r>
      <w:r>
        <w:rPr>
          <w:rFonts w:ascii="Consolas" w:hAnsi="Consolas" w:eastAsia="Consolas"/>
          <w:sz w:val="20"/>
        </w:rPr>
        <w:t>02-数据规范与治理.md</w:t>
      </w:r>
      <w:r>
        <w:rPr>
          <w:rFonts w:ascii="微软雅黑" w:hAnsi="微软雅黑" w:eastAsia="微软雅黑"/>
          <w:sz w:val="21"/>
        </w:rPr>
        <w:t>。</w:t>
      </w:r>
    </w:p>
    <w:p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七、文档导航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文档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01 · 项目总览</w:t>
            </w:r>
            <w:r>
              <w:rPr>
                <w:rFonts w:ascii="微软雅黑" w:hAnsi="微软雅黑" w:eastAsia="微软雅黑"/>
                <w:sz w:val="19"/>
              </w:rPr>
              <w:t>（本文）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定位、规模、功能、技术栈、运行方式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02 · 数据规范与治理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数据模型、入库流程、质量治理、红线、批次记录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03 · 技术架构与检索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前端架构、后端 API、检索链路、性能、安全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04 · 交付验收与后续规划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校验体系、评测指标、已知问题、路线图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