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eastAsia="方正黑体_GBK;微软雅黑" w:cs="Times New Roman"/>
          <w:kern w:val="2"/>
          <w:sz w:val="32"/>
          <w:szCs w:val="32"/>
        </w:rPr>
      </w:pPr>
      <w:r>
        <w:rPr>
          <w:rFonts w:ascii="Times New Roman" w:hAnsi="Times New Roman" w:cs="Times New Roman" w:eastAsia="方正黑体_GBK;微软雅黑"/>
          <w:kern w:val="2"/>
          <w:sz w:val="32"/>
          <w:szCs w:val="32"/>
        </w:rPr>
        <w:t>附件</w:t>
      </w:r>
      <w:r>
        <w:rPr>
          <w:rFonts w:eastAsia="方正黑体_GBK;微软雅黑" w:cs="Times New Roman" w:ascii="Times New Roman" w:hAnsi="Times New Roman"/>
          <w:kern w:val="2"/>
          <w:sz w:val="32"/>
          <w:szCs w:val="32"/>
        </w:rPr>
        <w:t>2</w:t>
      </w:r>
    </w:p>
    <w:p>
      <w:pPr>
        <w:pStyle w:val="Normal"/>
        <w:spacing w:before="162" w:after="0"/>
        <w:rPr>
          <w:rFonts w:ascii="Times New Roman" w:hAnsi="Times New Roman" w:cs="Times New Roman"/>
          <w:color w:val="000000"/>
          <w:sz w:val="30"/>
          <w:szCs w:val="30"/>
        </w:rPr>
      </w:pPr>
      <w:r>
        <w:rPr>
          <w:rFonts w:eastAsia="方正黑体_GBK;微软雅黑" w:cs="Times New Roman" w:ascii="Times New Roman" w:hAnsi="Times New Roman"/>
          <w:color w:val="000000"/>
          <w:kern w:val="2"/>
          <w:sz w:val="30"/>
          <w:szCs w:val="30"/>
        </w:rPr>
      </w:r>
    </w:p>
    <w:p>
      <w:pPr>
        <w:pStyle w:val="Heading"/>
        <w:spacing w:lineRule="exact" w:line="590"/>
        <w:outlineLvl w:val="9"/>
        <w:rPr>
          <w:rFonts w:ascii="Times New Roman" w:hAnsi="Times New Roman" w:eastAsia="方正小标宋_GBK;微软雅黑" w:cs="Times New Roman"/>
          <w:kern w:val="2"/>
        </w:rPr>
      </w:pPr>
      <w:r>
        <w:rPr>
          <w:rFonts w:eastAsia="方正小标宋_GBK;微软雅黑" w:cs="Times New Roman" w:ascii="Times New Roman" w:hAnsi="Times New Roman"/>
          <w:kern w:val="2"/>
        </w:rPr>
        <w:t>2026</w:t>
      </w:r>
      <w:r>
        <w:rPr>
          <w:rFonts w:ascii="Times New Roman" w:hAnsi="Times New Roman" w:cs="Times New Roman" w:eastAsia="方正小标宋_GBK;微软雅黑"/>
          <w:kern w:val="2"/>
        </w:rPr>
        <w:t>年中国（广西）—东盟“</w:t>
      </w:r>
      <w:r>
        <w:rPr>
          <w:rFonts w:eastAsia="方正小标宋_GBK;微软雅黑" w:cs="Times New Roman" w:ascii="Times New Roman" w:hAnsi="Times New Roman"/>
          <w:kern w:val="2"/>
        </w:rPr>
        <w:t>AI+</w:t>
      </w:r>
      <w:r>
        <w:rPr>
          <w:rFonts w:ascii="Times New Roman" w:hAnsi="Times New Roman" w:cs="Times New Roman" w:eastAsia="方正小标宋_GBK;微软雅黑"/>
          <w:kern w:val="2"/>
        </w:rPr>
        <w:t>法律”</w:t>
      </w:r>
    </w:p>
    <w:p>
      <w:pPr>
        <w:pStyle w:val="Heading"/>
        <w:rPr>
          <w:rFonts w:ascii="Times New Roman" w:hAnsi="Times New Roman" w:eastAsia="方正小标宋_GBK;微软雅黑" w:cs="Times New Roman"/>
          <w:sz w:val="44"/>
          <w:szCs w:val="44"/>
        </w:rPr>
      </w:pPr>
      <w:r>
        <w:rPr>
          <w:rFonts w:ascii="Times New Roman" w:hAnsi="Times New Roman" w:cs="Times New Roman" w:eastAsia="方正小标宋_GBK;微软雅黑"/>
          <w:kern w:val="2"/>
        </w:rPr>
        <w:t>应用创新大赛</w:t>
      </w:r>
      <w:r>
        <w:rPr>
          <w:rFonts w:ascii="Times New Roman" w:hAnsi="Times New Roman" w:cs="Times New Roman" w:eastAsia="方正小标宋_GBK;微软雅黑"/>
          <w:sz w:val="44"/>
          <w:szCs w:val="44"/>
          <w:lang w:eastAsia="zh-CN"/>
        </w:rPr>
        <w:t>项目</w:t>
      </w:r>
      <w:r>
        <w:rPr>
          <w:rFonts w:ascii="Times New Roman" w:hAnsi="Times New Roman" w:cs="Times New Roman" w:eastAsia="方正小标宋_GBK;微软雅黑"/>
          <w:sz w:val="44"/>
          <w:szCs w:val="44"/>
        </w:rPr>
        <w:t>申报书</w:t>
      </w:r>
    </w:p>
    <w:p>
      <w:pPr>
        <w:pStyle w:val="Normal"/>
        <w:jc w:val="start"/>
        <w:rPr>
          <w:rFonts w:ascii="Times New Roman" w:hAnsi="Times New Roman" w:eastAsia="楷体_GB2312" w:cs="Times New Roman"/>
          <w:sz w:val="36"/>
        </w:rPr>
      </w:pPr>
      <w:r>
        <w:rPr>
          <w:rFonts w:eastAsia="楷体_GB2312" w:cs="Times New Roman" w:ascii="Times New Roman" w:hAnsi="Times New Roman"/>
          <w:sz w:val="36"/>
          <w:szCs w:val="44"/>
        </w:rPr>
      </w:r>
    </w:p>
    <w:p>
      <w:pPr>
        <w:pStyle w:val="Normal"/>
        <w:jc w:val="start"/>
        <w:rPr>
          <w:rFonts w:ascii="Times New Roman" w:hAnsi="Times New Roman" w:eastAsia="楷体_GB2312" w:cs="Times New Roman"/>
          <w:sz w:val="36"/>
        </w:rPr>
      </w:pPr>
      <w:r>
        <w:rPr>
          <w:rFonts w:eastAsia="楷体_GB2312" w:cs="Times New Roman" w:ascii="Times New Roman" w:hAnsi="Times New Roman"/>
          <w:sz w:val="36"/>
        </w:rPr>
      </w:r>
    </w:p>
    <w:p>
      <w:pPr>
        <w:pStyle w:val="Normal"/>
        <w:jc w:val="start"/>
        <w:rPr>
          <w:rFonts w:ascii="Times New Roman" w:hAnsi="Times New Roman" w:eastAsia="楷体_GB2312" w:cs="Times New Roman"/>
          <w:sz w:val="36"/>
        </w:rPr>
      </w:pPr>
      <w:r>
        <w:rPr>
          <w:rFonts w:eastAsia="楷体_GB2312" w:cs="Times New Roman" w:ascii="Times New Roman" w:hAnsi="Times New Roman"/>
          <w:sz w:val="36"/>
        </w:rPr>
      </w:r>
    </w:p>
    <w:p>
      <w:pPr>
        <w:pStyle w:val="Normal"/>
        <w:jc w:val="start"/>
        <w:rPr>
          <w:rFonts w:ascii="Times New Roman" w:hAnsi="Times New Roman" w:eastAsia="楷体_GB2312" w:cs="Times New Roman"/>
          <w:sz w:val="36"/>
        </w:rPr>
      </w:pPr>
      <w:r>
        <w:rPr>
          <w:rFonts w:eastAsia="楷体_GB2312" w:cs="Times New Roman" w:ascii="Times New Roman" w:hAnsi="Times New Roman"/>
          <w:sz w:val="36"/>
        </w:rPr>
      </w:r>
    </w:p>
    <w:p>
      <w:pPr>
        <w:pStyle w:val="Normal"/>
        <w:jc w:val="start"/>
        <w:rPr>
          <w:rFonts w:ascii="Times New Roman" w:hAnsi="Times New Roman" w:eastAsia="仿宋_GB2312" w:cs="Times New Roman"/>
          <w:sz w:val="32"/>
          <w:szCs w:val="32"/>
          <w:u w:val="single"/>
        </w:rPr>
      </w:pPr>
      <w:r>
        <w:rPr>
          <w:rFonts w:ascii="Times New Roman" w:hAnsi="Times New Roman" w:cs="Times New Roman" w:eastAsia="仿宋_GB2312"/>
          <w:spacing w:val="20"/>
          <w:sz w:val="32"/>
          <w:szCs w:val="32"/>
        </w:rPr>
        <w:t>参赛队名称：上海对外经贸大学一粒橡子队</w:t>
      </w:r>
      <w:r>
        <w:rPr>
          <w:rFonts w:ascii="Times New Roman" w:hAnsi="Times New Roman" w:cs="Times New Roman" w:eastAsia="仿宋_GB2312"/>
          <w:sz w:val="32"/>
          <w:szCs w:val="32"/>
        </w:rPr>
      </w:r>
      <w:r>
        <w:rPr>
          <w:rFonts w:ascii="Times New Roman" w:hAnsi="Times New Roman" w:cs="Times New Roman" w:eastAsia="仿宋_GB2312"/>
          <w:sz w:val="32"/>
          <w:szCs w:val="32"/>
          <w:u w:val="single"/>
        </w:rPr>
      </w:r>
    </w:p>
    <w:p>
      <w:pPr>
        <w:pStyle w:val="Normal"/>
        <w:jc w:val="start"/>
        <w:rPr>
          <w:rFonts w:ascii="Times New Roman" w:hAnsi="Times New Roman" w:eastAsia="仿宋_GB2312" w:cs="Times New Roman"/>
          <w:sz w:val="32"/>
          <w:szCs w:val="32"/>
          <w:u w:val="single"/>
        </w:rPr>
      </w:pPr>
      <w:r>
        <w:rPr>
          <w:rFonts w:ascii="Times New Roman" w:hAnsi="Times New Roman" w:cs="Times New Roman" w:eastAsia="仿宋_GB2312"/>
          <w:sz w:val="32"/>
          <w:szCs w:val="32"/>
          <w:lang w:eastAsia="zh-CN"/>
        </w:rPr>
        <w:t>项 目 名 称：中国—东盟多语种法律法规数据库（CALR）</w:t>
      </w:r>
      <w:r>
        <w:rPr>
          <w:rFonts w:ascii="Times New Roman" w:hAnsi="Times New Roman" w:cs="Times New Roman" w:eastAsia="仿宋_GB2312"/>
          <w:sz w:val="32"/>
          <w:szCs w:val="32"/>
        </w:rPr>
      </w:r>
      <w:r>
        <w:rPr>
          <w:rFonts w:ascii="Times New Roman" w:hAnsi="Times New Roman" w:cs="Times New Roman" w:eastAsia="仿宋_GB2312"/>
          <w:sz w:val="32"/>
          <w:szCs w:val="32"/>
          <w:u w:val="single"/>
        </w:rPr>
      </w:r>
    </w:p>
    <w:p>
      <w:pPr>
        <w:pStyle w:val="Normal"/>
        <w:jc w:val="start"/>
        <w:rPr>
          <w:rFonts w:ascii="Times New Roman" w:hAnsi="Times New Roman" w:eastAsia="仿宋_GB2312" w:cs="Times New Roman"/>
          <w:sz w:val="32"/>
          <w:szCs w:val="32"/>
          <w:u w:val="single"/>
        </w:rPr>
      </w:pPr>
      <w:r>
        <w:rPr>
          <w:rFonts w:ascii="Times New Roman" w:hAnsi="Times New Roman" w:cs="Times New Roman" w:hint="eastAsia" w:eastAsia="仿宋_GB2312"/>
          <w:sz w:val="32"/>
          <w:szCs w:val="32"/>
        </w:rPr>
        <w:t>牵头单位（个人）名称：上海对外经贸大学（参赛队负责人：王勃森）</w:t>
      </w:r>
      <w:r>
        <w:rPr>
          <w:rFonts w:ascii="Times New Roman" w:hAnsi="Times New Roman" w:cs="Times New Roman" w:eastAsia="仿宋_GB2312"/>
          <w:sz w:val="32"/>
          <w:szCs w:val="32"/>
        </w:rPr>
      </w:r>
      <w:r>
        <w:rPr>
          <w:rFonts w:ascii="Times New Roman" w:hAnsi="Times New Roman" w:cs="Times New Roman" w:eastAsia="仿宋_GB2312"/>
          <w:sz w:val="32"/>
          <w:szCs w:val="32"/>
          <w:u w:val="single"/>
        </w:rPr>
      </w:r>
      <w:r>
        <w:rPr>
          <w:rFonts w:ascii="Times New Roman" w:hAnsi="Times New Roman" w:cs="Times New Roman" w:hint="eastAsia" w:eastAsia="仿宋_GB2312"/>
          <w:sz w:val="32"/>
          <w:szCs w:val="32"/>
          <w:u w:val="single"/>
        </w:rPr>
      </w:r>
      <w:r>
        <w:rPr>
          <w:rFonts w:ascii="Times New Roman" w:hAnsi="Times New Roman" w:cs="Times New Roman" w:eastAsia="仿宋_GB2312"/>
          <w:sz w:val="32"/>
          <w:szCs w:val="32"/>
          <w:u w:val="single"/>
        </w:rPr>
      </w:r>
    </w:p>
    <w:p>
      <w:pPr>
        <w:pStyle w:val="Normal"/>
        <w:jc w:val="start"/>
        <w:rPr>
          <w:rFonts w:ascii="Times New Roman" w:hAnsi="Times New Roman" w:eastAsia="仿宋_GB2312" w:cs="Times New Roman"/>
          <w:kern w:val="2"/>
          <w:sz w:val="32"/>
          <w:szCs w:val="32"/>
          <w:u w:val="none"/>
        </w:rPr>
      </w:pPr>
      <w:r>
        <w:rPr>
          <w:rFonts w:ascii="Times New Roman" w:hAnsi="Times New Roman" w:cs="Times New Roman" w:hint="eastAsia" w:eastAsia="仿宋_GB2312"/>
          <w:sz w:val="32"/>
          <w:szCs w:val="32"/>
        </w:rPr>
        <w:t>申 报 赛 道</w:t>
      </w:r>
      <w:r>
        <w:rPr>
          <w:rFonts w:ascii="Times New Roman" w:hAnsi="Times New Roman" w:cs="Times New Roman" w:eastAsia="仿宋_GB2312"/>
          <w:sz w:val="32"/>
          <w:szCs w:val="32"/>
        </w:rPr>
        <w:t>：</w:t>
      </w:r>
      <w:r>
        <w:rPr>
          <w:rFonts w:ascii="Times New Roman" w:hAnsi="Times New Roman" w:cs="Times New Roman" w:eastAsia="仿宋_GB2312"/>
          <w:kern w:val="2"/>
          <w:sz w:val="48"/>
          <w:szCs w:val="48"/>
          <w:u w:val="none"/>
        </w:rPr>
        <w:t>□</w:t>
      </w:r>
      <w:r>
        <w:rPr>
          <w:rFonts w:ascii="Times New Roman" w:hAnsi="Times New Roman" w:cs="Times New Roman" w:hint="eastAsia" w:eastAsia="仿宋_GB2312"/>
          <w:kern w:val="2"/>
          <w:sz w:val="32"/>
          <w:szCs w:val="32"/>
          <w:u w:val="none"/>
        </w:rPr>
        <w:t>国内应用赛道</w:t>
      </w:r>
      <w:r>
        <w:rPr>
          <w:rFonts w:ascii="Times New Roman" w:hAnsi="Times New Roman" w:cs="Times New Roman" w:hint="eastAsia" w:eastAsia="仿宋_GB2312"/>
          <w:kern w:val="2"/>
          <w:sz w:val="48"/>
          <w:szCs w:val="48"/>
          <w:u w:val="none"/>
        </w:rPr>
        <w:t>☑</w:t>
      </w:r>
      <w:r>
        <w:rPr>
          <w:rFonts w:ascii="Times New Roman" w:hAnsi="Times New Roman" w:cs="Times New Roman" w:hint="eastAsia" w:eastAsia="仿宋_GB2312"/>
          <w:kern w:val="2"/>
          <w:sz w:val="32"/>
          <w:szCs w:val="32"/>
          <w:u w:val="none"/>
        </w:rPr>
        <w:t>高校学生赛道</w:t>
      </w:r>
      <w:r>
        <w:rPr>
          <w:rFonts w:ascii="Times New Roman" w:hAnsi="Times New Roman" w:cs="Times New Roman" w:eastAsia="仿宋_GB2312"/>
          <w:kern w:val="2"/>
          <w:sz w:val="48"/>
          <w:szCs w:val="48"/>
          <w:u w:val="none"/>
        </w:rPr>
        <w:t>□</w:t>
      </w:r>
      <w:r>
        <w:rPr>
          <w:rFonts w:ascii="Times New Roman" w:hAnsi="Times New Roman" w:cs="Times New Roman" w:hint="eastAsia" w:eastAsia="仿宋_GB2312"/>
          <w:kern w:val="2"/>
          <w:sz w:val="32"/>
          <w:szCs w:val="32"/>
          <w:u w:val="none"/>
        </w:rPr>
        <w:t>东盟应用赛道</w:t>
      </w:r>
    </w:p>
    <w:p>
      <w:pPr>
        <w:pStyle w:val="BodyText"/>
        <w:rPr>
          <w:rFonts w:ascii="Times New Roman" w:hAnsi="Times New Roman" w:eastAsia="仿宋_GB2312" w:cs="Times New Roman"/>
          <w:bCs w:val="false"/>
          <w:sz w:val="32"/>
          <w:szCs w:val="32"/>
          <w:u w:val="none"/>
        </w:rPr>
        <w:sectPr>
          <w:footerReference w:type="default" r:id="rId2"/>
          <w:type w:val="nextPage"/>
          <w:pgSz w:w="11906" w:h="16838"/>
          <w:pgMar w:left="1588" w:right="1474" w:gutter="0" w:header="0" w:top="2098" w:footer="1531" w:bottom="1984"/>
          <w:pgNumType w:start="1" w:fmt="decimal"/>
          <w:formProt w:val="false"/>
          <w:textDirection w:val="lrTb"/>
          <w:docGrid w:type="linesAndChars" w:linePitch="408" w:charSpace="0"/>
        </w:sectPr>
      </w:pPr>
      <w:r>
        <w:rPr>
          <w:rFonts w:ascii="Times New Roman" w:hAnsi="Times New Roman" w:cs="Times New Roman"/>
          <w:sz w:val="32"/>
          <w:szCs w:val="32"/>
          <w:u w:val="none"/>
        </w:rPr>
        <w:t>联系人：王勃森        联系方式：17395674267</w:t>
      </w:r>
    </w:p>
    <w:p>
      <w:pPr>
        <w:pStyle w:val="Normal"/>
        <w:spacing w:lineRule="exact" w:line="579"/>
        <w:jc w:val="center"/>
        <w:rPr>
          <w:rFonts w:ascii="Times New Roman" w:hAnsi="Times New Roman" w:eastAsia="方正小标宋_GBK;微软雅黑" w:cs="Times New Roman"/>
          <w:sz w:val="44"/>
          <w:szCs w:val="44"/>
        </w:rPr>
      </w:pPr>
      <w:r>
        <w:rPr>
          <w:rFonts w:ascii="Times New Roman" w:hAnsi="Times New Roman" w:cs="Times New Roman" w:eastAsia="方正小标宋_GBK;微软雅黑"/>
          <w:sz w:val="44"/>
          <w:szCs w:val="44"/>
        </w:rPr>
        <w:t>填写说明</w:t>
      </w:r>
    </w:p>
    <w:p>
      <w:pPr>
        <w:pStyle w:val="Normal"/>
        <w:widowControl/>
        <w:jc w:val="start"/>
        <w:rPr>
          <w:rFonts w:ascii="Times New Roman" w:hAnsi="Times New Roman" w:eastAsia="方正仿宋_GBK;微软雅黑" w:cs="Times New Roman"/>
          <w:color w:val="000000"/>
          <w:kern w:val="0"/>
          <w:sz w:val="31"/>
          <w:szCs w:val="31"/>
          <w:lang w:bidi="ar"/>
        </w:rPr>
      </w:pPr>
      <w:r>
        <w:rPr>
          <w:rFonts w:eastAsia="方正仿宋_GBK;微软雅黑" w:cs="Times New Roman" w:ascii="Times New Roman" w:hAnsi="Times New Roman"/>
          <w:color w:val="000000"/>
          <w:kern w:val="0"/>
          <w:sz w:val="31"/>
          <w:szCs w:val="31"/>
          <w:lang w:bidi="ar"/>
        </w:rPr>
      </w:r>
    </w:p>
    <w:p>
      <w:pPr>
        <w:pStyle w:val="Normal"/>
        <w:keepNext w:val="false"/>
        <w:keepLines w:val="false"/>
        <w:pageBreakBefore w:val="false"/>
        <w:widowControl/>
        <w:kinsoku w:val="true"/>
        <w:overflowPunct w:val="true"/>
        <w:autoSpaceDE w:val="true"/>
        <w:bidi w:val="0"/>
        <w:snapToGrid w:val="true"/>
        <w:spacing w:lineRule="exact" w:line="590"/>
        <w:ind w:firstLineChars="200" w:startChars="0" w:start="0" w:endChars="0" w:end="0"/>
        <w:jc w:val="start"/>
        <w:textAlignment w:val="auto"/>
        <w:rPr>
          <w:rFonts w:ascii="Times New Roman" w:hAnsi="Times New Roman" w:eastAsia="仿宋_GB2312" w:cs="Times New Roman"/>
          <w:color w:val="000000"/>
          <w:kern w:val="0"/>
          <w:sz w:val="32"/>
          <w:szCs w:val="32"/>
          <w:lang w:bidi="ar"/>
        </w:rPr>
      </w:pPr>
      <w:r>
        <w:rPr>
          <w:rFonts w:ascii="Times New Roman" w:hAnsi="Times New Roman" w:cs="Times New Roman" w:eastAsia="仿宋_GB2312"/>
          <w:color w:val="000000"/>
          <w:kern w:val="0"/>
          <w:sz w:val="32"/>
          <w:szCs w:val="32"/>
          <w:lang w:bidi="ar"/>
        </w:rPr>
        <w:t>一、请如实、完整填写各项内容，不得空项、漏项。如确无相关内容，请填写“无”。</w:t>
      </w:r>
    </w:p>
    <w:p>
      <w:pPr>
        <w:pStyle w:val="Normal"/>
        <w:keepNext w:val="false"/>
        <w:keepLines w:val="false"/>
        <w:pageBreakBefore w:val="false"/>
        <w:widowControl/>
        <w:kinsoku w:val="true"/>
        <w:overflowPunct w:val="true"/>
        <w:autoSpaceDE w:val="true"/>
        <w:bidi w:val="0"/>
        <w:snapToGrid w:val="true"/>
        <w:spacing w:lineRule="exact" w:line="590"/>
        <w:ind w:firstLineChars="200" w:startChars="0" w:start="0" w:endChars="0" w:end="0"/>
        <w:jc w:val="start"/>
        <w:textAlignment w:val="auto"/>
        <w:rPr>
          <w:rFonts w:ascii="Times New Roman" w:hAnsi="Times New Roman" w:eastAsia="仿宋_GB2312" w:cs="Times New Roman"/>
          <w:color w:val="000000"/>
          <w:kern w:val="0"/>
          <w:sz w:val="32"/>
          <w:szCs w:val="32"/>
          <w:lang w:bidi="ar"/>
        </w:rPr>
      </w:pPr>
      <w:r>
        <w:rPr>
          <w:rFonts w:ascii="Times New Roman" w:hAnsi="Times New Roman" w:cs="Times New Roman" w:eastAsia="仿宋_GB2312"/>
          <w:color w:val="000000"/>
          <w:kern w:val="0"/>
          <w:sz w:val="32"/>
          <w:szCs w:val="32"/>
          <w:lang w:bidi="ar"/>
        </w:rPr>
        <w:t>二、申报材料应客观、真实，尊重他人知识产权，遵守国家有关法律法规。涉及使用第三方数据、代码或模型的，须在申报书中明确标注来源并说明使用授权情况。</w:t>
      </w:r>
    </w:p>
    <w:p>
      <w:pPr>
        <w:pStyle w:val="Normal"/>
        <w:keepNext w:val="false"/>
        <w:keepLines w:val="false"/>
        <w:pageBreakBefore w:val="false"/>
        <w:widowControl/>
        <w:kinsoku w:val="true"/>
        <w:overflowPunct w:val="true"/>
        <w:autoSpaceDE w:val="true"/>
        <w:bidi w:val="0"/>
        <w:snapToGrid w:val="true"/>
        <w:spacing w:lineRule="exact" w:line="590"/>
        <w:ind w:firstLineChars="200" w:startChars="0" w:start="0" w:endChars="0" w:end="0"/>
        <w:jc w:val="start"/>
        <w:textAlignment w:val="auto"/>
        <w:rPr>
          <w:rFonts w:ascii="Times New Roman" w:hAnsi="Times New Roman" w:eastAsia="仿宋_GB2312" w:cs="Times New Roman"/>
          <w:color w:val="000000"/>
          <w:kern w:val="0"/>
          <w:sz w:val="32"/>
          <w:szCs w:val="32"/>
          <w:lang w:bidi="ar"/>
        </w:rPr>
      </w:pPr>
      <w:r>
        <w:rPr>
          <w:rFonts w:ascii="Times New Roman" w:hAnsi="Times New Roman" w:cs="Times New Roman" w:eastAsia="仿宋_GB2312"/>
          <w:color w:val="000000"/>
          <w:kern w:val="0"/>
          <w:sz w:val="32"/>
          <w:szCs w:val="32"/>
          <w:lang w:bidi="ar"/>
        </w:rPr>
        <w:t>三、涉及东盟</w:t>
      </w:r>
      <w:r>
        <w:rPr>
          <w:rFonts w:ascii="Times New Roman" w:hAnsi="Times New Roman" w:cs="Times New Roman" w:hint="eastAsia" w:eastAsia="仿宋_GB2312"/>
          <w:color w:val="000000"/>
          <w:kern w:val="0"/>
          <w:sz w:val="32"/>
          <w:szCs w:val="32"/>
          <w:lang w:bidi="ar"/>
        </w:rPr>
        <w:t>各</w:t>
      </w:r>
      <w:r>
        <w:rPr>
          <w:rFonts w:ascii="Times New Roman" w:hAnsi="Times New Roman" w:cs="Times New Roman" w:eastAsia="仿宋_GB2312"/>
          <w:color w:val="000000"/>
          <w:kern w:val="0"/>
          <w:sz w:val="32"/>
          <w:szCs w:val="32"/>
          <w:lang w:bidi="ar"/>
        </w:rPr>
        <w:t>国法律法规、政策文件或案例数据的，应注明所引用法律文件的国别、名称及生效版本，确保信息来源合法、权威、可追溯。</w:t>
      </w:r>
    </w:p>
    <w:p>
      <w:pPr>
        <w:pStyle w:val="Normal"/>
        <w:keepNext w:val="false"/>
        <w:keepLines w:val="false"/>
        <w:pageBreakBefore w:val="false"/>
        <w:widowControl/>
        <w:kinsoku w:val="true"/>
        <w:overflowPunct w:val="true"/>
        <w:autoSpaceDE w:val="true"/>
        <w:bidi w:val="0"/>
        <w:snapToGrid w:val="true"/>
        <w:spacing w:lineRule="exact" w:line="590"/>
        <w:ind w:firstLineChars="200" w:startChars="0" w:start="0" w:endChars="0" w:end="0"/>
        <w:jc w:val="start"/>
        <w:textAlignment w:val="auto"/>
        <w:rPr>
          <w:rFonts w:ascii="Times New Roman" w:hAnsi="Times New Roman" w:eastAsia="仿宋_GB2312" w:cs="Times New Roman"/>
          <w:color w:val="000000"/>
          <w:kern w:val="0"/>
          <w:sz w:val="32"/>
          <w:szCs w:val="32"/>
          <w:lang w:bidi="ar"/>
        </w:rPr>
      </w:pPr>
      <w:r>
        <w:rPr>
          <w:rFonts w:ascii="Times New Roman" w:hAnsi="Times New Roman" w:cs="Times New Roman" w:eastAsia="仿宋_GB2312"/>
          <w:color w:val="000000"/>
          <w:kern w:val="0"/>
          <w:sz w:val="32"/>
          <w:szCs w:val="32"/>
          <w:lang w:bidi="ar"/>
        </w:rPr>
        <w:t>四、第一次出现英文名词时，应同时写明英文全称和英文缩写，再出现同一词时方可使用缩写。</w:t>
      </w:r>
    </w:p>
    <w:p>
      <w:pPr>
        <w:pStyle w:val="Normal"/>
        <w:keepNext w:val="false"/>
        <w:keepLines w:val="false"/>
        <w:pageBreakBefore w:val="false"/>
        <w:widowControl/>
        <w:kinsoku w:val="true"/>
        <w:overflowPunct w:val="true"/>
        <w:autoSpaceDE w:val="true"/>
        <w:bidi w:val="0"/>
        <w:snapToGrid w:val="true"/>
        <w:spacing w:lineRule="exact" w:line="590"/>
        <w:ind w:firstLineChars="200" w:startChars="0" w:start="0" w:endChars="0" w:end="0"/>
        <w:jc w:val="start"/>
        <w:textAlignment w:val="auto"/>
        <w:rPr>
          <w:rFonts w:ascii="Times New Roman" w:hAnsi="Times New Roman" w:eastAsia="仿宋_GB2312" w:cs="Times New Roman"/>
          <w:color w:val="000000"/>
          <w:kern w:val="0"/>
          <w:sz w:val="32"/>
          <w:szCs w:val="32"/>
          <w:lang w:bidi="ar"/>
        </w:rPr>
      </w:pPr>
      <w:r>
        <w:rPr>
          <w:rFonts w:ascii="Times New Roman" w:hAnsi="Times New Roman" w:cs="Times New Roman" w:eastAsia="仿宋_GB2312"/>
          <w:color w:val="000000"/>
          <w:kern w:val="0"/>
          <w:sz w:val="32"/>
          <w:szCs w:val="32"/>
          <w:lang w:bidi="ar"/>
        </w:rPr>
        <w:t>五、本申报书填写内容应聚焦项目核心技术、产品或服务，不涉及具体单位内部管理流程或非相关业务信息。</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方正小标宋_GBK;微软雅黑" w:hAnsi="方正小标宋_GBK;微软雅黑" w:eastAsia="方正小标宋_GBK;微软雅黑" w:cs="方正小标宋_GBK;微软雅黑" w:hint="eastAsia"/>
          <w:color w:val="000000"/>
          <w:kern w:val="0"/>
          <w:sz w:val="44"/>
          <w:szCs w:val="44"/>
          <w:lang w:bidi="ar"/>
        </w:rPr>
      </w:pPr>
      <w:r>
        <w:rPr>
          <w:rFonts w:ascii="方正小标宋_GBK;微软雅黑" w:hAnsi="方正小标宋_GBK;微软雅黑" w:cs="方正小标宋_GBK;微软雅黑" w:hint="eastAsia" w:eastAsia="方正小标宋_GBK;微软雅黑"/>
          <w:color w:val="000000"/>
          <w:kern w:val="0"/>
          <w:sz w:val="44"/>
          <w:szCs w:val="44"/>
          <w:lang w:bidi="ar"/>
        </w:rPr>
        <w:t>申报材料正文编制大纲</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仿宋_GB2312" w:cs="Times New Roman"/>
          <w:color w:val="000000"/>
          <w:kern w:val="0"/>
          <w:sz w:val="32"/>
          <w:szCs w:val="32"/>
          <w:lang w:bidi="ar"/>
        </w:rPr>
      </w:pPr>
      <w:r>
        <w:rPr>
          <w:rFonts w:eastAsia="仿宋_GB2312" w:cs="Times New Roman" w:ascii="Times New Roman" w:hAnsi="Times New Roman"/>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cs="Times New Roman"/>
          <w:sz w:val="32"/>
          <w:szCs w:val="32"/>
        </w:rPr>
      </w:pPr>
      <w:r>
        <w:rPr>
          <w:rFonts w:ascii="Times New Roman" w:hAnsi="Times New Roman" w:cs="Times New Roman" w:eastAsia="黑体"/>
          <w:sz w:val="32"/>
          <w:szCs w:val="32"/>
        </w:rPr>
        <w:t>一、</w:t>
      </w:r>
      <w:r>
        <w:rPr>
          <w:rFonts w:ascii="Times New Roman" w:hAnsi="Times New Roman" w:cs="Times New Roman" w:eastAsia="黑体"/>
          <w:sz w:val="32"/>
          <w:szCs w:val="32"/>
          <w:lang w:eastAsia="zh-CN"/>
        </w:rPr>
        <w:t>项目概述</w:t>
      </w:r>
      <w:r>
        <w:rPr>
          <w:rFonts w:ascii="Times New Roman" w:hAnsi="Times New Roman" w:cs="Times New Roman" w:eastAsia="黑体"/>
          <w:sz w:val="32"/>
          <w:szCs w:val="32"/>
        </w:rPr>
        <w:t>（限</w:t>
      </w:r>
      <w:r>
        <w:rPr>
          <w:rFonts w:eastAsia="黑体" w:cs="Times New Roman" w:ascii="Times New Roman" w:hAnsi="Times New Roman"/>
          <w:sz w:val="32"/>
          <w:szCs w:val="32"/>
        </w:rPr>
        <w:t>2000</w:t>
      </w:r>
      <w:r>
        <w:rPr>
          <w:rFonts w:ascii="Times New Roman" w:hAnsi="Times New Roman" w:cs="Times New Roman" w:eastAsia="黑体"/>
          <w:sz w:val="32"/>
          <w:szCs w:val="32"/>
        </w:rPr>
        <w:t>字以内）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简要描述本项目的项目背景、应用行业、需求、</w:t>
      </w:r>
      <w:r>
        <w:rPr>
          <w:rFonts w:ascii="Times New Roman" w:hAnsi="Times New Roman" w:cs="Times New Roman" w:hint="eastAsia" w:eastAsia="仿宋_GB2312"/>
          <w:sz w:val="32"/>
          <w:szCs w:val="32"/>
        </w:rPr>
        <w:t>目标、</w:t>
      </w:r>
      <w:r>
        <w:rPr>
          <w:rFonts w:ascii="Times New Roman" w:hAnsi="Times New Roman" w:cs="Times New Roman" w:eastAsia="仿宋_GB2312"/>
          <w:sz w:val="32"/>
          <w:szCs w:val="32"/>
        </w:rPr>
        <w:t>核心优势等。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sz w:val="32"/>
          <w:szCs w:val="32"/>
        </w:rPr>
      </w:pPr>
      <w:r>
        <w:rPr>
          <w:rFonts w:ascii="Times New Roman" w:hAnsi="Times New Roman" w:cs="Times New Roman" w:eastAsia="黑体"/>
          <w:sz w:val="32"/>
          <w:szCs w:val="32"/>
        </w:rPr>
        <w:t>二、解决方案（限</w:t>
      </w:r>
      <w:r>
        <w:rPr>
          <w:rFonts w:eastAsia="黑体" w:cs="Times New Roman" w:ascii="Times New Roman" w:hAnsi="Times New Roman"/>
          <w:sz w:val="32"/>
          <w:szCs w:val="32"/>
        </w:rPr>
        <w:t>5000</w:t>
      </w:r>
      <w:r>
        <w:rPr>
          <w:rFonts w:ascii="Times New Roman" w:hAnsi="Times New Roman" w:cs="Times New Roman" w:eastAsia="黑体"/>
          <w:sz w:val="32"/>
          <w:szCs w:val="32"/>
        </w:rPr>
        <w:t>字以内）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列明本项目的架构设计、方案功能、关键技术、数据要素利用方案等</w:t>
      </w:r>
      <w:r>
        <w:rPr>
          <w:rFonts w:ascii="Times New Roman" w:hAnsi="Times New Roman" w:cs="Times New Roman"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sz w:val="32"/>
          <w:szCs w:val="32"/>
        </w:rPr>
      </w:pPr>
      <w:r>
        <w:rPr>
          <w:rFonts w:ascii="Times New Roman" w:hAnsi="Times New Roman" w:cs="Times New Roman" w:hint="eastAsia" w:eastAsia="黑体"/>
          <w:sz w:val="32"/>
          <w:szCs w:val="32"/>
        </w:rPr>
        <w:t>三</w:t>
      </w:r>
      <w:r>
        <w:rPr>
          <w:rFonts w:ascii="Times New Roman" w:hAnsi="Times New Roman" w:cs="Times New Roman" w:eastAsia="黑体"/>
          <w:sz w:val="32"/>
          <w:szCs w:val="32"/>
        </w:rPr>
        <w:t>、先进性（限</w:t>
      </w:r>
      <w:r>
        <w:rPr>
          <w:rFonts w:eastAsia="黑体" w:cs="Times New Roman" w:ascii="Times New Roman" w:hAnsi="Times New Roman"/>
          <w:sz w:val="32"/>
          <w:szCs w:val="32"/>
        </w:rPr>
        <w:t>3000</w:t>
      </w:r>
      <w:r>
        <w:rPr>
          <w:rFonts w:ascii="Times New Roman" w:hAnsi="Times New Roman" w:cs="Times New Roman" w:eastAsia="黑体"/>
          <w:sz w:val="32"/>
          <w:szCs w:val="32"/>
        </w:rPr>
        <w:t>字以内）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请结合专利数量、人才队伍、市场数据等支撑材料说明，介绍方案设计理念</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独特优势和竞争优势。</w:t>
      </w:r>
      <w:r>
        <w:rPr>
          <w:rFonts w:ascii="Times New Roman" w:hAnsi="Times New Roman" w:cs="Times New Roman" w:hint="eastAsia" w:eastAsia="仿宋_GB2312"/>
          <w:sz w:val="32"/>
          <w:szCs w:val="32"/>
        </w:rPr>
        <w:t>阐述</w:t>
      </w:r>
      <w:r>
        <w:rPr>
          <w:rFonts w:ascii="Times New Roman" w:hAnsi="Times New Roman" w:cs="Times New Roman" w:eastAsia="仿宋_GB2312"/>
          <w:sz w:val="32"/>
          <w:szCs w:val="32"/>
        </w:rPr>
        <w:t>项目在技术、产品、服务、应用及商业模式等的一个或多个方面具有独创性、先进性。包括但不限于：</w:t>
      </w:r>
      <w:r>
        <w:rPr>
          <w:rFonts w:ascii="Times New Roman" w:hAnsi="Times New Roman" w:cs="Times New Roman" w:hint="eastAsia" w:eastAsia="仿宋_GB2312"/>
          <w:sz w:val="32"/>
          <w:szCs w:val="32"/>
        </w:rPr>
        <w:t>（</w:t>
      </w:r>
      <w:r>
        <w:rPr>
          <w:rFonts w:eastAsia="仿宋_GB2312" w:cs="Times New Roman" w:ascii="Times New Roman" w:hAnsi="Times New Roman"/>
          <w:sz w:val="32"/>
          <w:szCs w:val="32"/>
        </w:rPr>
        <w:t>1</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创新性</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描述所申报项目方案在技术、产品、服务、机制、模式等方面的创新水平。</w:t>
      </w:r>
      <w:r>
        <w:rPr>
          <w:rFonts w:ascii="Times New Roman" w:hAnsi="Times New Roman" w:cs="Times New Roman" w:hint="eastAsia" w:eastAsia="仿宋_GB2312"/>
          <w:sz w:val="32"/>
          <w:szCs w:val="32"/>
        </w:rPr>
        <w:t>（</w:t>
      </w:r>
      <w:r>
        <w:rPr>
          <w:rFonts w:eastAsia="仿宋_GB2312" w:cs="Times New Roman" w:ascii="Times New Roman" w:hAnsi="Times New Roman"/>
          <w:sz w:val="32"/>
          <w:szCs w:val="32"/>
        </w:rPr>
        <w:t>2</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需求相关性</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描述所申报项目方案是否切中所在领域重点、难点、堵点等重要需求。项目所解决问题的重要程度和影响范围。</w:t>
      </w:r>
      <w:r>
        <w:rPr>
          <w:rFonts w:ascii="Times New Roman" w:hAnsi="Times New Roman" w:cs="Times New Roman" w:hint="eastAsia" w:eastAsia="仿宋_GB2312"/>
          <w:sz w:val="32"/>
          <w:szCs w:val="32"/>
        </w:rPr>
        <w:t>（</w:t>
      </w:r>
      <w:r>
        <w:rPr>
          <w:rFonts w:eastAsia="仿宋_GB2312" w:cs="Times New Roman" w:ascii="Times New Roman" w:hAnsi="Times New Roman"/>
          <w:sz w:val="32"/>
          <w:szCs w:val="32"/>
        </w:rPr>
        <w:t>3</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数据要素相关性</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分析数据要素在项目中的作用是否显著，是否充分体现了数据价值。从数据来源广泛性、数据维度、数据价值体现等角度阐述。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sz w:val="32"/>
          <w:szCs w:val="32"/>
          <w:lang w:eastAsia="zh-CN"/>
        </w:rPr>
      </w:pPr>
      <w:r>
        <w:rPr>
          <w:rFonts w:ascii="Times New Roman" w:hAnsi="Times New Roman" w:cs="Times New Roman" w:eastAsia="黑体"/>
          <w:sz w:val="32"/>
          <w:szCs w:val="32"/>
        </w:rPr>
        <w:t>四、应用</w:t>
      </w:r>
      <w:r>
        <w:rPr>
          <w:rFonts w:ascii="Times New Roman" w:hAnsi="Times New Roman" w:cs="Times New Roman" w:hint="eastAsia" w:eastAsia="黑体"/>
          <w:sz w:val="32"/>
          <w:szCs w:val="32"/>
        </w:rPr>
        <w:t>推广</w:t>
      </w:r>
      <w:r>
        <w:rPr>
          <w:rFonts w:ascii="Times New Roman" w:hAnsi="Times New Roman" w:cs="Times New Roman" w:eastAsia="黑体"/>
          <w:sz w:val="32"/>
          <w:szCs w:val="32"/>
        </w:rPr>
        <w:t>（限</w:t>
      </w:r>
      <w:r>
        <w:rPr>
          <w:rFonts w:eastAsia="黑体" w:cs="Times New Roman" w:ascii="Times New Roman" w:hAnsi="Times New Roman"/>
          <w:sz w:val="32"/>
          <w:szCs w:val="32"/>
        </w:rPr>
        <w:t>3000</w:t>
      </w:r>
      <w:r>
        <w:rPr>
          <w:rFonts w:ascii="Times New Roman" w:hAnsi="Times New Roman" w:cs="Times New Roman" w:eastAsia="黑体"/>
          <w:sz w:val="32"/>
          <w:szCs w:val="32"/>
        </w:rPr>
        <w:t>字以内）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描述</w:t>
      </w:r>
      <w:r>
        <w:rPr>
          <w:rFonts w:ascii="Times New Roman" w:hAnsi="Times New Roman" w:cs="Times New Roman" w:hint="eastAsia" w:eastAsia="仿宋_GB2312"/>
          <w:sz w:val="32"/>
          <w:szCs w:val="32"/>
        </w:rPr>
        <w:t>本</w:t>
      </w:r>
      <w:r>
        <w:rPr>
          <w:rFonts w:ascii="Times New Roman" w:hAnsi="Times New Roman" w:cs="Times New Roman" w:eastAsia="仿宋_GB2312"/>
          <w:sz w:val="32"/>
          <w:szCs w:val="32"/>
        </w:rPr>
        <w:t>项目的技术成熟度以及在行业内外的实际应用推广情况。阐述项目能为行业发展提供可参考、可复制的解决方案，可作为示范项目大规模推广</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包括但不限于：</w:t>
      </w:r>
      <w:r>
        <w:rPr>
          <w:rFonts w:ascii="Times New Roman" w:hAnsi="Times New Roman" w:cs="Times New Roman" w:hint="eastAsia" w:eastAsia="仿宋_GB2312"/>
          <w:sz w:val="32"/>
          <w:szCs w:val="32"/>
        </w:rPr>
        <w:t>（</w:t>
      </w:r>
      <w:r>
        <w:rPr>
          <w:rFonts w:eastAsia="仿宋_GB2312" w:cs="Times New Roman" w:hint="eastAsia" w:ascii="Times New Roman" w:hAnsi="Times New Roman"/>
          <w:sz w:val="32"/>
          <w:szCs w:val="32"/>
        </w:rPr>
        <w:t>1</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市场潜力</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项目是否具有</w:t>
      </w:r>
      <w:r>
        <w:rPr>
          <w:rFonts w:ascii="Times New Roman" w:hAnsi="Times New Roman" w:cs="Times New Roman" w:hint="eastAsia" w:eastAsia="仿宋_GB2312"/>
          <w:sz w:val="32"/>
          <w:szCs w:val="32"/>
        </w:rPr>
        <w:t>较大</w:t>
      </w:r>
      <w:r>
        <w:rPr>
          <w:rFonts w:ascii="Times New Roman" w:hAnsi="Times New Roman" w:cs="Times New Roman" w:eastAsia="仿宋_GB2312"/>
          <w:sz w:val="32"/>
          <w:szCs w:val="32"/>
        </w:rPr>
        <w:t>社会需求、市场容量</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具有较大示范价值和潜在市场空间。</w:t>
      </w:r>
      <w:r>
        <w:rPr>
          <w:rFonts w:ascii="Times New Roman" w:hAnsi="Times New Roman" w:cs="Times New Roman" w:hint="eastAsia" w:eastAsia="仿宋_GB2312"/>
          <w:sz w:val="32"/>
          <w:szCs w:val="32"/>
        </w:rPr>
        <w:t>（</w:t>
      </w:r>
      <w:r>
        <w:rPr>
          <w:rFonts w:eastAsia="仿宋_GB2312" w:cs="Times New Roman" w:hint="eastAsia" w:ascii="Times New Roman" w:hAnsi="Times New Roman"/>
          <w:sz w:val="32"/>
          <w:szCs w:val="32"/>
        </w:rPr>
        <w:t>2</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行业示范性</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项目是否</w:t>
      </w:r>
      <w:r>
        <w:rPr>
          <w:rFonts w:ascii="Times New Roman" w:hAnsi="Times New Roman" w:cs="Times New Roman" w:hint="eastAsia" w:eastAsia="仿宋_GB2312"/>
          <w:sz w:val="32"/>
          <w:szCs w:val="32"/>
        </w:rPr>
        <w:t>形成</w:t>
      </w:r>
      <w:r>
        <w:rPr>
          <w:rFonts w:ascii="Times New Roman" w:hAnsi="Times New Roman" w:cs="Times New Roman" w:eastAsia="仿宋_GB2312"/>
          <w:sz w:val="32"/>
          <w:szCs w:val="32"/>
        </w:rPr>
        <w:t>具有可复制、可推广的解决方案或应用模式。</w:t>
      </w:r>
      <w:r>
        <w:rPr>
          <w:rFonts w:ascii="Times New Roman" w:hAnsi="Times New Roman" w:cs="Times New Roman" w:hint="eastAsia" w:eastAsia="仿宋_GB2312"/>
          <w:sz w:val="32"/>
          <w:szCs w:val="32"/>
        </w:rPr>
        <w:t>（</w:t>
      </w:r>
      <w:r>
        <w:rPr>
          <w:rFonts w:eastAsia="仿宋_GB2312" w:cs="Times New Roman" w:hint="eastAsia" w:ascii="Times New Roman" w:hAnsi="Times New Roman"/>
          <w:sz w:val="32"/>
          <w:szCs w:val="32"/>
        </w:rPr>
        <w:t>3</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可持续发展性</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项目是否有较好的可持续发展能力。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sz w:val="32"/>
          <w:szCs w:val="32"/>
          <w:lang w:eastAsia="zh-CN"/>
        </w:rPr>
      </w:pPr>
      <w:r>
        <w:rPr>
          <w:rFonts w:ascii="方正黑体_GBK;微软雅黑" w:hAnsi="方正黑体_GBK;微软雅黑" w:cs="方正黑体_GBK;微软雅黑" w:hint="eastAsia" w:eastAsia="方正黑体_GBK;微软雅黑"/>
          <w:sz w:val="32"/>
          <w:szCs w:val="32"/>
        </w:rPr>
        <w:t>五、效益分析</w:t>
      </w:r>
      <w:r>
        <w:rPr>
          <w:rFonts w:ascii="Times New Roman" w:hAnsi="Times New Roman" w:cs="Times New Roman" w:eastAsia="黑体"/>
          <w:sz w:val="32"/>
          <w:szCs w:val="32"/>
        </w:rPr>
        <w:t>（限</w:t>
      </w:r>
      <w:r>
        <w:rPr>
          <w:rFonts w:eastAsia="黑体" w:cs="Times New Roman" w:ascii="Times New Roman" w:hAnsi="Times New Roman"/>
          <w:sz w:val="32"/>
          <w:szCs w:val="32"/>
        </w:rPr>
        <w:t>3000</w:t>
      </w:r>
      <w:r>
        <w:rPr>
          <w:rFonts w:ascii="Times New Roman" w:hAnsi="Times New Roman" w:cs="Times New Roman" w:eastAsia="黑体"/>
          <w:sz w:val="32"/>
          <w:szCs w:val="32"/>
        </w:rPr>
        <w:t>字以内）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描述项目已经产生和预期产生的经济社会效益。阐述项目具有实用价值，能够满足行业具体应用需求，相关成果可落地性强</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包括但不限于：</w:t>
      </w:r>
      <w:r>
        <w:rPr>
          <w:rFonts w:ascii="Times New Roman" w:hAnsi="Times New Roman" w:cs="Times New Roman" w:hint="eastAsia" w:eastAsia="仿宋_GB2312"/>
          <w:sz w:val="32"/>
          <w:szCs w:val="32"/>
        </w:rPr>
        <w:t>（</w:t>
      </w:r>
      <w:r>
        <w:rPr>
          <w:rFonts w:eastAsia="仿宋_GB2312" w:cs="Times New Roman" w:hint="eastAsia" w:ascii="Times New Roman" w:hAnsi="Times New Roman"/>
          <w:sz w:val="32"/>
          <w:szCs w:val="32"/>
        </w:rPr>
        <w:t>1</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实用价值</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描述所申报项目方案</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应用案例</w:t>
      </w:r>
      <w:r>
        <w:rPr>
          <w:rFonts w:eastAsia="仿宋_GB2312" w:cs="Times New Roman" w:hint="eastAsia" w:ascii="Times New Roman" w:hAnsi="Times New Roman"/>
          <w:sz w:val="32"/>
          <w:szCs w:val="32"/>
        </w:rPr>
        <w:t>/</w:t>
      </w:r>
      <w:r>
        <w:rPr>
          <w:rFonts w:ascii="Times New Roman" w:hAnsi="Times New Roman" w:cs="Times New Roman" w:eastAsia="仿宋_GB2312"/>
          <w:sz w:val="32"/>
          <w:szCs w:val="32"/>
        </w:rPr>
        <w:t>产品</w:t>
      </w:r>
      <w:r>
        <w:rPr>
          <w:rFonts w:eastAsia="仿宋_GB2312" w:cs="Times New Roman" w:hint="eastAsia" w:ascii="Times New Roman" w:hAnsi="Times New Roman"/>
          <w:sz w:val="32"/>
          <w:szCs w:val="32"/>
        </w:rPr>
        <w:t>/</w:t>
      </w:r>
      <w:r>
        <w:rPr>
          <w:rFonts w:ascii="Times New Roman" w:hAnsi="Times New Roman" w:cs="Times New Roman" w:eastAsia="仿宋_GB2312"/>
          <w:sz w:val="32"/>
          <w:szCs w:val="32"/>
        </w:rPr>
        <w:t>解决方案</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应用场景及具体应用案例，解决哪些行业需求痛点问题，具体应用案例、经济效果、社会效益等。</w:t>
      </w:r>
      <w:r>
        <w:rPr>
          <w:rFonts w:ascii="Times New Roman" w:hAnsi="Times New Roman" w:cs="Times New Roman" w:hint="eastAsia" w:eastAsia="仿宋_GB2312"/>
          <w:sz w:val="32"/>
          <w:szCs w:val="32"/>
        </w:rPr>
        <w:t>（</w:t>
      </w:r>
      <w:r>
        <w:rPr>
          <w:rFonts w:eastAsia="仿宋_GB2312" w:cs="Times New Roman" w:hint="eastAsia" w:ascii="Times New Roman" w:hAnsi="Times New Roman"/>
          <w:sz w:val="32"/>
          <w:szCs w:val="32"/>
        </w:rPr>
        <w:t>2</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决策成效</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介绍项目在降本、提质、增效等方面的提升程度。</w:t>
      </w:r>
      <w:r>
        <w:rPr>
          <w:rFonts w:ascii="Times New Roman" w:hAnsi="Times New Roman" w:cs="Times New Roman" w:hint="eastAsia" w:eastAsia="仿宋_GB2312"/>
          <w:sz w:val="32"/>
          <w:szCs w:val="32"/>
        </w:rPr>
        <w:t>（</w:t>
      </w:r>
      <w:r>
        <w:rPr>
          <w:rFonts w:eastAsia="仿宋_GB2312" w:cs="Times New Roman" w:hint="eastAsia" w:ascii="Times New Roman" w:hAnsi="Times New Roman"/>
          <w:sz w:val="32"/>
          <w:szCs w:val="32"/>
        </w:rPr>
        <w:t>3</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服务成效</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介绍项目</w:t>
      </w:r>
      <w:r>
        <w:rPr>
          <w:rFonts w:ascii="Times New Roman" w:hAnsi="Times New Roman" w:cs="Times New Roman" w:hint="eastAsia" w:eastAsia="仿宋_GB2312"/>
          <w:sz w:val="32"/>
          <w:szCs w:val="32"/>
        </w:rPr>
        <w:t>在</w:t>
      </w:r>
      <w:r>
        <w:rPr>
          <w:rFonts w:ascii="Times New Roman" w:hAnsi="Times New Roman" w:cs="Times New Roman" w:eastAsia="仿宋_GB2312"/>
          <w:sz w:val="32"/>
          <w:szCs w:val="32"/>
        </w:rPr>
        <w:t>创造经济效益、产品可靠性和运行性能提升程度、用户满意度提升</w:t>
      </w:r>
      <w:r>
        <w:rPr>
          <w:rFonts w:ascii="Times New Roman" w:hAnsi="Times New Roman" w:cs="Times New Roman" w:hint="eastAsia" w:eastAsia="仿宋_GB2312"/>
          <w:sz w:val="32"/>
          <w:szCs w:val="32"/>
        </w:rPr>
        <w:t>等方面的</w:t>
      </w:r>
      <w:r>
        <w:rPr>
          <w:rFonts w:ascii="Times New Roman" w:hAnsi="Times New Roman" w:cs="Times New Roman" w:eastAsia="仿宋_GB2312"/>
          <w:sz w:val="32"/>
          <w:szCs w:val="32"/>
        </w:rPr>
        <w:t>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sz w:val="32"/>
          <w:szCs w:val="32"/>
        </w:rPr>
      </w:pPr>
      <w:r>
        <w:rPr>
          <w:rFonts w:ascii="Times New Roman" w:hAnsi="Times New Roman" w:cs="Times New Roman" w:hint="eastAsia" w:eastAsia="黑体"/>
          <w:sz w:val="32"/>
          <w:szCs w:val="32"/>
        </w:rPr>
        <w:t>附件：其他</w:t>
      </w:r>
      <w:r>
        <w:rPr>
          <w:rFonts w:ascii="Times New Roman" w:hAnsi="Times New Roman" w:cs="Times New Roman" w:eastAsia="黑体"/>
          <w:sz w:val="32"/>
          <w:szCs w:val="32"/>
        </w:rPr>
        <w:t>证明材料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包括但不限于</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团队</w:t>
      </w:r>
      <w:r>
        <w:rPr>
          <w:rFonts w:eastAsia="仿宋_GB2312" w:cs="Times New Roman" w:hint="eastAsia" w:ascii="Times New Roman" w:hAnsi="Times New Roman"/>
          <w:sz w:val="32"/>
          <w:szCs w:val="32"/>
        </w:rPr>
        <w:t>/</w:t>
      </w:r>
      <w:r>
        <w:rPr>
          <w:rFonts w:ascii="Times New Roman" w:hAnsi="Times New Roman" w:cs="Times New Roman" w:eastAsia="仿宋_GB2312"/>
          <w:sz w:val="32"/>
          <w:szCs w:val="32"/>
        </w:rPr>
        <w:t>企业履历、资质和优势等</w:t>
      </w:r>
      <w:r>
        <w:rPr>
          <w:rFonts w:ascii="Times New Roman" w:hAnsi="Times New Roman" w:cs="Times New Roman" w:hint="eastAsia" w:eastAsia="仿宋_GB2312"/>
          <w:sz w:val="32"/>
          <w:szCs w:val="32"/>
        </w:rPr>
        <w:t>情况</w:t>
      </w:r>
      <w:r>
        <w:rPr>
          <w:rFonts w:ascii="Times New Roman" w:hAnsi="Times New Roman" w:cs="Times New Roman" w:eastAsia="仿宋_GB2312"/>
          <w:sz w:val="32"/>
          <w:szCs w:val="32"/>
        </w:rPr>
        <w:t>介绍</w:t>
      </w:r>
      <w:r>
        <w:rPr>
          <w:rFonts w:ascii="Times New Roman" w:hAnsi="Times New Roman" w:cs="Times New Roman" w:hint="eastAsia" w:eastAsia="仿宋_GB2312"/>
          <w:sz w:val="32"/>
          <w:szCs w:val="32"/>
        </w:rPr>
        <w:t>材料，</w:t>
      </w:r>
      <w:r>
        <w:rPr>
          <w:rFonts w:ascii="Times New Roman" w:hAnsi="Times New Roman" w:cs="Times New Roman" w:eastAsia="仿宋_GB2312"/>
          <w:sz w:val="32"/>
          <w:szCs w:val="32"/>
        </w:rPr>
        <w:t>技术专利、软件著作权、奖励证书、检测报告、新闻报道等。</w:t>
      </w:r>
    </w:p>
    <w:p>
      <w:r>
        <w:br w:type="page"/>
      </w:r>
    </w:p>
    <w:p>
      <w:r>
        <w:rPr>
          <w:rFonts w:ascii="Segoe UI" w:hAnsi="Segoe UI" w:eastAsia="微软雅黑"/>
          <w:b/>
          <w:sz w:val="32"/>
        </w:rPr>
        <w:t>申报材料正文（对应上页编制大纲一至五）</w:t>
      </w:r>
    </w:p>
    <w:sectPr>
      <w:footerReference w:type="default" r:id="rId3"/>
      <w:footerReference w:type="first" r:id="rId4"/>
      <w:type w:val="nextPage"/>
      <w:pgSz w:w="11906" w:h="16838"/>
      <w:pgMar w:left="1587" w:right="1474" w:gutter="0" w:header="0" w:top="2098" w:footer="992" w:bottom="1984"/>
      <w:pgNumType w:fmt="decimal"/>
      <w:formProt w:val="false"/>
      <w:textDirection w:val="lrTb"/>
      <w:docGrid w:type="lines" w:linePitch="312" w:charSpace="0"/>
    </w:sectPr>
    <w:p>
      <w:pPr>
        <w:pStyle w:val="Heading2"/>
      </w:pPr>
      <w:r>
        <w:rPr>
          <w:rFonts w:ascii="Segoe UI" w:hAnsi="Segoe UI" w:eastAsia="微软雅黑"/>
          <w:b/>
          <w:color w:val="1B3A5C"/>
          <w:sz w:val="30"/>
        </w:rPr>
        <w:t>一、项目概述</w:t>
      </w:r>
    </w:p>
    <w:p>
      <w:r>
        <w:rPr>
          <w:rFonts w:ascii="Segoe UI" w:hAnsi="Segoe UI" w:eastAsia="微软雅黑"/>
          <w:b w:val="0"/>
          <w:sz w:val="21"/>
        </w:rPr>
        <w:t>本章字数：1998 字（上限 2000 字）</w:t>
      </w:r>
    </w:p>
    <w:p>
      <w:pPr>
        <w:pStyle w:val="Heading3"/>
      </w:pPr>
      <w:r>
        <w:rPr>
          <w:rFonts w:ascii="Segoe UI" w:hAnsi="Segoe UI" w:eastAsia="微软雅黑"/>
          <w:b/>
          <w:color w:val="1B3A5C"/>
          <w:sz w:val="26"/>
        </w:rPr>
        <w:t>（一）项目背景</w:t>
      </w:r>
    </w:p>
    <w:p>
      <w:r>
        <w:rPr>
          <w:rFonts w:ascii="Segoe UI" w:hAnsi="Segoe UI" w:eastAsia="微软雅黑"/>
          <w:b w:val="0"/>
          <w:sz w:val="21"/>
        </w:rPr>
        <w:t>2026年中国（广西）—东盟“AI+法律”应用创新大赛以“AI让法律跨越山海”为主题，由广西壮族自治区司法厅、广西壮族自治区梧州市人民政府联合主办。大赛在比赛内容第（五）项“面向东盟法律服务方向”中，明确将“中国—东盟法律法规数据库建设”列为征集内容。本项目《中国—东盟多语种法律法规数据库》（China–ASEAN Multilingual Laws and Regulations Database，CALR）即面向该方向设计，定位“东盟法律，一库通查”，副标题“覆盖东盟11国 · 9种界面语言 · 智能检索与跨语言比对”。</w:t>
      </w:r>
    </w:p>
    <w:p>
      <w:r>
        <w:rPr>
          <w:rFonts w:ascii="Segoe UI" w:hAnsi="Segoe UI" w:eastAsia="微软雅黑"/>
          <w:b w:val="0"/>
          <w:sz w:val="21"/>
        </w:rPr>
        <w:t>《区域全面经济伙伴关系协定》（Regional Comprehensive Economic Partnership，RCEP）已于2022年1月1日生效，中国—东盟自由贸易区（ASEAN–China Free Trade Area，ACFTA）及其升级议定书持续实施，中国与东盟已互为第一大贸易伙伴。跨境投资、贸易、工程承包与数据流动的规则供给，越来越依赖对彼此法律的准确理解。广西是中国面向东盟开放合作的前沿和窗口，南宁是中国—东盟博览会永久举办地，在此建设面向东盟的法律数据基础设施具有直接的区位价值与示范意义。</w:t>
      </w:r>
    </w:p>
    <w:p>
      <w:pPr>
        <w:pStyle w:val="Heading3"/>
      </w:pPr>
      <w:r>
        <w:rPr>
          <w:rFonts w:ascii="Segoe UI" w:hAnsi="Segoe UI" w:eastAsia="微软雅黑"/>
          <w:b/>
          <w:color w:val="1B3A5C"/>
          <w:sz w:val="26"/>
        </w:rPr>
        <w:t>（二）应用行业</w:t>
      </w:r>
    </w:p>
    <w:p>
      <w:r>
        <w:rPr>
          <w:rFonts w:ascii="Segoe UI" w:hAnsi="Segoe UI" w:eastAsia="微软雅黑"/>
          <w:b w:val="0"/>
          <w:sz w:val="21"/>
        </w:rPr>
        <w:t>本项目服务于涉外法治与跨境法律服务行业，横向覆盖六类主体：涉外审判与仲裁机构需快速查明域外法；出海企业法务与合规部门需评估目标国的投资准入、劳动用工、税务与数据合规要求；律师事务所与公证、调解、法律援助机构需多语种条文与文书支撑；高校与科研机构需多国条文对照的比较法研究素材；政府涉外经贸、司法行政与外事部门需条约文本与配套法规参考；东盟侧从业者与企业需以本国语言了解中国法律。上述需求共同指向同一底层能力：权威、完整、结构化、可追溯的东盟法律数据供给。</w:t>
      </w:r>
    </w:p>
    <w:p>
      <w:pPr>
        <w:pStyle w:val="Heading3"/>
      </w:pPr>
      <w:r>
        <w:rPr>
          <w:rFonts w:ascii="Segoe UI" w:hAnsi="Segoe UI" w:eastAsia="微软雅黑"/>
          <w:b/>
          <w:color w:val="1B3A5C"/>
          <w:sz w:val="26"/>
        </w:rPr>
        <w:t>（三）需求分析</w:t>
      </w:r>
    </w:p>
    <w:p>
      <w:r>
        <w:rPr>
          <w:rFonts w:ascii="Segoe UI" w:hAnsi="Segoe UI" w:eastAsia="微软雅黑"/>
          <w:b w:val="0"/>
          <w:sz w:val="21"/>
        </w:rPr>
        <w:t>一是域外法查明难。东盟各国法律文本分散于政府公报、法律信息门户与部门网站，语言、体例与时效状态不一，人工检索耗时长、完整性难以保证。二是语言壁垒高。东盟官方语言涵盖越南语、泰语、印尼语、马来语、缅甸语等，现有中文资料多为二手转述，缺少与原文逐条对应的可靠译本。三是制度衔接缺工具。同一事项在中国法与东盟各国法下的定义、程序与后果存在差异，仅靠条文罗列无法完成衔接判断。四是数据要素未激活。现有语料多为文件级存储，尚未完成法条级结构化与多语种对齐，难以支撑跨语言语义计算与检索增强生成（Retrieval-Augmented Generation，RAG）。</w:t>
      </w:r>
    </w:p>
    <w:p>
      <w:pPr>
        <w:pStyle w:val="Heading3"/>
      </w:pPr>
      <w:r>
        <w:rPr>
          <w:rFonts w:ascii="Segoe UI" w:hAnsi="Segoe UI" w:eastAsia="微软雅黑"/>
          <w:b/>
          <w:color w:val="1B3A5C"/>
          <w:sz w:val="26"/>
        </w:rPr>
        <w:t>（四）项目目标</w:t>
      </w:r>
    </w:p>
    <w:p>
      <w:r>
        <w:rPr>
          <w:rFonts w:ascii="Segoe UI" w:hAnsi="Segoe UI" w:eastAsia="微软雅黑"/>
          <w:b w:val="0"/>
          <w:sz w:val="21"/>
        </w:rPr>
        <w:t>项目目标是建设一个覆盖东盟11国与中国共12个法域的多语种法律法规数据库平台，支持各国法规查询、智能检索、跨语言条款比对与法律术语对照，为中国—东盟跨境法律服务提供权威、高效、可核验的数据基础设施。</w:t>
      </w:r>
    </w:p>
    <w:p>
      <w:r>
        <w:rPr>
          <w:rFonts w:ascii="Segoe UI" w:hAnsi="Segoe UI" w:eastAsia="微软雅黑"/>
          <w:b/>
          <w:sz w:val="21"/>
        </w:rPr>
        <w:t>已完成部分（可在随附原型复现）</w:t>
      </w:r>
      <w:r>
        <w:rPr>
          <w:rFonts w:ascii="Segoe UI" w:hAnsi="Segoe UI" w:eastAsia="微软雅黑"/>
          <w:b w:val="0"/>
          <w:sz w:val="21"/>
        </w:rPr>
        <w:t>：平台已建成 12 个法域（中国、越南、泰国、印度尼西亚、马来西亚、新加坡、菲律宾、文莱、柬埔寨、老挝、缅甸、东帝汶）、</w:t>
      </w:r>
      <w:r>
        <w:rPr>
          <w:rFonts w:ascii="Segoe UI" w:hAnsi="Segoe UI" w:eastAsia="微软雅黑"/>
          <w:b/>
          <w:sz w:val="21"/>
        </w:rPr>
        <w:t>9 种界面语言</w:t>
      </w:r>
      <w:r>
        <w:rPr>
          <w:rFonts w:ascii="Segoe UI" w:hAnsi="Segoe UI" w:eastAsia="微软雅黑"/>
          <w:b w:val="0"/>
          <w:sz w:val="21"/>
        </w:rPr>
        <w:t xml:space="preserve">（中文、英文、越南语、泰语、印尼语、马来语、缅甸语、高棉语、老挝语）；已入库法规目录 </w:t>
      </w:r>
      <w:r>
        <w:rPr>
          <w:rFonts w:ascii="Segoe UI" w:hAnsi="Segoe UI" w:eastAsia="微软雅黑"/>
          <w:b/>
          <w:sz w:val="21"/>
        </w:rPr>
        <w:t>2,401 条</w:t>
      </w:r>
      <w:r>
        <w:rPr>
          <w:rFonts w:ascii="Segoe UI" w:hAnsi="Segoe UI" w:eastAsia="微软雅黑"/>
          <w:b w:val="0"/>
          <w:sz w:val="21"/>
        </w:rPr>
        <w:t xml:space="preserve">，其中 </w:t>
      </w:r>
      <w:r>
        <w:rPr>
          <w:rFonts w:ascii="Segoe UI" w:hAnsi="Segoe UI" w:eastAsia="微软雅黑"/>
          <w:b/>
          <w:sz w:val="21"/>
        </w:rPr>
        <w:t>2,079 部</w:t>
      </w:r>
      <w:r>
        <w:rPr>
          <w:rFonts w:ascii="Segoe UI" w:hAnsi="Segoe UI" w:eastAsia="微软雅黑"/>
          <w:b w:val="0"/>
          <w:sz w:val="21"/>
        </w:rPr>
        <w:t xml:space="preserve">法规具有本地条文全文，结构化条文合计 </w:t>
      </w:r>
      <w:r>
        <w:rPr>
          <w:rFonts w:ascii="Segoe UI" w:hAnsi="Segoe UI" w:eastAsia="微软雅黑"/>
          <w:b/>
          <w:sz w:val="21"/>
        </w:rPr>
        <w:t>98,940 条</w:t>
      </w:r>
      <w:r>
        <w:rPr>
          <w:rFonts w:ascii="Segoe UI" w:hAnsi="Segoe UI" w:eastAsia="微软雅黑"/>
          <w:b w:val="0"/>
          <w:sz w:val="21"/>
        </w:rPr>
        <w:t xml:space="preserve">；已建成术语库 </w:t>
      </w:r>
      <w:r>
        <w:rPr>
          <w:rFonts w:ascii="Segoe UI" w:hAnsi="Segoe UI" w:eastAsia="微软雅黑"/>
          <w:b/>
          <w:sz w:val="21"/>
        </w:rPr>
        <w:t>161 条</w:t>
      </w:r>
      <w:r>
        <w:rPr>
          <w:rFonts w:ascii="Segoe UI" w:hAnsi="Segoe UI" w:eastAsia="微软雅黑"/>
          <w:b w:val="0"/>
          <w:sz w:val="21"/>
        </w:rPr>
        <w:t xml:space="preserve">、条约目录 </w:t>
      </w:r>
      <w:r>
        <w:rPr>
          <w:rFonts w:ascii="Segoe UI" w:hAnsi="Segoe UI" w:eastAsia="微软雅黑"/>
          <w:b/>
          <w:sz w:val="21"/>
        </w:rPr>
        <w:t>18 项</w:t>
      </w:r>
      <w:r>
        <w:rPr>
          <w:rFonts w:ascii="Segoe UI" w:hAnsi="Segoe UI" w:eastAsia="微软雅黑"/>
          <w:b w:val="0"/>
          <w:sz w:val="21"/>
        </w:rPr>
        <w:t xml:space="preserve">、案例 </w:t>
      </w:r>
      <w:r>
        <w:rPr>
          <w:rFonts w:ascii="Segoe UI" w:hAnsi="Segoe UI" w:eastAsia="微软雅黑"/>
          <w:b/>
          <w:sz w:val="21"/>
        </w:rPr>
        <w:t>10 例</w:t>
      </w:r>
      <w:r>
        <w:rPr>
          <w:rFonts w:ascii="Segoe UI" w:hAnsi="Segoe UI" w:eastAsia="微软雅黑"/>
          <w:b w:val="0"/>
          <w:sz w:val="21"/>
        </w:rPr>
        <w:t xml:space="preserve">、修订记录 </w:t>
      </w:r>
      <w:r>
        <w:rPr>
          <w:rFonts w:ascii="Segoe UI" w:hAnsi="Segoe UI" w:eastAsia="微软雅黑"/>
          <w:b/>
          <w:sz w:val="21"/>
        </w:rPr>
        <w:t>12 条</w:t>
      </w:r>
      <w:r>
        <w:rPr>
          <w:rFonts w:ascii="Segoe UI" w:hAnsi="Segoe UI" w:eastAsia="微软雅黑"/>
          <w:b w:val="0"/>
          <w:sz w:val="21"/>
        </w:rPr>
        <w:t xml:space="preserve">；界面文案实现 </w:t>
      </w:r>
      <w:r>
        <w:rPr>
          <w:rFonts w:ascii="Segoe UI" w:hAnsi="Segoe UI" w:eastAsia="微软雅黑"/>
          <w:b/>
          <w:sz w:val="21"/>
        </w:rPr>
        <w:t>687 个词条 × 5 个外语种</w:t>
      </w:r>
      <w:r>
        <w:rPr>
          <w:rFonts w:ascii="Segoe UI" w:hAnsi="Segoe UI" w:eastAsia="微软雅黑"/>
          <w:b w:val="0"/>
          <w:sz w:val="21"/>
        </w:rPr>
        <w:t>全量覆盖，缺失为 0。</w:t>
      </w:r>
    </w:p>
    <w:p>
      <w:r>
        <w:rPr>
          <w:rFonts w:ascii="Segoe UI" w:hAnsi="Segoe UI" w:eastAsia="微软雅黑"/>
          <w:b/>
          <w:sz w:val="21"/>
        </w:rPr>
        <w:t>规划部分（二期）</w:t>
      </w:r>
      <w:r>
        <w:rPr>
          <w:rFonts w:ascii="Segoe UI" w:hAnsi="Segoe UI" w:eastAsia="微软雅黑"/>
          <w:b w:val="0"/>
          <w:sz w:val="21"/>
        </w:rPr>
        <w:t>：在现有规模上扩展语料覆盖，完成重点法规的多语种条文翻译并填充译文层；接入多语种语义召回与检索增强生成能力；面向机构提供接口化交付与私有化部署方案。</w:t>
      </w:r>
    </w:p>
    <w:p>
      <w:r>
        <w:rPr>
          <w:rFonts w:ascii="Segoe UI" w:hAnsi="Segoe UI" w:eastAsia="微软雅黑"/>
          <w:b w:val="0"/>
          <w:sz w:val="21"/>
        </w:rPr>
        <w:t>建设路径分三步：第一步（已完成）建成 12 个法域的多语种数据库与零依赖离线原型，验证数据模型与检索、比对、术语、问答链路；第二步向法域全量扩展并补充判例、条约条文与修订沿革数据，同步建设译文层；第三步进入持续更新与常态化运营。</w:t>
      </w:r>
    </w:p>
    <w:p>
      <w:pPr>
        <w:pStyle w:val="Heading3"/>
      </w:pPr>
      <w:r>
        <w:rPr>
          <w:rFonts w:ascii="Segoe UI" w:hAnsi="Segoe UI" w:eastAsia="微软雅黑"/>
          <w:b/>
          <w:color w:val="1B3A5C"/>
          <w:sz w:val="26"/>
        </w:rPr>
        <w:t>（五）核心优势</w:t>
      </w:r>
    </w:p>
    <w:p>
      <w:r>
        <w:rPr>
          <w:rFonts w:ascii="Segoe UI" w:hAnsi="Segoe UI" w:eastAsia="微软雅黑"/>
          <w:b w:val="0"/>
          <w:sz w:val="21"/>
        </w:rPr>
        <w:t>第一，</w:t>
      </w:r>
      <w:r>
        <w:rPr>
          <w:rFonts w:ascii="Segoe UI" w:hAnsi="Segoe UI" w:eastAsia="微软雅黑"/>
          <w:b/>
          <w:sz w:val="21"/>
        </w:rPr>
        <w:t>数据规模与结构真实可核验</w:t>
      </w:r>
      <w:r>
        <w:rPr>
          <w:rFonts w:ascii="Segoe UI" w:hAnsi="Segoe UI" w:eastAsia="微软雅黑"/>
          <w:b w:val="0"/>
          <w:sz w:val="21"/>
        </w:rPr>
        <w:t>。98,940 条结构化条文按统一四层架构存放，每条法规均可回溯到入库时的原始归档文件与元数据快照。</w:t>
      </w:r>
    </w:p>
    <w:p>
      <w:r>
        <w:rPr>
          <w:rFonts w:ascii="Segoe UI" w:hAnsi="Segoe UI" w:eastAsia="微软雅黑"/>
          <w:b w:val="0"/>
          <w:sz w:val="21"/>
        </w:rPr>
        <w:t>第二，</w:t>
      </w:r>
      <w:r>
        <w:rPr>
          <w:rFonts w:ascii="Segoe UI" w:hAnsi="Segoe UI" w:eastAsia="微软雅黑"/>
          <w:b/>
          <w:sz w:val="21"/>
        </w:rPr>
        <w:t>多语种深度</w:t>
      </w:r>
      <w:r>
        <w:rPr>
          <w:rFonts w:ascii="Segoe UI" w:hAnsi="Segoe UI" w:eastAsia="微软雅黑"/>
          <w:b w:val="0"/>
          <w:sz w:val="21"/>
        </w:rPr>
        <w:t>。9 种界面语言覆盖东盟全部官方语言，法规名称与条文按语种分键存储，支持以任一语种检索与阅读；术语提供多语种译法与释义对照。</w:t>
      </w:r>
    </w:p>
    <w:p>
      <w:r>
        <w:rPr>
          <w:rFonts w:ascii="Segoe UI" w:hAnsi="Segoe UI" w:eastAsia="微软雅黑"/>
          <w:b w:val="0"/>
          <w:sz w:val="21"/>
        </w:rPr>
        <w:t>第三，</w:t>
      </w:r>
      <w:r>
        <w:rPr>
          <w:rFonts w:ascii="Segoe UI" w:hAnsi="Segoe UI" w:eastAsia="微软雅黑"/>
          <w:b/>
          <w:sz w:val="21"/>
        </w:rPr>
        <w:t>数据标准可复制</w:t>
      </w:r>
      <w:r>
        <w:rPr>
          <w:rFonts w:ascii="Segoe UI" w:hAnsi="Segoe UI" w:eastAsia="微软雅黑"/>
          <w:b w:val="0"/>
          <w:sz w:val="21"/>
        </w:rPr>
        <w:t>。项目把字段结构、枚举值、识别条件、译文分离规则与自检清单固化为可对外发布的《条文入库与译文分离规范》，并配套可独立运行的自动校验器；任何新增法域只要遵循同一规范即可接入。这是本项目区别于一般数据库产品的关键差异。</w:t>
      </w:r>
    </w:p>
    <w:p>
      <w:r>
        <w:rPr>
          <w:rFonts w:ascii="Segoe UI" w:hAnsi="Segoe UI" w:eastAsia="微软雅黑"/>
          <w:b w:val="0"/>
          <w:sz w:val="21"/>
        </w:rPr>
        <w:t>第四，</w:t>
      </w:r>
      <w:r>
        <w:rPr>
          <w:rFonts w:ascii="Segoe UI" w:hAnsi="Segoe UI" w:eastAsia="微软雅黑"/>
          <w:b/>
          <w:sz w:val="21"/>
        </w:rPr>
        <w:t>来源可追溯</w:t>
      </w:r>
      <w:r>
        <w:rPr>
          <w:rFonts w:ascii="Segoe UI" w:hAnsi="Segoe UI" w:eastAsia="微软雅黑"/>
          <w:b w:val="0"/>
          <w:sz w:val="21"/>
        </w:rPr>
        <w:t>。每部法规记录国别、层级、时效状态、公布与施行日期、制定机关、文号与官方来源链接，并保存入库溯源信息；尚未获取本地全文的 348 条条目已如实编制公开清单，标注为“仅条目信息”，不以外观掩盖缺口。</w:t>
      </w:r>
    </w:p>
    <w:p>
      <w:r>
        <w:rPr>
          <w:rFonts w:ascii="Segoe UI" w:hAnsi="Segoe UI" w:eastAsia="微软雅黑"/>
          <w:b w:val="0"/>
          <w:sz w:val="21"/>
        </w:rPr>
        <w:t>第五，</w:t>
      </w:r>
      <w:r>
        <w:rPr>
          <w:rFonts w:ascii="Segoe UI" w:hAnsi="Segoe UI" w:eastAsia="微软雅黑"/>
          <w:b/>
          <w:sz w:val="21"/>
        </w:rPr>
        <w:t>合规与公益</w:t>
      </w:r>
      <w:r>
        <w:rPr>
          <w:rFonts w:ascii="Segoe UI" w:hAnsi="Segoe UI" w:eastAsia="微软雅黑"/>
          <w:b w:val="0"/>
          <w:sz w:val="21"/>
        </w:rPr>
        <w:t>。平台全站免费、无需登录；仅采集各国官方公开发布的法律文本，不涉及国家秘密、商业秘密与个人信息；零依赖静态形态可完全离线运行，数据不出域。</w:t>
      </w:r>
    </w:p>
    <w:p>
      <w:pPr>
        <w:pBdr>
          <w:bottom w:val="single" w:sz="6" w:space="1" w:color="CBD5E0"/>
        </w:pBdr>
      </w:pPr>
    </w:p>
    <w:p>
      <w:pPr>
        <w:pStyle w:val="Heading2"/>
      </w:pPr>
      <w:r>
        <w:rPr>
          <w:rFonts w:ascii="Segoe UI" w:hAnsi="Segoe UI" w:eastAsia="微软雅黑"/>
          <w:b/>
          <w:color w:val="1B3A5C"/>
          <w:sz w:val="30"/>
        </w:rPr>
        <w:t>二、解决方案</w:t>
      </w:r>
    </w:p>
    <w:p>
      <w:r>
        <w:rPr>
          <w:rFonts w:ascii="Segoe UI" w:hAnsi="Segoe UI" w:eastAsia="微软雅黑"/>
          <w:b w:val="0"/>
          <w:sz w:val="21"/>
        </w:rPr>
        <w:t>本章字数：4511 字（上限 5000 字）</w:t>
      </w:r>
    </w:p>
    <w:p>
      <w:pPr>
        <w:pStyle w:val="Heading3"/>
      </w:pPr>
      <w:r>
        <w:rPr>
          <w:rFonts w:ascii="Segoe UI" w:hAnsi="Segoe UI" w:eastAsia="微软雅黑"/>
          <w:b/>
          <w:color w:val="1B3A5C"/>
          <w:sz w:val="26"/>
        </w:rPr>
        <w:t>（一）总体架构设计</w:t>
      </w:r>
    </w:p>
    <w:p>
      <w:pPr>
        <w:pStyle w:val="Heading4"/>
      </w:pPr>
      <w:r>
        <w:rPr>
          <w:rFonts w:ascii="Segoe UI" w:hAnsi="Segoe UI" w:eastAsia="微软雅黑"/>
          <w:b/>
          <w:color w:val="1B3A5C"/>
          <w:sz w:val="23"/>
        </w:rPr>
        <w:t>1. 技术形态：零依赖静态单页应用（已完成）</w:t>
      </w:r>
    </w:p>
    <w:p>
      <w:r>
        <w:rPr>
          <w:rFonts w:ascii="Segoe UI" w:hAnsi="Segoe UI" w:eastAsia="微软雅黑"/>
          <w:b w:val="0"/>
          <w:sz w:val="21"/>
        </w:rPr>
        <w:t>平台当前以</w:t>
      </w:r>
      <w:r>
        <w:rPr>
          <w:rFonts w:ascii="Segoe UI" w:hAnsi="Segoe UI" w:eastAsia="微软雅黑"/>
          <w:b/>
          <w:sz w:val="21"/>
        </w:rPr>
        <w:t>零依赖静态单页应用</w:t>
      </w:r>
      <w:r>
        <w:rPr>
          <w:rFonts w:ascii="Segoe UI" w:hAnsi="Segoe UI" w:eastAsia="微软雅黑"/>
          <w:b w:val="0"/>
          <w:sz w:val="21"/>
        </w:rPr>
        <w:t xml:space="preserve">（Single Page Application，SPA）形态交付：全部功能由原生 JavaScript 实现，采用哈希（hash）路由，不使用任何前端框架、构建工具或第三方运行时依赖，不发起任何网络请求。整个站点可通过双击 </w:t>
      </w:r>
      <w:r>
        <w:rPr>
          <w:rFonts w:ascii="Consolas" w:hAnsi="Consolas" w:eastAsia="Consolas"/>
          <w:color w:val="B03060"/>
          <w:sz w:val="20"/>
        </w:rPr>
        <w:t>index.html</w:t>
      </w:r>
      <w:r>
        <w:rPr>
          <w:rFonts w:ascii="Segoe UI" w:hAnsi="Segoe UI" w:eastAsia="微软雅黑"/>
          <w:b w:val="0"/>
          <w:sz w:val="21"/>
        </w:rPr>
        <w:t xml:space="preserve"> 在浏览器离线打开并完整使用，也可直接部署到任意静态服务器。</w:t>
      </w:r>
    </w:p>
    <w:p>
      <w:r>
        <w:rPr>
          <w:rFonts w:ascii="Segoe UI" w:hAnsi="Segoe UI" w:eastAsia="微软雅黑"/>
          <w:b w:val="0"/>
          <w:sz w:val="21"/>
        </w:rPr>
        <w:t>选择这一形态的原因有三：一是面向东盟的机构用户普遍存在数据不出域与内网部署要求，零依赖站点可在完全隔离环境中运行；二是法律数据以文本与结构化字段为主，无需复杂渲染；三是零构建、零依赖使长期可维护性显著提高，评审与验收可逐文件复核。</w:t>
      </w:r>
    </w:p>
    <w:p>
      <w:pPr>
        <w:pStyle w:val="Heading4"/>
      </w:pPr>
      <w:r>
        <w:rPr>
          <w:rFonts w:ascii="Segoe UI" w:hAnsi="Segoe UI" w:eastAsia="微软雅黑"/>
          <w:b/>
          <w:color w:val="1B3A5C"/>
          <w:sz w:val="23"/>
        </w:rPr>
        <w:t>2. 数据架构：四层分离（已完成）</w:t>
      </w:r>
    </w:p>
    <w:p>
      <w:r>
        <w:rPr>
          <w:rFonts w:ascii="Segoe UI" w:hAnsi="Segoe UI" w:eastAsia="微软雅黑"/>
          <w:b w:val="0"/>
          <w:sz w:val="21"/>
        </w:rPr>
        <w:t>平台数据按职责分层存放，层的划分是该方案的核心设计：</w:t>
      </w:r>
    </w:p>
    <w:tbl>
      <w:tblPr>
        <w:tblStyle w:val="TableGrid"/>
        <w:jc w:val="center"/>
        <w:tblLook w:firstColumn="1" w:firstRow="1" w:lastColumn="0" w:lastRow="0" w:noHBand="0" w:noVBand="1" w:val="04A0"/>
        <w:tblW w:w="5000" w:type="pct"/>
        <w:tblLayout w:type="autofit"/>
      </w:tblPr>
      <w:tblGrid>
        <w:gridCol w:w="2353"/>
        <w:gridCol w:w="2353"/>
        <w:gridCol w:w="2353"/>
        <w:gridCol w:w="2353"/>
      </w:tblGrid>
      <w:tr>
        <w:tc>
          <w:tcPr>
            <w:tcW w:type="dxa" w:w="2353"/>
            <w:shd w:val="clear" w:color="auto" w:fill="EBF4FF"/>
          </w:tcPr>
          <w:p>
            <w:pPr>
              <w:spacing w:after="40"/>
            </w:pPr>
            <w:r/>
            <w:r>
              <w:rPr>
                <w:rFonts w:ascii="Segoe UI" w:hAnsi="Segoe UI" w:eastAsia="微软雅黑"/>
                <w:b/>
                <w:color w:val="1B3A5C"/>
                <w:sz w:val="18"/>
              </w:rPr>
              <w:t>层</w:t>
            </w:r>
          </w:p>
        </w:tc>
        <w:tc>
          <w:tcPr>
            <w:tcW w:type="dxa" w:w="2353"/>
            <w:shd w:val="clear" w:color="auto" w:fill="EBF4FF"/>
          </w:tcPr>
          <w:p>
            <w:pPr>
              <w:spacing w:after="40"/>
            </w:pPr>
            <w:r/>
            <w:r>
              <w:rPr>
                <w:rFonts w:ascii="Segoe UI" w:hAnsi="Segoe UI" w:eastAsia="微软雅黑"/>
                <w:b/>
                <w:color w:val="1B3A5C"/>
                <w:sz w:val="18"/>
              </w:rPr>
              <w:t>存放位置</w:t>
            </w:r>
          </w:p>
        </w:tc>
        <w:tc>
          <w:tcPr>
            <w:tcW w:type="dxa" w:w="2353"/>
            <w:shd w:val="clear" w:color="auto" w:fill="EBF4FF"/>
          </w:tcPr>
          <w:p>
            <w:pPr>
              <w:spacing w:after="40"/>
            </w:pPr>
            <w:r/>
            <w:r>
              <w:rPr>
                <w:rFonts w:ascii="Segoe UI" w:hAnsi="Segoe UI" w:eastAsia="微软雅黑"/>
                <w:b/>
                <w:color w:val="1B3A5C"/>
                <w:sz w:val="18"/>
              </w:rPr>
              <w:t>内容</w:t>
            </w:r>
          </w:p>
        </w:tc>
        <w:tc>
          <w:tcPr>
            <w:tcW w:type="dxa" w:w="2353"/>
            <w:shd w:val="clear" w:color="auto" w:fill="EBF4FF"/>
          </w:tcPr>
          <w:p>
            <w:pPr>
              <w:spacing w:after="40"/>
            </w:pPr>
            <w:r/>
            <w:r>
              <w:rPr>
                <w:rFonts w:ascii="Segoe UI" w:hAnsi="Segoe UI" w:eastAsia="微软雅黑"/>
                <w:b/>
                <w:color w:val="1B3A5C"/>
                <w:sz w:val="18"/>
              </w:rPr>
              <w:t>当前规模</w:t>
            </w:r>
          </w:p>
        </w:tc>
      </w:tr>
      <w:tr>
        <w:tc>
          <w:tcPr>
            <w:tcW w:type="dxa" w:w="2353"/>
          </w:tcPr>
          <w:p>
            <w:pPr>
              <w:spacing w:after="40"/>
            </w:pPr>
            <w:r/>
            <w:r>
              <w:rPr>
                <w:rFonts w:ascii="Segoe UI" w:hAnsi="Segoe UI" w:eastAsia="微软雅黑"/>
                <w:b w:val="0"/>
                <w:sz w:val="17"/>
              </w:rPr>
              <w:t>元数据层</w:t>
            </w:r>
          </w:p>
        </w:tc>
        <w:tc>
          <w:tcPr>
            <w:tcW w:type="dxa" w:w="2353"/>
          </w:tcPr>
          <w:p>
            <w:pPr>
              <w:spacing w:after="40"/>
            </w:pPr>
            <w:r/>
            <w:r>
              <w:rPr>
                <w:rFonts w:ascii="Segoe UI" w:hAnsi="Segoe UI" w:eastAsia="微软雅黑"/>
                <w:b w:val="0"/>
                <w:sz w:val="17"/>
              </w:rPr>
              <w:t>数据根目录</w:t>
            </w:r>
          </w:p>
        </w:tc>
        <w:tc>
          <w:tcPr>
            <w:tcW w:type="dxa" w:w="2353"/>
          </w:tcPr>
          <w:p>
            <w:pPr>
              <w:spacing w:after="40"/>
            </w:pPr>
            <w:r/>
            <w:r>
              <w:rPr>
                <w:rFonts w:ascii="Segoe UI" w:hAnsi="Segoe UI" w:eastAsia="微软雅黑"/>
                <w:b w:val="0"/>
                <w:sz w:val="17"/>
              </w:rPr>
              <w:t>法域、层级、时效、主题、语言、术语、条约、案例、修订</w:t>
            </w:r>
          </w:p>
        </w:tc>
        <w:tc>
          <w:tcPr>
            <w:tcW w:type="dxa" w:w="2353"/>
          </w:tcPr>
          <w:p>
            <w:pPr>
              <w:spacing w:after="40"/>
            </w:pPr>
            <w:r/>
            <w:r>
              <w:rPr>
                <w:rFonts w:ascii="Segoe UI" w:hAnsi="Segoe UI" w:eastAsia="微软雅黑"/>
                <w:b w:val="0"/>
                <w:sz w:val="17"/>
              </w:rPr>
              <w:t>12 法域 / 9 层级 / 4 时效 / 10 主题</w:t>
            </w:r>
          </w:p>
        </w:tc>
      </w:tr>
      <w:tr>
        <w:tc>
          <w:tcPr>
            <w:tcW w:type="dxa" w:w="2353"/>
          </w:tcPr>
          <w:p>
            <w:pPr>
              <w:spacing w:after="40"/>
            </w:pPr>
            <w:r/>
            <w:r>
              <w:rPr>
                <w:rFonts w:ascii="Segoe UI" w:hAnsi="Segoe UI" w:eastAsia="微软雅黑"/>
                <w:b w:val="0"/>
                <w:sz w:val="17"/>
              </w:rPr>
              <w:t>法域全文层</w:t>
            </w:r>
          </w:p>
        </w:tc>
        <w:tc>
          <w:tcPr>
            <w:tcW w:type="dxa" w:w="2353"/>
          </w:tcPr>
          <w:p>
            <w:pPr>
              <w:spacing w:after="40"/>
            </w:pPr>
            <w:r/>
            <w:r>
              <w:rPr>
                <w:rFonts w:ascii="Segoe UI" w:hAnsi="Segoe UI" w:eastAsia="微软雅黑"/>
                <w:b w:val="0"/>
                <w:sz w:val="17"/>
              </w:rPr>
              <w:t>分域文件</w:t>
            </w:r>
          </w:p>
        </w:tc>
        <w:tc>
          <w:tcPr>
            <w:tcW w:type="dxa" w:w="2353"/>
          </w:tcPr>
          <w:p>
            <w:pPr>
              <w:spacing w:after="40"/>
            </w:pPr>
            <w:r/>
            <w:r>
              <w:rPr>
                <w:rFonts w:ascii="Segoe UI" w:hAnsi="Segoe UI" w:eastAsia="微软雅黑"/>
                <w:b w:val="0"/>
                <w:sz w:val="17"/>
              </w:rPr>
              <w:t>按法域组织的官方全文</w:t>
            </w:r>
          </w:p>
        </w:tc>
        <w:tc>
          <w:tcPr>
            <w:tcW w:type="dxa" w:w="2353"/>
          </w:tcPr>
          <w:p>
            <w:pPr>
              <w:spacing w:after="40"/>
            </w:pPr>
            <w:r/>
            <w:r>
              <w:rPr>
                <w:rFonts w:ascii="Segoe UI" w:hAnsi="Segoe UI" w:eastAsia="微软雅黑"/>
                <w:b w:val="0"/>
                <w:sz w:val="17"/>
              </w:rPr>
              <w:t>8 卷 / 58 部 / 7,509 条</w:t>
            </w:r>
          </w:p>
        </w:tc>
      </w:tr>
      <w:tr>
        <w:tc>
          <w:tcPr>
            <w:tcW w:type="dxa" w:w="2353"/>
          </w:tcPr>
          <w:p>
            <w:pPr>
              <w:spacing w:after="40"/>
            </w:pPr>
            <w:r/>
            <w:r>
              <w:rPr>
                <w:rFonts w:ascii="Segoe UI" w:hAnsi="Segoe UI" w:eastAsia="微软雅黑"/>
                <w:b w:val="0"/>
                <w:sz w:val="17"/>
              </w:rPr>
              <w:t>全量分卷层</w:t>
            </w:r>
          </w:p>
        </w:tc>
        <w:tc>
          <w:tcPr>
            <w:tcW w:type="dxa" w:w="2353"/>
          </w:tcPr>
          <w:p>
            <w:pPr>
              <w:spacing w:after="40"/>
            </w:pPr>
            <w:r/>
            <w:r>
              <w:rPr>
                <w:rFonts w:ascii="Segoe UI" w:hAnsi="Segoe UI" w:eastAsia="微软雅黑"/>
                <w:b w:val="0"/>
                <w:sz w:val="17"/>
              </w:rPr>
              <w:t>分卷文件</w:t>
            </w:r>
          </w:p>
        </w:tc>
        <w:tc>
          <w:tcPr>
            <w:tcW w:type="dxa" w:w="2353"/>
          </w:tcPr>
          <w:p>
            <w:pPr>
              <w:spacing w:after="40"/>
            </w:pPr>
            <w:r/>
            <w:r>
              <w:rPr>
                <w:rFonts w:ascii="Segoe UI" w:hAnsi="Segoe UI" w:eastAsia="微软雅黑"/>
                <w:b w:val="0"/>
                <w:sz w:val="17"/>
              </w:rPr>
              <w:t>按 80 部一卷切分的中国法规全文</w:t>
            </w:r>
          </w:p>
        </w:tc>
        <w:tc>
          <w:tcPr>
            <w:tcW w:type="dxa" w:w="2353"/>
          </w:tcPr>
          <w:p>
            <w:pPr>
              <w:spacing w:after="40"/>
            </w:pPr>
            <w:r/>
            <w:r>
              <w:rPr>
                <w:rFonts w:ascii="Segoe UI" w:hAnsi="Segoe UI" w:eastAsia="微软雅黑"/>
                <w:b w:val="0"/>
                <w:sz w:val="17"/>
              </w:rPr>
              <w:t>20 卷 / 1,540 部 / 57,525 条</w:t>
            </w:r>
          </w:p>
        </w:tc>
      </w:tr>
      <w:tr>
        <w:tc>
          <w:tcPr>
            <w:tcW w:type="dxa" w:w="2353"/>
          </w:tcPr>
          <w:p>
            <w:pPr>
              <w:spacing w:after="40"/>
            </w:pPr>
            <w:r/>
            <w:r>
              <w:rPr>
                <w:rFonts w:ascii="Segoe UI" w:hAnsi="Segoe UI" w:eastAsia="微软雅黑"/>
                <w:b w:val="0"/>
                <w:sz w:val="17"/>
              </w:rPr>
              <w:t>东盟分卷层</w:t>
            </w:r>
          </w:p>
        </w:tc>
        <w:tc>
          <w:tcPr>
            <w:tcW w:type="dxa" w:w="2353"/>
          </w:tcPr>
          <w:p>
            <w:pPr>
              <w:spacing w:after="40"/>
            </w:pPr>
            <w:r/>
            <w:r>
              <w:rPr>
                <w:rFonts w:ascii="Segoe UI" w:hAnsi="Segoe UI" w:eastAsia="微软雅黑"/>
                <w:b w:val="0"/>
                <w:sz w:val="17"/>
              </w:rPr>
              <w:t>分卷文件</w:t>
            </w:r>
          </w:p>
        </w:tc>
        <w:tc>
          <w:tcPr>
            <w:tcW w:type="dxa" w:w="2353"/>
          </w:tcPr>
          <w:p>
            <w:pPr>
              <w:spacing w:after="40"/>
            </w:pPr>
            <w:r/>
            <w:r>
              <w:rPr>
                <w:rFonts w:ascii="Segoe UI" w:hAnsi="Segoe UI" w:eastAsia="微软雅黑"/>
                <w:b w:val="0"/>
                <w:sz w:val="17"/>
              </w:rPr>
              <w:t>按国家与批次切分的东盟各国法规全文</w:t>
            </w:r>
          </w:p>
        </w:tc>
        <w:tc>
          <w:tcPr>
            <w:tcW w:type="dxa" w:w="2353"/>
          </w:tcPr>
          <w:p>
            <w:pPr>
              <w:spacing w:after="40"/>
            </w:pPr>
            <w:r/>
            <w:r>
              <w:rPr>
                <w:rFonts w:ascii="Segoe UI" w:hAnsi="Segoe UI" w:eastAsia="微软雅黑"/>
                <w:b w:val="0"/>
                <w:sz w:val="17"/>
              </w:rPr>
              <w:t>46 卷 / 481 部 / 33,906 条</w:t>
            </w:r>
          </w:p>
        </w:tc>
      </w:tr>
      <w:tr>
        <w:tc>
          <w:tcPr>
            <w:tcW w:type="dxa" w:w="2353"/>
          </w:tcPr>
          <w:p>
            <w:pPr>
              <w:spacing w:after="40"/>
            </w:pPr>
            <w:r/>
            <w:r>
              <w:rPr>
                <w:rFonts w:ascii="Segoe UI" w:hAnsi="Segoe UI" w:eastAsia="微软雅黑"/>
                <w:b/>
                <w:sz w:val="17"/>
              </w:rPr>
              <w:t>译文层</w:t>
            </w:r>
          </w:p>
        </w:tc>
        <w:tc>
          <w:tcPr>
            <w:tcW w:type="dxa" w:w="2353"/>
          </w:tcPr>
          <w:p>
            <w:pPr>
              <w:spacing w:after="40"/>
            </w:pPr>
            <w:r/>
            <w:r>
              <w:rPr>
                <w:rFonts w:ascii="Segoe UI" w:hAnsi="Segoe UI" w:eastAsia="微软雅黑"/>
                <w:b w:val="0"/>
                <w:sz w:val="17"/>
              </w:rPr>
              <w:t>独立目录</w:t>
            </w:r>
          </w:p>
        </w:tc>
        <w:tc>
          <w:tcPr>
            <w:tcW w:type="dxa" w:w="2353"/>
          </w:tcPr>
          <w:p>
            <w:pPr>
              <w:spacing w:after="40"/>
            </w:pPr>
            <w:r/>
            <w:r>
              <w:rPr>
                <w:rFonts w:ascii="Segoe UI" w:hAnsi="Segoe UI" w:eastAsia="微软雅黑"/>
                <w:b w:val="0"/>
                <w:sz w:val="17"/>
              </w:rPr>
              <w:t>大模型译文，</w:t>
            </w:r>
            <w:r>
              <w:rPr>
                <w:rFonts w:ascii="Segoe UI" w:hAnsi="Segoe UI" w:eastAsia="微软雅黑"/>
                <w:b/>
                <w:sz w:val="17"/>
              </w:rPr>
              <w:t>与官方原文物理分离</w:t>
            </w:r>
          </w:p>
        </w:tc>
        <w:tc>
          <w:tcPr>
            <w:tcW w:type="dxa" w:w="2353"/>
          </w:tcPr>
          <w:p>
            <w:pPr>
              <w:spacing w:after="40"/>
            </w:pPr>
            <w:r/>
            <w:r>
              <w:rPr>
                <w:rFonts w:ascii="Segoe UI" w:hAnsi="Segoe UI" w:eastAsia="微软雅黑"/>
                <w:b w:val="0"/>
                <w:sz w:val="17"/>
              </w:rPr>
              <w:t>分层与接口已建成，待填充</w:t>
            </w:r>
          </w:p>
        </w:tc>
      </w:tr>
    </w:tbl>
    <w:p/>
    <w:p>
      <w:r>
        <w:rPr>
          <w:rFonts w:ascii="Segoe UI" w:hAnsi="Segoe UI" w:eastAsia="微软雅黑"/>
          <w:b w:val="0"/>
          <w:sz w:val="21"/>
        </w:rPr>
        <w:t>译文层是本方案与同类产品的重要区别：官方原文只存放于前三层，大模型译文单独成卷，通过独立索引按需加载并在内存中按条号与原文合并渲染，磁盘上的原文文件始终不被写入。这一设计从存储结构上杜绝了“译文冒充原文”，也使译文可整批替换或重译而不影响原文层。</w:t>
      </w:r>
    </w:p>
    <w:p>
      <w:pPr>
        <w:pStyle w:val="Heading4"/>
      </w:pPr>
      <w:r>
        <w:rPr>
          <w:rFonts w:ascii="Segoe UI" w:hAnsi="Segoe UI" w:eastAsia="微软雅黑"/>
          <w:b/>
          <w:color w:val="1B3A5C"/>
          <w:sz w:val="23"/>
        </w:rPr>
        <w:t>3. 数据流（已完成）</w:t>
      </w:r>
    </w:p>
    <w:p>
      <w:r>
        <w:rPr>
          <w:rFonts w:ascii="Segoe UI" w:hAnsi="Segoe UI" w:eastAsia="微软雅黑"/>
          <w:b/>
          <w:sz w:val="21"/>
        </w:rPr>
        <w:t>加载主线</w:t>
      </w:r>
      <w:r>
        <w:rPr>
          <w:rFonts w:ascii="Segoe UI" w:hAnsi="Segoe UI" w:eastAsia="微软雅黑"/>
          <w:b w:val="0"/>
          <w:sz w:val="21"/>
        </w:rPr>
        <w:t>：用户进入页面 → 加载元数据层与索引 → 按需加载对应分卷 → 渲染条文；法规详情页先渲染骨架，分卷加载完成后增量填充，避免首屏阻塞。</w:t>
      </w:r>
    </w:p>
    <w:p>
      <w:r>
        <w:rPr>
          <w:rFonts w:ascii="Segoe UI" w:hAnsi="Segoe UI" w:eastAsia="微软雅黑"/>
          <w:b/>
          <w:sz w:val="21"/>
        </w:rPr>
        <w:t>检索主线</w:t>
      </w:r>
      <w:r>
        <w:rPr>
          <w:rFonts w:ascii="Segoe UI" w:hAnsi="Segoe UI" w:eastAsia="微软雅黑"/>
          <w:b w:val="0"/>
          <w:sz w:val="21"/>
        </w:rPr>
        <w:t>：用户输入 → 语种与模式判定 → 分词与词表扩展 → 多字段加权打分 → 排序与命中高亮 → 结果携带来源与时效状态返回。</w:t>
      </w:r>
    </w:p>
    <w:p>
      <w:r>
        <w:rPr>
          <w:rFonts w:ascii="Segoe UI" w:hAnsi="Segoe UI" w:eastAsia="微软雅黑"/>
          <w:b/>
          <w:sz w:val="21"/>
        </w:rPr>
        <w:t>译文合并主线</w:t>
      </w:r>
      <w:r>
        <w:rPr>
          <w:rFonts w:ascii="Segoe UI" w:hAnsi="Segoe UI" w:eastAsia="微软雅黑"/>
          <w:b w:val="0"/>
          <w:sz w:val="21"/>
        </w:rPr>
        <w:t>（接口已实现）：详情页按当前界面语言查询译文索引 → 命中则加载译文卷 → 按条号合并进内存对象 → 阅读模式切换为“原文＋译文”。</w:t>
      </w:r>
    </w:p>
    <w:p>
      <w:pPr>
        <w:pStyle w:val="Heading4"/>
      </w:pPr>
      <w:r>
        <w:rPr>
          <w:rFonts w:ascii="Segoe UI" w:hAnsi="Segoe UI" w:eastAsia="微软雅黑"/>
          <w:b/>
          <w:color w:val="1B3A5C"/>
          <w:sz w:val="23"/>
        </w:rPr>
        <w:t>4. 生产架构（规划，尚未实现）</w:t>
      </w:r>
    </w:p>
    <w:p>
      <w:r>
        <w:rPr>
          <w:rFonts w:ascii="Segoe UI" w:hAnsi="Segoe UI" w:eastAsia="微软雅黑"/>
          <w:b w:val="0"/>
          <w:sz w:val="21"/>
        </w:rPr>
        <w:t>二期拟在现有多语种数据模型之上扩展为服务化架构：前端框架化改造，新增应用程序接口（Application Programming Interface，API）网关层、业务服务层、数据智能层与数据存储层；以容器化方式交付并支持水平扩容；问答与跨语言语义召回由私有化部署的领域模型承担。该部分为</w:t>
      </w:r>
      <w:r>
        <w:rPr>
          <w:rFonts w:ascii="Segoe UI" w:hAnsi="Segoe UI" w:eastAsia="微软雅黑"/>
          <w:b/>
          <w:sz w:val="21"/>
        </w:rPr>
        <w:t>规划内容，当前原型不包含后端服务、数据库、向量索引与模型推理组件</w:t>
      </w:r>
      <w:r>
        <w:rPr>
          <w:rFonts w:ascii="Segoe UI" w:hAnsi="Segoe UI" w:eastAsia="微软雅黑"/>
          <w:b w:val="0"/>
          <w:sz w:val="21"/>
        </w:rPr>
        <w:t>，正文仅作路径说明，不作为已完成能力表述。</w:t>
      </w:r>
    </w:p>
    <w:p>
      <w:pPr>
        <w:pStyle w:val="Heading3"/>
      </w:pPr>
      <w:r>
        <w:rPr>
          <w:rFonts w:ascii="Segoe UI" w:hAnsi="Segoe UI" w:eastAsia="微软雅黑"/>
          <w:b/>
          <w:color w:val="1B3A5C"/>
          <w:sz w:val="26"/>
        </w:rPr>
        <w:t>（二）方案功能设计</w:t>
      </w:r>
    </w:p>
    <w:p>
      <w:r>
        <w:rPr>
          <w:rFonts w:ascii="Segoe UI" w:hAnsi="Segoe UI" w:eastAsia="微软雅黑"/>
          <w:b w:val="0"/>
          <w:sz w:val="21"/>
        </w:rPr>
        <w:t>平台已建成 11 个功能页面，构成完整能力闭环。</w:t>
      </w:r>
    </w:p>
    <w:p>
      <w:r>
        <w:rPr>
          <w:rFonts w:ascii="Segoe UI" w:hAnsi="Segoe UI" w:eastAsia="微软雅黑"/>
          <w:b/>
          <w:sz w:val="21"/>
        </w:rPr>
        <w:t>首页</w:t>
      </w:r>
      <w:r>
        <w:rPr>
          <w:rFonts w:ascii="Segoe UI" w:hAnsi="Segoe UI" w:eastAsia="微软雅黑"/>
          <w:b w:val="0"/>
          <w:sz w:val="21"/>
        </w:rPr>
        <w:t>。产品名称与一句话定位、统一检索入口、法域概览、数据库统计与说明区块。设计遵循极简与官方风格。</w:t>
      </w:r>
    </w:p>
    <w:p>
      <w:r>
        <w:rPr>
          <w:rFonts w:ascii="Segoe UI" w:hAnsi="Segoe UI" w:eastAsia="微软雅黑"/>
          <w:b/>
          <w:sz w:val="21"/>
        </w:rPr>
        <w:t>法律检索</w:t>
      </w:r>
      <w:r>
        <w:rPr>
          <w:rFonts w:ascii="Segoe UI" w:hAnsi="Segoe UI" w:eastAsia="微软雅黑"/>
          <w:b w:val="0"/>
          <w:sz w:val="21"/>
        </w:rPr>
        <w:t>。提供关键词检索、自然语言检索、法条编号检索三种模式；支持按国家/法域、法律层级、时效性、主题、制定机关、语言与公布/施行日期区间多维筛选；筛选标签与检索词同行呈现并可逐个清除；结果支持每页 20、50、100 条切换；命中词以底色高亮，法条编号可直接定位到条文锚点。</w:t>
      </w:r>
    </w:p>
    <w:p>
      <w:r>
        <w:rPr>
          <w:rFonts w:ascii="Segoe UI" w:hAnsi="Segoe UI" w:eastAsia="微软雅黑"/>
          <w:b/>
          <w:sz w:val="21"/>
        </w:rPr>
        <w:t>法律体系</w:t>
      </w:r>
      <w:r>
        <w:rPr>
          <w:rFonts w:ascii="Segoe UI" w:hAnsi="Segoe UI" w:eastAsia="微软雅黑"/>
          <w:b w:val="0"/>
          <w:sz w:val="21"/>
        </w:rPr>
        <w:t>。以表格形式对照 12 个法域的法律层级结构与法源类型差异，将法域划分为大陆法系、普通法系与混合法系三类，并标注成文法、判例法、伊斯兰法、习惯法等法源类型。页面另设“东盟成员国分布图”，以真实国界矢量数据呈现东盟 11 国的地理分布与各国法规数量。</w:t>
      </w:r>
    </w:p>
    <w:p>
      <w:r>
        <w:rPr>
          <w:rFonts w:ascii="Segoe UI" w:hAnsi="Segoe UI" w:eastAsia="微软雅黑"/>
          <w:b/>
          <w:sz w:val="21"/>
        </w:rPr>
        <w:t>法域详情页</w:t>
      </w:r>
      <w:r>
        <w:rPr>
          <w:rFonts w:ascii="Segoe UI" w:hAnsi="Segoe UI" w:eastAsia="微软雅黑"/>
          <w:b w:val="0"/>
          <w:sz w:val="21"/>
        </w:rPr>
        <w:t>。呈现该国法律体系、法源类型、官方来源门户、法规清单与统计信息，并列出该国已收录法规的层级分布。</w:t>
      </w:r>
    </w:p>
    <w:p>
      <w:r>
        <w:rPr>
          <w:rFonts w:ascii="Segoe UI" w:hAnsi="Segoe UI" w:eastAsia="微软雅黑"/>
          <w:b/>
          <w:sz w:val="21"/>
        </w:rPr>
        <w:t>法规详情页</w:t>
      </w:r>
      <w:r>
        <w:rPr>
          <w:rFonts w:ascii="Segoe UI" w:hAnsi="Segoe UI" w:eastAsia="微软雅黑"/>
          <w:b w:val="0"/>
          <w:sz w:val="21"/>
        </w:rPr>
        <w:t>。呈现元数据信息表（制定机关、文号、公布日期、施行日期、时效性、法律层级、条文数量、数据来源）、章条目录、分条阅读区。阅读区支持原文与译文对照、仅原文、仅译文三种模式，支持字号三档调节、深色模式、逐条折叠与展开、全文朗读、阅读进度条、引用格式复制及便携式文档格式（Portable Document Format，PDF）导出。侧栏提供相关法规、被引用情况、修订历史时间线与法律术语对照。</w:t>
      </w:r>
    </w:p>
    <w:p>
      <w:r>
        <w:rPr>
          <w:rFonts w:ascii="Segoe UI" w:hAnsi="Segoe UI" w:eastAsia="微软雅黑"/>
          <w:b/>
          <w:sz w:val="21"/>
        </w:rPr>
        <w:t>条约详情页</w:t>
      </w:r>
      <w:r>
        <w:rPr>
          <w:rFonts w:ascii="Segoe UI" w:hAnsi="Segoe UI" w:eastAsia="微软雅黑"/>
          <w:b w:val="0"/>
          <w:sz w:val="21"/>
        </w:rPr>
        <w:t>。呈现条约名称、缔约方、签署与生效日期、状态、主题与要点说明。</w:t>
      </w:r>
    </w:p>
    <w:p>
      <w:r>
        <w:rPr>
          <w:rFonts w:ascii="Segoe UI" w:hAnsi="Segoe UI" w:eastAsia="微软雅黑"/>
          <w:b/>
          <w:sz w:val="21"/>
        </w:rPr>
        <w:t>条款比对</w:t>
      </w:r>
      <w:r>
        <w:rPr>
          <w:rFonts w:ascii="Segoe UI" w:hAnsi="Segoe UI" w:eastAsia="微软雅黑"/>
          <w:b w:val="0"/>
          <w:sz w:val="21"/>
        </w:rPr>
        <w:t>。用户选定 2 至 3 个法域的相关条文后，系统按结构、定义、后果、范围等维度对齐并排呈现，标注差异并给出制度衔接提示。</w:t>
      </w:r>
    </w:p>
    <w:p>
      <w:r>
        <w:rPr>
          <w:rFonts w:ascii="Segoe UI" w:hAnsi="Segoe UI" w:eastAsia="微软雅黑"/>
          <w:b/>
          <w:sz w:val="21"/>
        </w:rPr>
        <w:t>法律术语</w:t>
      </w:r>
      <w:r>
        <w:rPr>
          <w:rFonts w:ascii="Segoe UI" w:hAnsi="Segoe UI" w:eastAsia="微软雅黑"/>
          <w:b w:val="0"/>
          <w:sz w:val="21"/>
        </w:rPr>
        <w:t>。161 条术语提供中文、英文与东盟各国语言的译法对照与释义，支持按法规导出术语对照表；法规正文中的术语以下划线标识，悬停或点击即弹出多语种译法与释义。</w:t>
      </w:r>
    </w:p>
    <w:p>
      <w:r>
        <w:rPr>
          <w:rFonts w:ascii="Segoe UI" w:hAnsi="Segoe UI" w:eastAsia="微软雅黑"/>
          <w:b/>
          <w:sz w:val="21"/>
        </w:rPr>
        <w:t>AI 智能查询</w:t>
      </w:r>
      <w:r>
        <w:rPr>
          <w:rFonts w:ascii="Segoe UI" w:hAnsi="Segoe UI" w:eastAsia="微软雅黑"/>
          <w:b w:val="0"/>
          <w:sz w:val="21"/>
        </w:rPr>
        <w:t>。遵循“无引用不结论”原则：先检索候选条文，再在受控上下文中组织答案，每条结论绑定条文编号与原文位置并可一键跳转；相关度低于阈值时明确输出“暂未收录相关法规”，不生成推测性内容。</w:t>
      </w:r>
    </w:p>
    <w:p>
      <w:r>
        <w:rPr>
          <w:rFonts w:ascii="Segoe UI" w:hAnsi="Segoe UI" w:eastAsia="微软雅黑"/>
          <w:b/>
          <w:sz w:val="21"/>
        </w:rPr>
        <w:t>关于我们 / 数据来源</w:t>
      </w:r>
      <w:r>
        <w:rPr>
          <w:rFonts w:ascii="Segoe UI" w:hAnsi="Segoe UI" w:eastAsia="微软雅黑"/>
          <w:b w:val="0"/>
          <w:sz w:val="21"/>
        </w:rPr>
        <w:t>。公开平台定位、数据来源渠道、使用条款、隐私政策与免责声明，并逐条列示 14 个官方来源门户与对应语种。</w:t>
      </w:r>
    </w:p>
    <w:p>
      <w:r>
        <w:rPr>
          <w:rFonts w:ascii="Segoe UI" w:hAnsi="Segoe UI" w:eastAsia="微软雅黑"/>
          <w:b/>
          <w:sz w:val="21"/>
        </w:rPr>
        <w:t>统一交互与视觉纪律</w:t>
      </w:r>
      <w:r>
        <w:rPr>
          <w:rFonts w:ascii="Segoe UI" w:hAnsi="Segoe UI" w:eastAsia="微软雅黑"/>
          <w:b w:val="0"/>
          <w:sz w:val="21"/>
        </w:rPr>
        <w:t>。全站仅使用浅灰（#F2F3F6）与白色两种底色，蓝色作为唯一强调色仅用于可操作区域与关键标识；时效性状态采用色块与文字双重标识，兼顾色觉障碍用户；提供深色模式并保证正文文字对比度不低于 4.5∶1；响应式布局分三档，移动端筛选条件以底部抽屉弹出；右下角提供回到顶部按钮。</w:t>
      </w:r>
    </w:p>
    <w:p>
      <w:pPr>
        <w:pStyle w:val="Heading3"/>
      </w:pPr>
      <w:r>
        <w:rPr>
          <w:rFonts w:ascii="Segoe UI" w:hAnsi="Segoe UI" w:eastAsia="微软雅黑"/>
          <w:b/>
          <w:color w:val="1B3A5C"/>
          <w:sz w:val="26"/>
        </w:rPr>
        <w:t>（三）关键技术</w:t>
      </w:r>
    </w:p>
    <w:p>
      <w:r>
        <w:rPr>
          <w:rFonts w:ascii="Segoe UI" w:hAnsi="Segoe UI" w:eastAsia="微软雅黑"/>
          <w:b/>
          <w:sz w:val="21"/>
        </w:rPr>
        <w:t>跨语言检索与多字段加权打分</w:t>
      </w:r>
      <w:r>
        <w:rPr>
          <w:rFonts w:ascii="Segoe UI" w:hAnsi="Segoe UI" w:eastAsia="微软雅黑"/>
          <w:b w:val="0"/>
          <w:sz w:val="21"/>
        </w:rPr>
        <w:t>。以分词、词表扩展与术语同义映射实现跨语言召回：用户以中文输入，系统通过术语表把查询词扩展为多语种同义词，从而命中东盟各国语言的原文条文。排序采用多字段加权，标题匹配权重高于标签匹配，标签匹配高于正文匹配，术语扩展以较低权重参与，并叠加主题加权，兼顾准确率与召回率。</w:t>
      </w:r>
    </w:p>
    <w:p>
      <w:r>
        <w:rPr>
          <w:rFonts w:ascii="Segoe UI" w:hAnsi="Segoe UI" w:eastAsia="微软雅黑"/>
          <w:b/>
          <w:sz w:val="21"/>
        </w:rPr>
        <w:t>法条编号识别与锚点定位</w:t>
      </w:r>
      <w:r>
        <w:rPr>
          <w:rFonts w:ascii="Segoe UI" w:hAnsi="Segoe UI" w:eastAsia="微软雅黑"/>
          <w:b w:val="0"/>
          <w:sz w:val="21"/>
        </w:rPr>
        <w:t>。检索器可识别“第X条”“第 N 条”“Article N”“Section N”“Điều N”“Pasal N”“มาตรา N”等多种条号书写形式，直接定位到条文级锚点，跳过标题匹配环节。</w:t>
      </w:r>
    </w:p>
    <w:p>
      <w:r>
        <w:rPr>
          <w:rFonts w:ascii="Segoe UI" w:hAnsi="Segoe UI" w:eastAsia="微软雅黑"/>
          <w:b/>
          <w:sz w:val="21"/>
        </w:rPr>
        <w:t>本地检索增强问答与溯源绑定</w:t>
      </w:r>
      <w:r>
        <w:rPr>
          <w:rFonts w:ascii="Segoe UI" w:hAnsi="Segoe UI" w:eastAsia="微软雅黑"/>
          <w:b w:val="0"/>
          <w:sz w:val="21"/>
        </w:rPr>
        <w:t>（链路已完成，规划接入领域模型）。问答链路实现“检索—引用—组织—兜底”四个环节：检索阶段复用上述加权打分召回候选条文；引用阶段为每条候选绑定法规编号、条文编号与原文位置；组织阶段仅在召回条文的范围内生成答案；兜底阶段设置相关度阈值，低于阈值时不输出推测性内容。当前原型以规则化方式实现该链路，二期规划将生成环节替换为私有化部署的领域模型，</w:t>
      </w:r>
      <w:r>
        <w:rPr>
          <w:rFonts w:ascii="Segoe UI" w:hAnsi="Segoe UI" w:eastAsia="微软雅黑"/>
          <w:b/>
          <w:sz w:val="21"/>
        </w:rPr>
        <w:t>检索、引用与兜底链路保持不变</w:t>
      </w:r>
      <w:r>
        <w:rPr>
          <w:rFonts w:ascii="Segoe UI" w:hAnsi="Segoe UI" w:eastAsia="微软雅黑"/>
          <w:b w:val="0"/>
          <w:sz w:val="21"/>
        </w:rPr>
        <w:t>，以保证答案始终可回溯到具体条文。</w:t>
      </w:r>
    </w:p>
    <w:p>
      <w:r>
        <w:rPr>
          <w:rFonts w:ascii="Segoe UI" w:hAnsi="Segoe UI" w:eastAsia="微软雅黑"/>
          <w:b/>
          <w:sz w:val="21"/>
        </w:rPr>
        <w:t>多语种数据与界面分离</w:t>
      </w:r>
      <w:r>
        <w:rPr>
          <w:rFonts w:ascii="Segoe UI" w:hAnsi="Segoe UI" w:eastAsia="微软雅黑"/>
          <w:b w:val="0"/>
          <w:sz w:val="21"/>
        </w:rPr>
        <w:t>。界面文案按语种独立存放（687 个词条 × 5 个外语种，缺失 0），法规名称与条文文本按语种分键存储，两者互不耦合：新增界面语种不影响数据，新增法规语种不影响界面。</w:t>
      </w:r>
    </w:p>
    <w:p>
      <w:r>
        <w:rPr>
          <w:rFonts w:ascii="Segoe UI" w:hAnsi="Segoe UI" w:eastAsia="微软雅黑"/>
          <w:b/>
          <w:sz w:val="21"/>
        </w:rPr>
        <w:t>译文分离存储与按条号合并</w:t>
      </w:r>
      <w:r>
        <w:rPr>
          <w:rFonts w:ascii="Segoe UI" w:hAnsi="Segoe UI" w:eastAsia="微软雅黑"/>
          <w:b w:val="0"/>
          <w:sz w:val="21"/>
        </w:rPr>
        <w:t>。译文以独立数据层存放，记录源语言、目标语言、生成引擎、模型标识、提示词版本、生成日期与校对状态；渲染时按条文编号与原文逐条合并。条号对齐是硬性约束，译文不得自增、自减或重排条号。</w:t>
      </w:r>
    </w:p>
    <w:p>
      <w:r>
        <w:rPr>
          <w:rFonts w:ascii="Segoe UI" w:hAnsi="Segoe UI" w:eastAsia="微软雅黑"/>
          <w:b/>
          <w:sz w:val="21"/>
        </w:rPr>
        <w:t>数据契约与自动校验</w:t>
      </w:r>
      <w:r>
        <w:rPr>
          <w:rFonts w:ascii="Segoe UI" w:hAnsi="Segoe UI" w:eastAsia="微软雅黑"/>
          <w:b w:val="0"/>
          <w:sz w:val="21"/>
        </w:rPr>
        <w:t>（本方案的工程亮点）。项目把数据规范写成可交付给外部数据供给方的《条文入库与译文分离规范》，并在其中固化字段字典、枚举值、识别条件、红线与自检清单；同时提供可独立运行的自动校验器，逐项检查字段完整性、条文计数一致性、目录与分卷一致性、标识唯一性、译文条号可对齐性等，并输出警告与提示分级。</w:t>
      </w:r>
      <w:r>
        <w:rPr>
          <w:rFonts w:ascii="Segoe UI" w:hAnsi="Segoe UI" w:eastAsia="微软雅黑"/>
          <w:b/>
          <w:sz w:val="21"/>
        </w:rPr>
        <w:t>任何第三方按此规范产出的数据，都可在入库前通过同一校验器自动验收</w:t>
      </w:r>
      <w:r>
        <w:rPr>
          <w:rFonts w:ascii="Segoe UI" w:hAnsi="Segoe UI" w:eastAsia="微软雅黑"/>
          <w:b w:val="0"/>
          <w:sz w:val="21"/>
        </w:rPr>
        <w:t>，从而使语料扩充不依赖单一团队的手工经验。</w:t>
      </w:r>
    </w:p>
    <w:p>
      <w:pPr>
        <w:pStyle w:val="Heading3"/>
      </w:pPr>
      <w:r>
        <w:rPr>
          <w:rFonts w:ascii="Segoe UI" w:hAnsi="Segoe UI" w:eastAsia="微软雅黑"/>
          <w:b/>
          <w:color w:val="1B3A5C"/>
          <w:sz w:val="26"/>
        </w:rPr>
        <w:t>（四）数据要素利用方案</w:t>
      </w:r>
    </w:p>
    <w:p>
      <w:r>
        <w:rPr>
          <w:rFonts w:ascii="Segoe UI" w:hAnsi="Segoe UI" w:eastAsia="微软雅黑"/>
          <w:b/>
          <w:sz w:val="21"/>
        </w:rPr>
        <w:t>数据来源与授权情况</w:t>
      </w:r>
      <w:r>
        <w:rPr>
          <w:rFonts w:ascii="Segoe UI" w:hAnsi="Segoe UI" w:eastAsia="微软雅黑"/>
          <w:b w:val="0"/>
          <w:sz w:val="21"/>
        </w:rPr>
        <w:t>。中国法律法规数据来自国家法律法规数据库（https://flk.npc.gov.cn）的官方公开文本；东盟各国成文法来自各国官方公报与法律信息门户，覆盖 14 个官方渠道（含泰国政府公报、新加坡法规在线、马来西亚总检察署法律在线、印度尼西亚法律法规信息网络、越南法律数据库、菲律宾法律信息库、文莱总检察署法规库、柬埔寨商务部法律与法规门户、老挝政府公报、缅甸司法部、东帝汶司法部等）；条约信息来自中国—东盟中心、东盟秘书处、东盟法律文书数据库、RCEP 秘书处与中国—东盟自贸区官网。地图国界数据采用 Natural Earth 1:50m 国界（公有领域）。</w:t>
      </w:r>
      <w:r>
        <w:rPr>
          <w:rFonts w:ascii="Segoe UI" w:hAnsi="Segoe UI" w:eastAsia="微软雅黑"/>
          <w:b/>
          <w:sz w:val="21"/>
        </w:rPr>
        <w:t>本项目不包含任何第三方代码库</w:t>
      </w:r>
      <w:r>
        <w:rPr>
          <w:rFonts w:ascii="Segoe UI" w:hAnsi="Segoe UI" w:eastAsia="微软雅黑"/>
          <w:b w:val="0"/>
          <w:sz w:val="21"/>
        </w:rPr>
        <w:t>（零依赖），不使用任何第三方模型服务。多数国家的法律、法规及国家机关决议决定等官方文件不属于著作权保护范围；官方公报的版式、数据库编排与第三方译文可能受保护，因此本项目仅收录法条正文，不复制版式，不使用第三方译文。</w:t>
      </w:r>
    </w:p>
    <w:p>
      <w:r>
        <w:rPr>
          <w:rFonts w:ascii="Segoe UI" w:hAnsi="Segoe UI" w:eastAsia="微软雅黑"/>
          <w:b/>
          <w:sz w:val="21"/>
        </w:rPr>
        <w:t>数据规模与结构（实测）</w:t>
      </w:r>
      <w:r>
        <w:rPr>
          <w:rFonts w:ascii="Segoe UI" w:hAnsi="Segoe UI" w:eastAsia="微软雅黑"/>
          <w:b w:val="0"/>
          <w:sz w:val="21"/>
        </w:rPr>
        <w:t>。</w:t>
      </w:r>
    </w:p>
    <w:tbl>
      <w:tblPr>
        <w:tblStyle w:val="TableGrid"/>
        <w:jc w:val="center"/>
        <w:tblLook w:firstColumn="1" w:firstRow="1" w:lastColumn="0" w:lastRow="0" w:noHBand="0" w:noVBand="1" w:val="04A0"/>
        <w:tblW w:w="5000" w:type="pct"/>
        <w:tblLayout w:type="autofit"/>
      </w:tblPr>
      <w:tblGrid>
        <w:gridCol w:w="4706"/>
        <w:gridCol w:w="4706"/>
      </w:tblGrid>
      <w:tr>
        <w:tc>
          <w:tcPr>
            <w:tcW w:type="dxa" w:w="4706"/>
            <w:shd w:val="clear" w:color="auto" w:fill="EBF4FF"/>
          </w:tcPr>
          <w:p>
            <w:pPr>
              <w:spacing w:after="40"/>
            </w:pPr>
            <w:r/>
            <w:r>
              <w:rPr>
                <w:rFonts w:ascii="Segoe UI" w:hAnsi="Segoe UI" w:eastAsia="微软雅黑"/>
                <w:b/>
                <w:color w:val="1B3A5C"/>
                <w:sz w:val="18"/>
              </w:rPr>
              <w:t>指标</w:t>
            </w:r>
          </w:p>
        </w:tc>
        <w:tc>
          <w:tcPr>
            <w:tcW w:type="dxa" w:w="4706"/>
            <w:shd w:val="clear" w:color="auto" w:fill="EBF4FF"/>
          </w:tcPr>
          <w:p>
            <w:pPr>
              <w:spacing w:after="40"/>
            </w:pPr>
            <w:r/>
            <w:r>
              <w:rPr>
                <w:rFonts w:ascii="Segoe UI" w:hAnsi="Segoe UI" w:eastAsia="微软雅黑"/>
                <w:b/>
                <w:color w:val="1B3A5C"/>
                <w:sz w:val="18"/>
              </w:rPr>
              <w:t>数值</w:t>
            </w:r>
          </w:p>
        </w:tc>
      </w:tr>
      <w:tr>
        <w:tc>
          <w:tcPr>
            <w:tcW w:type="dxa" w:w="4706"/>
          </w:tcPr>
          <w:p>
            <w:pPr>
              <w:spacing w:after="40"/>
            </w:pPr>
            <w:r/>
            <w:r>
              <w:rPr>
                <w:rFonts w:ascii="Segoe UI" w:hAnsi="Segoe UI" w:eastAsia="微软雅黑"/>
                <w:b w:val="0"/>
                <w:sz w:val="17"/>
              </w:rPr>
              <w:t>覆盖法域</w:t>
            </w:r>
          </w:p>
        </w:tc>
        <w:tc>
          <w:tcPr>
            <w:tcW w:type="dxa" w:w="4706"/>
          </w:tcPr>
          <w:p>
            <w:pPr>
              <w:spacing w:after="40"/>
            </w:pPr>
            <w:r/>
            <w:r>
              <w:rPr>
                <w:rFonts w:ascii="Segoe UI" w:hAnsi="Segoe UI" w:eastAsia="微软雅黑"/>
                <w:b w:val="0"/>
                <w:sz w:val="17"/>
              </w:rPr>
              <w:t>12（中国 + 东盟 11 国）</w:t>
            </w:r>
          </w:p>
        </w:tc>
      </w:tr>
      <w:tr>
        <w:tc>
          <w:tcPr>
            <w:tcW w:type="dxa" w:w="4706"/>
          </w:tcPr>
          <w:p>
            <w:pPr>
              <w:spacing w:after="40"/>
            </w:pPr>
            <w:r/>
            <w:r>
              <w:rPr>
                <w:rFonts w:ascii="Segoe UI" w:hAnsi="Segoe UI" w:eastAsia="微软雅黑"/>
                <w:b w:val="0"/>
                <w:sz w:val="17"/>
              </w:rPr>
              <w:t>法规目录条目</w:t>
            </w:r>
          </w:p>
        </w:tc>
        <w:tc>
          <w:tcPr>
            <w:tcW w:type="dxa" w:w="4706"/>
          </w:tcPr>
          <w:p>
            <w:pPr>
              <w:spacing w:after="40"/>
            </w:pPr>
            <w:r/>
            <w:r>
              <w:rPr>
                <w:rFonts w:ascii="Segoe UI" w:hAnsi="Segoe UI" w:eastAsia="微软雅黑"/>
                <w:b w:val="0"/>
                <w:sz w:val="17"/>
              </w:rPr>
              <w:t>2,401</w:t>
            </w:r>
          </w:p>
        </w:tc>
      </w:tr>
      <w:tr>
        <w:tc>
          <w:tcPr>
            <w:tcW w:type="dxa" w:w="4706"/>
          </w:tcPr>
          <w:p>
            <w:pPr>
              <w:spacing w:after="40"/>
            </w:pPr>
            <w:r/>
            <w:r>
              <w:rPr>
                <w:rFonts w:ascii="Segoe UI" w:hAnsi="Segoe UI" w:eastAsia="微软雅黑"/>
                <w:b w:val="0"/>
                <w:sz w:val="17"/>
              </w:rPr>
              <w:t>具有本地条文全文的法规</w:t>
            </w:r>
          </w:p>
        </w:tc>
        <w:tc>
          <w:tcPr>
            <w:tcW w:type="dxa" w:w="4706"/>
          </w:tcPr>
          <w:p>
            <w:pPr>
              <w:spacing w:after="40"/>
            </w:pPr>
            <w:r/>
            <w:r>
              <w:rPr>
                <w:rFonts w:ascii="Segoe UI" w:hAnsi="Segoe UI" w:eastAsia="微软雅黑"/>
                <w:b w:val="0"/>
                <w:sz w:val="17"/>
              </w:rPr>
              <w:t>2,079</w:t>
            </w:r>
          </w:p>
        </w:tc>
      </w:tr>
      <w:tr>
        <w:tc>
          <w:tcPr>
            <w:tcW w:type="dxa" w:w="4706"/>
          </w:tcPr>
          <w:p>
            <w:pPr>
              <w:spacing w:after="40"/>
            </w:pPr>
            <w:r/>
            <w:r>
              <w:rPr>
                <w:rFonts w:ascii="Segoe UI" w:hAnsi="Segoe UI" w:eastAsia="微软雅黑"/>
                <w:b w:val="0"/>
                <w:sz w:val="17"/>
              </w:rPr>
              <w:t>结构化条文总数</w:t>
            </w:r>
          </w:p>
        </w:tc>
        <w:tc>
          <w:tcPr>
            <w:tcW w:type="dxa" w:w="4706"/>
          </w:tcPr>
          <w:p>
            <w:pPr>
              <w:spacing w:after="40"/>
            </w:pPr>
            <w:r/>
            <w:r>
              <w:rPr>
                <w:rFonts w:ascii="Segoe UI" w:hAnsi="Segoe UI" w:eastAsia="微软雅黑"/>
                <w:b w:val="0"/>
                <w:sz w:val="17"/>
              </w:rPr>
              <w:t>98,940</w:t>
            </w:r>
          </w:p>
        </w:tc>
      </w:tr>
      <w:tr>
        <w:tc>
          <w:tcPr>
            <w:tcW w:type="dxa" w:w="4706"/>
          </w:tcPr>
          <w:p>
            <w:pPr>
              <w:spacing w:after="40"/>
            </w:pPr>
            <w:r/>
            <w:r>
              <w:rPr>
                <w:rFonts w:ascii="Segoe UI" w:hAnsi="Segoe UI" w:eastAsia="微软雅黑"/>
                <w:b w:val="0"/>
                <w:sz w:val="17"/>
              </w:rPr>
              <w:t>界面语言</w:t>
            </w:r>
          </w:p>
        </w:tc>
        <w:tc>
          <w:tcPr>
            <w:tcW w:type="dxa" w:w="4706"/>
          </w:tcPr>
          <w:p>
            <w:pPr>
              <w:spacing w:after="40"/>
            </w:pPr>
            <w:r/>
            <w:r>
              <w:rPr>
                <w:rFonts w:ascii="Segoe UI" w:hAnsi="Segoe UI" w:eastAsia="微软雅黑"/>
                <w:b w:val="0"/>
                <w:sz w:val="17"/>
              </w:rPr>
              <w:t>9</w:t>
            </w:r>
          </w:p>
        </w:tc>
      </w:tr>
      <w:tr>
        <w:tc>
          <w:tcPr>
            <w:tcW w:type="dxa" w:w="4706"/>
          </w:tcPr>
          <w:p>
            <w:pPr>
              <w:spacing w:after="40"/>
            </w:pPr>
            <w:r/>
            <w:r>
              <w:rPr>
                <w:rFonts w:ascii="Segoe UI" w:hAnsi="Segoe UI" w:eastAsia="微软雅黑"/>
                <w:b w:val="0"/>
                <w:sz w:val="17"/>
              </w:rPr>
              <w:t>法律术语</w:t>
            </w:r>
          </w:p>
        </w:tc>
        <w:tc>
          <w:tcPr>
            <w:tcW w:type="dxa" w:w="4706"/>
          </w:tcPr>
          <w:p>
            <w:pPr>
              <w:spacing w:after="40"/>
            </w:pPr>
            <w:r/>
            <w:r>
              <w:rPr>
                <w:rFonts w:ascii="Segoe UI" w:hAnsi="Segoe UI" w:eastAsia="微软雅黑"/>
                <w:b w:val="0"/>
                <w:sz w:val="17"/>
              </w:rPr>
              <w:t>161</w:t>
            </w:r>
          </w:p>
        </w:tc>
      </w:tr>
      <w:tr>
        <w:tc>
          <w:tcPr>
            <w:tcW w:type="dxa" w:w="4706"/>
          </w:tcPr>
          <w:p>
            <w:pPr>
              <w:spacing w:after="40"/>
            </w:pPr>
            <w:r/>
            <w:r>
              <w:rPr>
                <w:rFonts w:ascii="Segoe UI" w:hAnsi="Segoe UI" w:eastAsia="微软雅黑"/>
                <w:b w:val="0"/>
                <w:sz w:val="17"/>
              </w:rPr>
              <w:t>条约目录</w:t>
            </w:r>
          </w:p>
        </w:tc>
        <w:tc>
          <w:tcPr>
            <w:tcW w:type="dxa" w:w="4706"/>
          </w:tcPr>
          <w:p>
            <w:pPr>
              <w:spacing w:after="40"/>
            </w:pPr>
            <w:r/>
            <w:r>
              <w:rPr>
                <w:rFonts w:ascii="Segoe UI" w:hAnsi="Segoe UI" w:eastAsia="微软雅黑"/>
                <w:b w:val="0"/>
                <w:sz w:val="17"/>
              </w:rPr>
              <w:t>18</w:t>
            </w:r>
          </w:p>
        </w:tc>
      </w:tr>
      <w:tr>
        <w:tc>
          <w:tcPr>
            <w:tcW w:type="dxa" w:w="4706"/>
          </w:tcPr>
          <w:p>
            <w:pPr>
              <w:spacing w:after="40"/>
            </w:pPr>
            <w:r/>
            <w:r>
              <w:rPr>
                <w:rFonts w:ascii="Segoe UI" w:hAnsi="Segoe UI" w:eastAsia="微软雅黑"/>
                <w:b w:val="0"/>
                <w:sz w:val="17"/>
              </w:rPr>
              <w:t>案例</w:t>
            </w:r>
          </w:p>
        </w:tc>
        <w:tc>
          <w:tcPr>
            <w:tcW w:type="dxa" w:w="4706"/>
          </w:tcPr>
          <w:p>
            <w:pPr>
              <w:spacing w:after="40"/>
            </w:pPr>
            <w:r/>
            <w:r>
              <w:rPr>
                <w:rFonts w:ascii="Segoe UI" w:hAnsi="Segoe UI" w:eastAsia="微软雅黑"/>
                <w:b w:val="0"/>
                <w:sz w:val="17"/>
              </w:rPr>
              <w:t>10</w:t>
            </w:r>
          </w:p>
        </w:tc>
      </w:tr>
      <w:tr>
        <w:tc>
          <w:tcPr>
            <w:tcW w:type="dxa" w:w="4706"/>
          </w:tcPr>
          <w:p>
            <w:pPr>
              <w:spacing w:after="40"/>
            </w:pPr>
            <w:r/>
            <w:r>
              <w:rPr>
                <w:rFonts w:ascii="Segoe UI" w:hAnsi="Segoe UI" w:eastAsia="微软雅黑"/>
                <w:b w:val="0"/>
                <w:sz w:val="17"/>
              </w:rPr>
              <w:t>条文修订记录</w:t>
            </w:r>
          </w:p>
        </w:tc>
        <w:tc>
          <w:tcPr>
            <w:tcW w:type="dxa" w:w="4706"/>
          </w:tcPr>
          <w:p>
            <w:pPr>
              <w:spacing w:after="40"/>
            </w:pPr>
            <w:r/>
            <w:r>
              <w:rPr>
                <w:rFonts w:ascii="Segoe UI" w:hAnsi="Segoe UI" w:eastAsia="微软雅黑"/>
                <w:b w:val="0"/>
                <w:sz w:val="17"/>
              </w:rPr>
              <w:t>12</w:t>
            </w:r>
          </w:p>
        </w:tc>
      </w:tr>
      <w:tr>
        <w:tc>
          <w:tcPr>
            <w:tcW w:type="dxa" w:w="4706"/>
          </w:tcPr>
          <w:p>
            <w:pPr>
              <w:spacing w:after="40"/>
            </w:pPr>
            <w:r/>
            <w:r>
              <w:rPr>
                <w:rFonts w:ascii="Segoe UI" w:hAnsi="Segoe UI" w:eastAsia="微软雅黑"/>
                <w:b w:val="0"/>
                <w:sz w:val="17"/>
              </w:rPr>
              <w:t>条文层数据文件</w:t>
            </w:r>
          </w:p>
        </w:tc>
        <w:tc>
          <w:tcPr>
            <w:tcW w:type="dxa" w:w="4706"/>
          </w:tcPr>
          <w:p>
            <w:pPr>
              <w:spacing w:after="40"/>
            </w:pPr>
            <w:r/>
            <w:r>
              <w:rPr>
                <w:rFonts w:ascii="Segoe UI" w:hAnsi="Segoe UI" w:eastAsia="微软雅黑"/>
                <w:b w:val="0"/>
                <w:sz w:val="17"/>
              </w:rPr>
              <w:t>74 卷</w:t>
            </w:r>
          </w:p>
        </w:tc>
      </w:tr>
    </w:tbl>
    <w:p/>
    <w:p>
      <w:r>
        <w:rPr>
          <w:rFonts w:ascii="Segoe UI" w:hAnsi="Segoe UI" w:eastAsia="微软雅黑"/>
          <w:b w:val="0"/>
          <w:sz w:val="21"/>
        </w:rPr>
        <w:t>数据模型以“法域—法规—条文—术语—条约—案例—修订”七类实体组织。法规记录包含国别、法律层级、时效状态、公布日期、施行日期、制定机关、文号、主题标签、原文语种、覆盖范围与官方来源；条文记录包含章条位置、条号书写形式、原文文本与可选的分款结构；术语记录包含多语种译法、定义与置信度；法规另记录入库溯源信息，保存原始归档文件路径与元数据快照。</w:t>
      </w:r>
    </w:p>
    <w:p>
      <w:r>
        <w:rPr>
          <w:rFonts w:ascii="Segoe UI" w:hAnsi="Segoe UI" w:eastAsia="微软雅黑"/>
          <w:b/>
          <w:sz w:val="21"/>
        </w:rPr>
        <w:t>数据加工与质量控制</w:t>
      </w:r>
      <w:r>
        <w:rPr>
          <w:rFonts w:ascii="Segoe UI" w:hAnsi="Segoe UI" w:eastAsia="微软雅黑"/>
          <w:b w:val="0"/>
          <w:sz w:val="21"/>
        </w:rPr>
        <w:t>。加工流程为：官方渠道采集 → 编码与格式标准化 → 法条结构化切分 → 条号与章节识别 → 来源与字段标注 → 自动校验 → 入库发布。质量控制采用“契约 + 校验器”双轨：契约规定必填字段、枚举取值、命名规则与红线；校验器在入库前自动比对，对结构性错误直接拦截，对聚合类缺陷（如章节标题长度异常、条号重复）汇总为提示供人工排期处理。项目并已完成一轮</w:t>
      </w:r>
      <w:r>
        <w:rPr>
          <w:rFonts w:ascii="Segoe UI" w:hAnsi="Segoe UI" w:eastAsia="微软雅黑"/>
          <w:b/>
          <w:sz w:val="21"/>
        </w:rPr>
        <w:t>溯源重建</w:t>
      </w:r>
      <w:r>
        <w:rPr>
          <w:rFonts w:ascii="Segoe UI" w:hAnsi="Segoe UI" w:eastAsia="微软雅黑"/>
          <w:b w:val="0"/>
          <w:sz w:val="21"/>
        </w:rPr>
        <w:t>：将 629 条东盟法规条目与其原始归档文件建立映射，依据归档内的元数据表重建名称、发布机构、公布与施行日期、文号与修订信息，并把原值快照一并留存，实现可回溯、可回滚。</w:t>
      </w:r>
    </w:p>
    <w:p>
      <w:r>
        <w:rPr>
          <w:rFonts w:ascii="Segoe UI" w:hAnsi="Segoe UI" w:eastAsia="微软雅黑"/>
          <w:b/>
          <w:sz w:val="21"/>
        </w:rPr>
        <w:t>数据完整性如实披露</w:t>
      </w:r>
      <w:r>
        <w:rPr>
          <w:rFonts w:ascii="Segoe UI" w:hAnsi="Segoe UI" w:eastAsia="微软雅黑"/>
          <w:b w:val="0"/>
          <w:sz w:val="21"/>
        </w:rPr>
        <w:t>。项目编制并公开《无本地原文清单》，当前有 348 条条目（法规 321 条、修正案 9 条、条约 18 项）仅登记目录信息并附官方链接，尚未收录本地条文；该清单由脚本从数据层实时生成，随语料补充自动刷新，不以任何方式掩盖缺口。</w:t>
      </w:r>
    </w:p>
    <w:p>
      <w:r>
        <w:rPr>
          <w:rFonts w:ascii="Segoe UI" w:hAnsi="Segoe UI" w:eastAsia="微软雅黑"/>
          <w:b/>
          <w:sz w:val="21"/>
        </w:rPr>
        <w:t>数据合规与安全</w:t>
      </w:r>
      <w:r>
        <w:rPr>
          <w:rFonts w:ascii="Segoe UI" w:hAnsi="Segoe UI" w:eastAsia="微软雅黑"/>
          <w:b w:val="0"/>
          <w:sz w:val="21"/>
        </w:rPr>
        <w:t>。平台仅采集各国官方公开发布的规范性文件与公开裁判文书，不采集涉及国家秘密、商业秘密与个人隐私的信息；平台不收集用户个人信息，不设登录与注册，界面语言与深浅色等偏好仅保存在用户浏览器本地；零依赖静态形态使平台可在完全离线的内网环境中运行，数据不出域。</w:t>
      </w:r>
    </w:p>
    <w:p>
      <w:pPr>
        <w:pStyle w:val="Heading3"/>
      </w:pPr>
      <w:r>
        <w:rPr>
          <w:rFonts w:ascii="Segoe UI" w:hAnsi="Segoe UI" w:eastAsia="微软雅黑"/>
          <w:b/>
          <w:color w:val="1B3A5C"/>
          <w:sz w:val="26"/>
        </w:rPr>
        <w:t>（五）接口设计与产品形态</w:t>
      </w:r>
    </w:p>
    <w:p>
      <w:r>
        <w:rPr>
          <w:rFonts w:ascii="Segoe UI" w:hAnsi="Segoe UI" w:eastAsia="微软雅黑"/>
          <w:b/>
          <w:sz w:val="21"/>
        </w:rPr>
        <w:t>已完成形态</w:t>
      </w:r>
      <w:r>
        <w:rPr>
          <w:rFonts w:ascii="Segoe UI" w:hAnsi="Segoe UI" w:eastAsia="微软雅黑"/>
          <w:b w:val="0"/>
          <w:sz w:val="21"/>
        </w:rPr>
        <w:t>。平台为浏览器即可访问的离线单页应用，无需安装客户端、无需注册登录。数据以分卷文件按需加载，避免一次性载入全部语料；分卷索引与法规目录两张索引表支撑恒定时间的定位查询。</w:t>
      </w:r>
    </w:p>
    <w:p>
      <w:r>
        <w:rPr>
          <w:rFonts w:ascii="Segoe UI" w:hAnsi="Segoe UI" w:eastAsia="微软雅黑"/>
          <w:b/>
          <w:sz w:val="21"/>
        </w:rPr>
        <w:t>规划形态</w:t>
      </w:r>
      <w:r>
        <w:rPr>
          <w:rFonts w:ascii="Segoe UI" w:hAnsi="Segoe UI" w:eastAsia="微软雅黑"/>
          <w:b w:val="0"/>
          <w:sz w:val="21"/>
        </w:rPr>
        <w:t>。二期拟在现有数据模型之上提供三类接口：资源查询接口覆盖法域、法规、条文、术语、条约、案例等资源，支持关键词、法域、层级、时效、主题、语种、日期、排序与分页参数；比对接口接收条文编号集合返回结构化比对报告；问答接口提供同步与流式两种返回方式。同时规划机构级密钥与用量配额，便于法院、仲裁机构、律师事务所与企业集成。</w:t>
      </w:r>
      <w:r>
        <w:rPr>
          <w:rFonts w:ascii="Segoe UI" w:hAnsi="Segoe UI" w:eastAsia="微软雅黑"/>
          <w:b/>
          <w:sz w:val="21"/>
        </w:rPr>
        <w:t>上述接口为规划内容，当前原型不提供后端服务接口</w:t>
      </w:r>
      <w:r>
        <w:rPr>
          <w:rFonts w:ascii="Segoe UI" w:hAnsi="Segoe UI" w:eastAsia="微软雅黑"/>
          <w:b w:val="0"/>
          <w:sz w:val="21"/>
        </w:rPr>
        <w:t>。</w:t>
      </w:r>
    </w:p>
    <w:p>
      <w:pPr>
        <w:pBdr>
          <w:bottom w:val="single" w:sz="6" w:space="1" w:color="CBD5E0"/>
        </w:pBdr>
      </w:pPr>
    </w:p>
    <w:p>
      <w:pPr>
        <w:pStyle w:val="Heading2"/>
      </w:pPr>
      <w:r>
        <w:rPr>
          <w:rFonts w:ascii="Segoe UI" w:hAnsi="Segoe UI" w:eastAsia="微软雅黑"/>
          <w:b/>
          <w:color w:val="1B3A5C"/>
          <w:sz w:val="30"/>
        </w:rPr>
        <w:t>三、先进性</w:t>
      </w:r>
    </w:p>
    <w:p>
      <w:r>
        <w:rPr>
          <w:rFonts w:ascii="Segoe UI" w:hAnsi="Segoe UI" w:eastAsia="微软雅黑"/>
          <w:b w:val="0"/>
          <w:sz w:val="21"/>
        </w:rPr>
        <w:t>本章字数：2999 字（上限 3000 字）</w:t>
      </w:r>
    </w:p>
    <w:p>
      <w:pPr>
        <w:pStyle w:val="Heading3"/>
      </w:pPr>
      <w:r>
        <w:rPr>
          <w:rFonts w:ascii="Segoe UI" w:hAnsi="Segoe UI" w:eastAsia="微软雅黑"/>
          <w:b/>
          <w:color w:val="1B3A5C"/>
          <w:sz w:val="26"/>
        </w:rPr>
        <w:t>（一）方案设计理念与总体竞争优势</w:t>
      </w:r>
    </w:p>
    <w:p>
      <w:r>
        <w:rPr>
          <w:rFonts w:ascii="Segoe UI" w:hAnsi="Segoe UI" w:eastAsia="微软雅黑"/>
          <w:b w:val="0"/>
          <w:sz w:val="21"/>
        </w:rPr>
        <w:t>本项目以“可读、可信、可比、可溯”为四项硬约束：可读，指 9 种界面语言对等呈现法规信息；可信，指数据只来自各国官方公开渠道并逐条标注来源与时效；可比，指具备条文级跨法域对照能力；可溯，指每部法规都能回到入库时的原始归档文件与元数据快照。设计上坚持权威数据为底座、多语种能力为主线、智能能力为增强层的分工，避免以生成模型替代法律文本本身。</w:t>
      </w:r>
    </w:p>
    <w:p>
      <w:r>
        <w:rPr>
          <w:rFonts w:ascii="Segoe UI" w:hAnsi="Segoe UI" w:eastAsia="微软雅黑"/>
          <w:b w:val="0"/>
          <w:sz w:val="21"/>
        </w:rPr>
        <w:t>与国内现有的中国法律法规数据库（如国家法律法规数据库）相比，本项目在其权威、公益的信息架构基础上完成四项面向东盟场景的升级：一是法域从单一中国扩展为东盟 11 国与中国共 12 个法域，并按大陆法系、普通法系、混合法系三类法源差异重构分类体系；二是界面语言从单一中文扩展为 9 种，覆盖东盟全部官方语言；三是新增跨语言条款比对与法律术语对照两项跨境实务刚需能力；四是问答能力以强制引用溯源与阈值兜底为前提。在公开可检索范围内，尚未发现同类覆盖东盟 11 国全法域、提供 9 种界面语言并兼具跨语言检索、条文比对与术语对照的产品。</w:t>
      </w:r>
    </w:p>
    <w:p>
      <w:pPr>
        <w:pStyle w:val="Heading3"/>
      </w:pPr>
      <w:r>
        <w:rPr>
          <w:rFonts w:ascii="Segoe UI" w:hAnsi="Segoe UI" w:eastAsia="微软雅黑"/>
          <w:b/>
          <w:color w:val="1B3A5C"/>
          <w:sz w:val="26"/>
        </w:rPr>
        <w:t>（二）创新性</w:t>
      </w:r>
    </w:p>
    <w:p>
      <w:r>
        <w:rPr>
          <w:rFonts w:ascii="Segoe UI" w:hAnsi="Segoe UI" w:eastAsia="微软雅黑"/>
          <w:b/>
          <w:sz w:val="21"/>
        </w:rPr>
        <w:t>数据架构创新：译文与原文物理分离。</w:t>
      </w:r>
      <w:r>
        <w:rPr>
          <w:rFonts w:ascii="Segoe UI" w:hAnsi="Segoe UI" w:eastAsia="微软雅黑"/>
          <w:b w:val="0"/>
          <w:sz w:val="21"/>
        </w:rPr>
        <w:t xml:space="preserve"> 同类产品通常把机器译文与官方原文存放在同一字段中，易造成译文冒充原文、引用无法区分。本项目把译文设计为独立数据层，记录生成引擎、模型标识、提示词版本、生成日期与校对状态，渲染时按条文编号在内存中合并，磁盘原文永不被写入。这一设计使译文可整批重译、可逐条追溯、可整体停用，同时从存储结构上保证了原文的权威性与不可污染性。</w:t>
      </w:r>
    </w:p>
    <w:p>
      <w:r>
        <w:rPr>
          <w:rFonts w:ascii="Segoe UI" w:hAnsi="Segoe UI" w:eastAsia="微软雅黑"/>
          <w:b/>
          <w:sz w:val="21"/>
        </w:rPr>
        <w:t>数据治理创新：把数据规范做成可交付、可校验的产品。</w:t>
      </w:r>
      <w:r>
        <w:rPr>
          <w:rFonts w:ascii="Segoe UI" w:hAnsi="Segoe UI" w:eastAsia="微软雅黑"/>
          <w:b w:val="0"/>
          <w:sz w:val="21"/>
        </w:rPr>
        <w:t xml:space="preserve"> 项目把字段字典、枚举取值、识别条件、命名规则、译文分离要求、十条红线与十三项自检清单写成对外可发布的《条文入库与译文分离规范》，并配套可独立运行的自动校验器。第三方按此规范产出的数据可在入库前自动验收，校验器覆盖字段完整性、条文计数一致性、目录与分卷一致性、标识唯一性、译文条号可对齐性等检查项。</w:t>
      </w:r>
      <w:r>
        <w:rPr>
          <w:rFonts w:ascii="Segoe UI" w:hAnsi="Segoe UI" w:eastAsia="微软雅黑"/>
          <w:b/>
          <w:sz w:val="21"/>
        </w:rPr>
        <w:t>这使得语料扩充从“依赖单一团队经验”转变为“依赖可验证的数据契约”</w:t>
      </w:r>
      <w:r>
        <w:rPr>
          <w:rFonts w:ascii="Segoe UI" w:hAnsi="Segoe UI" w:eastAsia="微软雅黑"/>
          <w:b w:val="0"/>
          <w:sz w:val="21"/>
        </w:rPr>
        <w:t>，是本项目可复制性的根本来源。</w:t>
      </w:r>
    </w:p>
    <w:p>
      <w:r>
        <w:rPr>
          <w:rFonts w:ascii="Segoe UI" w:hAnsi="Segoe UI" w:eastAsia="微软雅黑"/>
          <w:b/>
          <w:sz w:val="21"/>
        </w:rPr>
        <w:t>数据可信性创新：溯源重建与缺口公开。</w:t>
      </w:r>
      <w:r>
        <w:rPr>
          <w:rFonts w:ascii="Segoe UI" w:hAnsi="Segoe UI" w:eastAsia="微软雅黑"/>
          <w:b w:val="0"/>
          <w:sz w:val="21"/>
        </w:rPr>
        <w:t xml:space="preserve"> 项目对 629 条东盟法规条目完成溯源重建，依据原始归档文件内的元数据表重建名称、发布机构、公布与施行日期、文号与修订信息，并在数据层保留原值快照，可随时回溯与回滚；同时把尚未收录本地全文的 348 条条目编制为公开清单，明确标注为“仅条目信息”，由脚本从数据层实时生成。</w:t>
      </w:r>
      <w:r>
        <w:rPr>
          <w:rFonts w:ascii="Segoe UI" w:hAnsi="Segoe UI" w:eastAsia="微软雅黑"/>
          <w:b/>
          <w:sz w:val="21"/>
        </w:rPr>
        <w:t>在数据产品中以结构化方式主动披露自身缺口</w:t>
      </w:r>
      <w:r>
        <w:rPr>
          <w:rFonts w:ascii="Segoe UI" w:hAnsi="Segoe UI" w:eastAsia="微软雅黑"/>
          <w:b w:val="0"/>
          <w:sz w:val="21"/>
        </w:rPr>
        <w:t>，是可信度的直接体现。</w:t>
      </w:r>
    </w:p>
    <w:p>
      <w:r>
        <w:rPr>
          <w:rFonts w:ascii="Segoe UI" w:hAnsi="Segoe UI" w:eastAsia="微软雅黑"/>
          <w:b/>
          <w:sz w:val="21"/>
        </w:rPr>
        <w:t>工程实现创新：零依赖离线交付。</w:t>
      </w:r>
      <w:r>
        <w:rPr>
          <w:rFonts w:ascii="Segoe UI" w:hAnsi="Segoe UI" w:eastAsia="微软雅黑"/>
          <w:b w:val="0"/>
          <w:sz w:val="21"/>
        </w:rPr>
        <w:t xml:space="preserve"> 平台不使用任何前端框架与第三方运行时，零构建、零网络请求，双击即可离线运行。这使平台可在完全隔离的内网环境中运行，响应数据不出域要求，也大幅降低了长期维护与安全审计成本。</w:t>
      </w:r>
    </w:p>
    <w:p>
      <w:r>
        <w:rPr>
          <w:rFonts w:ascii="Segoe UI" w:hAnsi="Segoe UI" w:eastAsia="微软雅黑"/>
          <w:b/>
          <w:sz w:val="21"/>
        </w:rPr>
        <w:t>产品与服务创新：无引用不结论。</w:t>
      </w:r>
      <w:r>
        <w:rPr>
          <w:rFonts w:ascii="Segoe UI" w:hAnsi="Segoe UI" w:eastAsia="微软雅黑"/>
          <w:b w:val="0"/>
          <w:sz w:val="21"/>
        </w:rPr>
        <w:t xml:space="preserve"> 问答链路以“检索—引用—组织—兜底”四段实现，任何法律结论均绑定条文编号与原文位置，低于相关度阈值时明确输出“暂未收录相关法规”而不作推测；时效性四态标识（现行有效、已修订、已废止、尚未生效）配合修订沿革与生效日期，使“条文是否仍然有效”成为可直接查询的属性。</w:t>
      </w:r>
    </w:p>
    <w:p>
      <w:pPr>
        <w:pStyle w:val="Heading3"/>
      </w:pPr>
      <w:r>
        <w:rPr>
          <w:rFonts w:ascii="Segoe UI" w:hAnsi="Segoe UI" w:eastAsia="微软雅黑"/>
          <w:b/>
          <w:color w:val="1B3A5C"/>
          <w:sz w:val="26"/>
        </w:rPr>
        <w:t>（三）需求相关性</w:t>
      </w:r>
    </w:p>
    <w:p>
      <w:r>
        <w:rPr>
          <w:rFonts w:ascii="Segoe UI" w:hAnsi="Segoe UI" w:eastAsia="微软雅黑"/>
          <w:b w:val="0"/>
          <w:sz w:val="21"/>
        </w:rPr>
        <w:t>本项目切中的是涉外法治领域三个长期存在的堵点，重要程度高、影响范围广。</w:t>
      </w:r>
    </w:p>
    <w:p>
      <w:r>
        <w:rPr>
          <w:rFonts w:ascii="Segoe UI" w:hAnsi="Segoe UI" w:eastAsia="微软雅黑"/>
          <w:b/>
          <w:sz w:val="21"/>
        </w:rPr>
        <w:t>第一，域外法查明难是涉外审判、仲裁与合规工作的共性障碍。</w:t>
      </w:r>
      <w:r>
        <w:rPr>
          <w:rFonts w:ascii="Segoe UI" w:hAnsi="Segoe UI" w:eastAsia="微软雅黑"/>
          <w:b w:val="0"/>
          <w:sz w:val="21"/>
        </w:rPr>
        <w:t xml:space="preserve"> 东盟各国法律文本分散、体例不一、时效复杂，人工查明成本高且难以穷尽。本项目以 12 个法域全覆盖、98,940 条结构化条文与逐条时效标注回应这一需求。</w:t>
      </w:r>
    </w:p>
    <w:p>
      <w:r>
        <w:rPr>
          <w:rFonts w:ascii="Segoe UI" w:hAnsi="Segoe UI" w:eastAsia="微软雅黑"/>
          <w:b/>
          <w:sz w:val="21"/>
        </w:rPr>
        <w:t>第二，语言壁垒是法律服务跨境供给的主要摩擦。</w:t>
      </w:r>
      <w:r>
        <w:rPr>
          <w:rFonts w:ascii="Segoe UI" w:hAnsi="Segoe UI" w:eastAsia="微软雅黑"/>
          <w:b w:val="0"/>
          <w:sz w:val="21"/>
        </w:rPr>
        <w:t xml:space="preserve"> 东盟官方语言与工作语言多样，中文资料多为二手转述。本项目以 9 种界面语言、161 条多语种术语与条文级跨语言召回降低门槛，并使东盟侧从业者能以本国语言检索中国法律法规，形成双向可达。</w:t>
      </w:r>
    </w:p>
    <w:p>
      <w:r>
        <w:rPr>
          <w:rFonts w:ascii="Segoe UI" w:hAnsi="Segoe UI" w:eastAsia="微软雅黑"/>
          <w:b/>
          <w:sz w:val="21"/>
        </w:rPr>
        <w:t>第三，制度衔接缺乏工具。</w:t>
      </w:r>
      <w:r>
        <w:rPr>
          <w:rFonts w:ascii="Segoe UI" w:hAnsi="Segoe UI" w:eastAsia="微软雅黑"/>
          <w:b w:val="0"/>
          <w:sz w:val="21"/>
        </w:rPr>
        <w:t xml:space="preserve"> RCEP 与 ACFTA 及其升级议定书落地过程中，同一事项在中国法与东盟国家法下的定义、程序和法律后果存在差异。本项目以多维差异识别与制度衔接提示，为跨境交易结构设计与争议解决提供结构化参考。</w:t>
      </w:r>
    </w:p>
    <w:p>
      <w:r>
        <w:rPr>
          <w:rFonts w:ascii="Segoe UI" w:hAnsi="Segoe UI" w:eastAsia="微软雅黑"/>
          <w:b/>
          <w:sz w:val="21"/>
        </w:rPr>
        <w:t>第四，数据标准缺位。</w:t>
      </w:r>
      <w:r>
        <w:rPr>
          <w:rFonts w:ascii="Segoe UI" w:hAnsi="Segoe UI" w:eastAsia="微软雅黑"/>
          <w:b w:val="0"/>
          <w:sz w:val="21"/>
        </w:rPr>
        <w:t xml:space="preserve"> 面向东盟的法律数据建设缺乏统一契约，导致各机构重复建设、格式互不兼容。本项目把数据规范与校验器一并交付，为行业提供可复用的标准化底座。</w:t>
      </w:r>
    </w:p>
    <w:p>
      <w:r>
        <w:rPr>
          <w:rFonts w:ascii="Segoe UI" w:hAnsi="Segoe UI" w:eastAsia="微软雅黑"/>
          <w:b w:val="0"/>
          <w:sz w:val="21"/>
        </w:rPr>
        <w:t>从影响范围看，受益主体包括涉外审判与仲裁机构、律师事务所、出海企业法务与合规部门、高校与科研机构、政府涉外经贸与司法行政部门，以及东盟侧从业者与企业。广西是中国面向东盟开放合作的前沿和窗口，在此形成面向东盟的法律数据基础设施，可将区位优势转化为规则服务能力，其示范效应可向全国涉外法律服务体系复制。</w:t>
      </w:r>
    </w:p>
    <w:p>
      <w:pPr>
        <w:pStyle w:val="Heading3"/>
      </w:pPr>
      <w:r>
        <w:rPr>
          <w:rFonts w:ascii="Segoe UI" w:hAnsi="Segoe UI" w:eastAsia="微软雅黑"/>
          <w:b/>
          <w:color w:val="1B3A5C"/>
          <w:sz w:val="26"/>
        </w:rPr>
        <w:t>（四）数据要素相关性</w:t>
      </w:r>
    </w:p>
    <w:p>
      <w:r>
        <w:rPr>
          <w:rFonts w:ascii="Segoe UI" w:hAnsi="Segoe UI" w:eastAsia="微软雅黑"/>
          <w:b/>
          <w:sz w:val="21"/>
        </w:rPr>
        <w:t>数据来源广泛性。</w:t>
      </w:r>
      <w:r>
        <w:rPr>
          <w:rFonts w:ascii="Segoe UI" w:hAnsi="Segoe UI" w:eastAsia="微软雅黑"/>
          <w:b w:val="0"/>
          <w:sz w:val="21"/>
        </w:rPr>
        <w:t xml:space="preserve"> 项目语料来源覆盖中国国家法律法规数据库、东盟各国官方公报与法律信息门户共 14 个官方渠道，以及中国—东盟中心、东盟秘书处、东盟法律文书数据库、RCEP 秘书处与中国—东盟自贸区官网。来源多元且均为可追溯的官方或公开渠道，避免单一来源导致的覆盖偏差；每条法规均记录官方来源名称与链接。</w:t>
      </w:r>
    </w:p>
    <w:p>
      <w:r>
        <w:rPr>
          <w:rFonts w:ascii="Segoe UI" w:hAnsi="Segoe UI" w:eastAsia="微软雅黑"/>
          <w:b/>
          <w:sz w:val="21"/>
        </w:rPr>
        <w:t>数据维度丰富度。</w:t>
      </w:r>
      <w:r>
        <w:rPr>
          <w:rFonts w:ascii="Segoe UI" w:hAnsi="Segoe UI" w:eastAsia="微软雅黑"/>
          <w:b w:val="0"/>
          <w:sz w:val="21"/>
        </w:rPr>
        <w:t xml:space="preserve"> 数据按国别、法律层级、时效状态、语种、主题、法源类型、条约、案例、修订沿革与术语十个维度组织，并下沉至法条级结构化：章条位置、条号书写形式、多语种文本、关联术语、引用与被引用关系。多语种与多法域的交叉使数据具备横向比较价值，时效维度使数据具备时间序列价值。</w:t>
      </w:r>
    </w:p>
    <w:p>
      <w:r>
        <w:rPr>
          <w:rFonts w:ascii="Segoe UI" w:hAnsi="Segoe UI" w:eastAsia="微软雅黑"/>
          <w:b/>
          <w:sz w:val="21"/>
        </w:rPr>
        <w:t>数据价值体现。</w:t>
      </w:r>
      <w:r>
        <w:rPr>
          <w:rFonts w:ascii="Segoe UI" w:hAnsi="Segoe UI" w:eastAsia="微软雅黑"/>
          <w:b w:val="0"/>
          <w:sz w:val="21"/>
        </w:rPr>
        <w:t xml:space="preserve"> 数据在本项目中不是静态文件，而是可直接计算的要素：法条级结构化支撑条文定位与跨法域比对；术语表支撑跨语言对齐与术语翻译；9 种语言的界面与数据分键存储支撑多语种检索与阅读；溯源字段与原文快照支撑结论的可核查性；数据契约与校验器支撑规模化扩充。数据的价值随使用量增长而增强，检索词、点击与纠错反馈可回流用于词表扩充与语料补充，形成“使用—发现问题—补充语料—校验入库”的正向循环。</w:t>
      </w:r>
    </w:p>
    <w:p>
      <w:r>
        <w:rPr>
          <w:rFonts w:ascii="Segoe UI" w:hAnsi="Segoe UI" w:eastAsia="微软雅黑"/>
          <w:b/>
          <w:sz w:val="21"/>
        </w:rPr>
        <w:t>数据治理与安全。</w:t>
      </w:r>
      <w:r>
        <w:rPr>
          <w:rFonts w:ascii="Segoe UI" w:hAnsi="Segoe UI" w:eastAsia="微软雅黑"/>
          <w:b w:val="0"/>
          <w:sz w:val="21"/>
        </w:rPr>
        <w:t xml:space="preserve"> 项目以契约定标、以校验器把关，法规记录逐条标注来源、时效与版本信息，术语标注置信度，全链路保留来源地址与入库时间戳；只采集公开法律文本与公开裁判文书，不涉及国家秘密、商业秘密与个人信息；零依赖离线形态确保数据不出域。</w:t>
      </w:r>
    </w:p>
    <w:p>
      <w:r>
        <w:rPr>
          <w:rFonts w:ascii="Segoe UI" w:hAnsi="Segoe UI" w:eastAsia="微软雅黑"/>
          <w:b/>
          <w:sz w:val="21"/>
        </w:rPr>
        <w:t>规划中的数据价值延伸。</w:t>
      </w:r>
      <w:r>
        <w:rPr>
          <w:rFonts w:ascii="Segoe UI" w:hAnsi="Segoe UI" w:eastAsia="微软雅黑"/>
          <w:b w:val="0"/>
          <w:sz w:val="21"/>
        </w:rPr>
        <w:t xml:space="preserve"> 二期规划把数据库作为数据底座，向上支撑跨语言语义召回、领域机器翻译与检索增强问答，并可按同一规范向其他区域法域复制；该部分为规划内容，相关模型与索引能力尚未建设。</w:t>
      </w:r>
    </w:p>
    <w:p>
      <w:pPr>
        <w:pStyle w:val="Heading3"/>
      </w:pPr>
      <w:r>
        <w:rPr>
          <w:rFonts w:ascii="Segoe UI" w:hAnsi="Segoe UI" w:eastAsia="微软雅黑"/>
          <w:b/>
          <w:color w:val="1B3A5C"/>
          <w:sz w:val="26"/>
        </w:rPr>
        <w:t>（五）人才队伍与支撑条件</w:t>
      </w:r>
    </w:p>
    <w:p>
      <w:r>
        <w:rPr>
          <w:rFonts w:ascii="Segoe UI" w:hAnsi="Segoe UI" w:eastAsia="微软雅黑"/>
          <w:b w:val="0"/>
          <w:sz w:val="21"/>
        </w:rPr>
        <w:t>项目由高校学生赛道参赛队上海对外经贸大学一粒橡子队申报，参赛队负责人为王勃森，成员来自上海对外经贸大学，具备法学、外语、经贸与信息技术交叉背景。已完成的工作分工覆盖数据规范设计、语料加工与结构化、跨语言数据模型设计、前端工程实现、多语种文案校译与质量校验六类角色；团队的法学与国际经贸学科背景支撑了对东盟各国法律体系的分类判断，外语能力支撑了多语种术语与界面文案的处理，信息技术能力支撑了零依赖前端与自动化校验工具的落地。</w:t>
      </w:r>
    </w:p>
    <w:p>
      <w:r>
        <w:rPr>
          <w:rFonts w:ascii="Segoe UI" w:hAnsi="Segoe UI" w:eastAsia="微软雅黑"/>
          <w:b/>
          <w:sz w:val="21"/>
        </w:rPr>
        <w:t>需要如实说明的是</w:t>
      </w:r>
      <w:r>
        <w:rPr>
          <w:rFonts w:ascii="Segoe UI" w:hAnsi="Segoe UI" w:eastAsia="微软雅黑"/>
          <w:b w:val="0"/>
          <w:sz w:val="21"/>
        </w:rPr>
        <w:t>：现阶段项目尚无已授权专利与软件著作权，尚无已发表的论文与第三方检测报告。项目以自研代码与自建语料为主，</w:t>
      </w:r>
      <w:r>
        <w:rPr>
          <w:rFonts w:ascii="Segoe UI" w:hAnsi="Segoe UI" w:eastAsia="微软雅黑"/>
          <w:b/>
          <w:sz w:val="21"/>
        </w:rPr>
        <w:t>不包含任何第三方代码库</w:t>
      </w:r>
      <w:r>
        <w:rPr>
          <w:rFonts w:ascii="Segoe UI" w:hAnsi="Segoe UI" w:eastAsia="微软雅黑"/>
          <w:b w:val="0"/>
          <w:sz w:val="21"/>
        </w:rPr>
        <w:t>，法律文本均来自各国官方公开渠道并在数据层标注来源；规划就数据规范与校验工具、检索引擎、条文比对与问答溯源等成果申请软件著作权登记，并对具备创造性的核心方法择机申报发明专利。相关成果均为参赛队原创。</w:t>
      </w:r>
    </w:p>
    <w:p>
      <w:r>
        <w:rPr>
          <w:rFonts w:ascii="Segoe UI" w:hAnsi="Segoe UI" w:eastAsia="微软雅黑"/>
          <w:b w:val="0"/>
          <w:sz w:val="21"/>
        </w:rPr>
        <w:t>项目依托学校在国际经贸与涉外法治领域的学科积累与人才培养体系，并可借力广西面向东盟的区位资源与大赛合作资源。</w:t>
      </w:r>
    </w:p>
    <w:p>
      <w:pPr>
        <w:pBdr>
          <w:bottom w:val="single" w:sz="6" w:space="1" w:color="CBD5E0"/>
        </w:pBdr>
      </w:pPr>
    </w:p>
    <w:p>
      <w:pPr>
        <w:pStyle w:val="Heading2"/>
      </w:pPr>
      <w:r>
        <w:rPr>
          <w:rFonts w:ascii="Segoe UI" w:hAnsi="Segoe UI" w:eastAsia="微软雅黑"/>
          <w:b/>
          <w:color w:val="1B3A5C"/>
          <w:sz w:val="30"/>
        </w:rPr>
        <w:t>四、应用推广</w:t>
      </w:r>
    </w:p>
    <w:p>
      <w:r>
        <w:rPr>
          <w:rFonts w:ascii="Segoe UI" w:hAnsi="Segoe UI" w:eastAsia="微软雅黑"/>
          <w:b w:val="0"/>
          <w:sz w:val="21"/>
        </w:rPr>
        <w:t>本章字数：2992 字（上限 3000 字）</w:t>
      </w:r>
    </w:p>
    <w:p>
      <w:pPr>
        <w:pStyle w:val="Heading3"/>
      </w:pPr>
      <w:r>
        <w:rPr>
          <w:rFonts w:ascii="Segoe UI" w:hAnsi="Segoe UI" w:eastAsia="微软雅黑"/>
          <w:b/>
          <w:color w:val="1B3A5C"/>
          <w:sz w:val="26"/>
        </w:rPr>
        <w:t>（一）技术成熟度与推广现状</w:t>
      </w:r>
    </w:p>
    <w:p>
      <w:r>
        <w:rPr>
          <w:rFonts w:ascii="Segoe UI" w:hAnsi="Segoe UI" w:eastAsia="微软雅黑"/>
          <w:b w:val="0"/>
          <w:sz w:val="21"/>
        </w:rPr>
        <w:t>项目当前已完成</w:t>
      </w:r>
      <w:r>
        <w:rPr>
          <w:rFonts w:ascii="Segoe UI" w:hAnsi="Segoe UI" w:eastAsia="微软雅黑"/>
          <w:b/>
          <w:sz w:val="21"/>
        </w:rPr>
        <w:t>功能完整的可运行原型</w:t>
      </w:r>
      <w:r>
        <w:rPr>
          <w:rFonts w:ascii="Segoe UI" w:hAnsi="Segoe UI" w:eastAsia="微软雅黑"/>
          <w:b w:val="0"/>
          <w:sz w:val="21"/>
        </w:rPr>
        <w:t>，覆盖前述 11 个功能页面，内置 12 个法域、2,401 条法规目录、2,079 部法规全文与 98,940 条结构化条文，可完整演示跨语言检索、多维筛选、条文阅读、条款比对、术语对照与带引用溯源的智能问答全流程。原型为零依赖静态站点，双击即可离线运行，评审可在无网络环境中逐项验证。</w:t>
      </w:r>
    </w:p>
    <w:p>
      <w:r>
        <w:rPr>
          <w:rFonts w:ascii="Segoe UI" w:hAnsi="Segoe UI" w:eastAsia="微软雅黑"/>
          <w:b w:val="0"/>
          <w:sz w:val="21"/>
        </w:rPr>
        <w:t>与技术原型同步完成的还有配套文件集：项目基线、技术架构文档、视觉设计规范、数据建设方案、《条文入库与译文分离规范》、官方全文抓取实录、数据层治理报告与无本地原文清单，构成可评审、可复现、可交付的完整材料集。项目并建立了持续的自动校验机制，数据变更均通过校验器检查后方可入库。</w:t>
      </w:r>
    </w:p>
    <w:p>
      <w:r>
        <w:rPr>
          <w:rFonts w:ascii="Segoe UI" w:hAnsi="Segoe UI" w:eastAsia="微软雅黑"/>
          <w:b w:val="0"/>
          <w:sz w:val="21"/>
        </w:rPr>
        <w:t>按技术成熟度等级（Technology Readiness Level，TRL）口径衡量，本项目处于</w:t>
      </w:r>
      <w:r>
        <w:rPr>
          <w:rFonts w:ascii="Segoe UI" w:hAnsi="Segoe UI" w:eastAsia="微软雅黑"/>
          <w:b/>
          <w:sz w:val="21"/>
        </w:rPr>
        <w:t>原型验证阶段</w:t>
      </w:r>
      <w:r>
        <w:rPr>
          <w:rFonts w:ascii="Segoe UI" w:hAnsi="Segoe UI" w:eastAsia="微软雅黑"/>
          <w:b w:val="0"/>
          <w:sz w:val="21"/>
        </w:rPr>
        <w:t>：数据模型、检索链路、比对链路、术语链路与问答链路均已通过原型验证，数据规范与校验工具已投入实际使用并完成一轮溯源重建。</w:t>
      </w:r>
      <w:r>
        <w:rPr>
          <w:rFonts w:ascii="Segoe UI" w:hAnsi="Segoe UI" w:eastAsia="微软雅黑"/>
          <w:b/>
          <w:sz w:val="21"/>
        </w:rPr>
        <w:t>需要如实说明的是</w:t>
      </w:r>
      <w:r>
        <w:rPr>
          <w:rFonts w:ascii="Segoe UI" w:hAnsi="Segoe UI" w:eastAsia="微软雅黑"/>
          <w:b w:val="0"/>
          <w:sz w:val="21"/>
        </w:rPr>
        <w:t>：项目尚未进入商业化部署，尚无已签署的对外合作协议，尚无生产环境用户规模数据与实测性能报告；相关运营与推广成效均为基于真实业务场景的应用设计，本正文不作夸大表述。</w:t>
      </w:r>
    </w:p>
    <w:p>
      <w:pPr>
        <w:pStyle w:val="Heading3"/>
      </w:pPr>
      <w:r>
        <w:rPr>
          <w:rFonts w:ascii="Segoe UI" w:hAnsi="Segoe UI" w:eastAsia="微软雅黑"/>
          <w:b/>
          <w:color w:val="1B3A5C"/>
          <w:sz w:val="26"/>
        </w:rPr>
        <w:t>（二）市场潜力</w:t>
      </w:r>
    </w:p>
    <w:p>
      <w:r>
        <w:rPr>
          <w:rFonts w:ascii="Segoe UI" w:hAnsi="Segoe UI" w:eastAsia="微软雅黑"/>
          <w:b/>
          <w:sz w:val="21"/>
        </w:rPr>
        <w:t>需求侧基础明确。</w:t>
      </w:r>
      <w:r>
        <w:rPr>
          <w:rFonts w:ascii="Segoe UI" w:hAnsi="Segoe UI" w:eastAsia="微软雅黑"/>
          <w:b w:val="0"/>
          <w:sz w:val="21"/>
        </w:rPr>
        <w:t xml:space="preserve"> 涉外审判与仲裁机构需要域外法查明工具；律师事务所需要多语种条文检索与术语对照支撑；出海企业法务与合规部门需要目标国准入、用工、税务与数据合规的规则查询；高校与科研机构需要多国条文对照研究环境；政府涉外经贸、司法行政与外事部门需要条约与配套法规查询；东盟侧法律从业者与企业需要了解中国法律。上述六类需求主体在中国与东盟两侧同时存在，构成跨区域的双向需求结构。</w:t>
      </w:r>
    </w:p>
    <w:p>
      <w:r>
        <w:rPr>
          <w:rFonts w:ascii="Segoe UI" w:hAnsi="Segoe UI" w:eastAsia="微软雅黑"/>
          <w:b/>
          <w:sz w:val="21"/>
        </w:rPr>
        <w:t>从需求环境看</w:t>
      </w:r>
      <w:r>
        <w:rPr>
          <w:rFonts w:ascii="Segoe UI" w:hAnsi="Segoe UI" w:eastAsia="微软雅黑"/>
          <w:b w:val="0"/>
          <w:sz w:val="21"/>
        </w:rPr>
        <w:t>，中国与东盟已互为第一大贸易伙伴（据中国海关总署历年统计口径），RCEP 自 2022 年 1 月 1 日生效，ACFTA 及其升级议定书持续实施，跨境投资、贸易、工程承包与数据流动的规则查询与合规审查需求持续增长。面向东盟的多语种法律数据与检索服务，在涉外法律服务、企业合规、法律科技与高校教学科研等场景均存在应用空间。上述宏观数据均为公开口径，仅用于说明需求环境，不构成商业收益预测。</w:t>
      </w:r>
    </w:p>
    <w:p>
      <w:r>
        <w:rPr>
          <w:rFonts w:ascii="Segoe UI" w:hAnsi="Segoe UI" w:eastAsia="微软雅黑"/>
          <w:b/>
          <w:sz w:val="21"/>
        </w:rPr>
        <w:t>从示范价值看</w:t>
      </w:r>
      <w:r>
        <w:rPr>
          <w:rFonts w:ascii="Segoe UI" w:hAnsi="Segoe UI" w:eastAsia="微软雅黑"/>
          <w:b w:val="0"/>
          <w:sz w:val="21"/>
        </w:rPr>
        <w:t>，本项目填补的是区域法律数据基础设施的空白：现有中文法律数据产品以中国法为主，域外法查明多依赖零散检索与人工翻译，缺少覆盖东盟全法域、多语种对齐、条文级可比对的公共产品，更缺少可对外复用的数据标准。本项目可作为中国—东盟法治合作的数据底座与公共服务入口，其成果可直接支撑涉外公共法律服务、跨境争议解决辅助与涉外法治人才培养。</w:t>
      </w:r>
    </w:p>
    <w:p>
      <w:r>
        <w:rPr>
          <w:rFonts w:ascii="Segoe UI" w:hAnsi="Segoe UI" w:eastAsia="微软雅黑"/>
          <w:b/>
          <w:sz w:val="21"/>
        </w:rPr>
        <w:t>广西与本项目的结合点清晰。</w:t>
      </w:r>
      <w:r>
        <w:rPr>
          <w:rFonts w:ascii="Segoe UI" w:hAnsi="Segoe UI" w:eastAsia="微软雅黑"/>
          <w:b w:val="0"/>
          <w:sz w:val="21"/>
        </w:rPr>
        <w:t xml:space="preserve"> 广西是中国面向东盟开放合作的前沿和窗口，南宁是中国—东盟博览会永久举办地，具备面向东盟的长期交流机制与法律服务需求；大赛明确的激励政策进一步降低了推广门槛，包括获奖项目优先推荐给合作创投机构与创新创业孵化载体、获得梧州市人民政府产业对接与创新创业指导服务、优先推荐申报广西科技创新“智果”行动计划项目定向支持、广西高校学生与教师参赛可获赛事成果与高校学分及职称评审挂钩的政策支持、优秀项目纳入主办方企业与人才库等。以上政策依据大赛公告，为本项目在广西落地提供了现实通道。</w:t>
      </w:r>
    </w:p>
    <w:p>
      <w:pPr>
        <w:pStyle w:val="Heading3"/>
      </w:pPr>
      <w:r>
        <w:rPr>
          <w:rFonts w:ascii="Segoe UI" w:hAnsi="Segoe UI" w:eastAsia="微软雅黑"/>
          <w:b/>
          <w:color w:val="1B3A5C"/>
          <w:sz w:val="26"/>
        </w:rPr>
        <w:t>（三）行业示范性</w:t>
      </w:r>
    </w:p>
    <w:p>
      <w:r>
        <w:rPr>
          <w:rFonts w:ascii="Segoe UI" w:hAnsi="Segoe UI" w:eastAsia="微软雅黑"/>
          <w:b w:val="0"/>
          <w:sz w:val="21"/>
        </w:rPr>
        <w:t>本项目形成的是可复制、可推广的标准化方案，而非一次性定制系统。</w:t>
      </w:r>
    </w:p>
    <w:p>
      <w:r>
        <w:rPr>
          <w:rFonts w:ascii="Segoe UI" w:hAnsi="Segoe UI" w:eastAsia="微软雅黑"/>
          <w:b/>
          <w:sz w:val="21"/>
        </w:rPr>
        <w:t>第一，数据标准可复制——这是示范性最实的抓手。</w:t>
      </w:r>
      <w:r>
        <w:rPr>
          <w:rFonts w:ascii="Segoe UI" w:hAnsi="Segoe UI" w:eastAsia="微软雅黑"/>
          <w:b w:val="0"/>
          <w:sz w:val="21"/>
        </w:rPr>
        <w:t xml:space="preserve"> 项目定义了国别编码、法律层级、时效状态、语种、主题、法源类型、条约、案例、修订与术语十类数据维度以及法规与条文的字段结构，并以《条文入库与译文分离规范》形式对外发布；规范中固化十条红线与十三项自检清单，配套可独立运行的自动校验器。</w:t>
      </w:r>
      <w:r>
        <w:rPr>
          <w:rFonts w:ascii="Segoe UI" w:hAnsi="Segoe UI" w:eastAsia="微软雅黑"/>
          <w:b/>
          <w:sz w:val="21"/>
        </w:rPr>
        <w:t>任何新增法域只要遵循同一编码与字段规范、通过同一校验器，即可接入现有检索、比对与术语能力</w:t>
      </w:r>
      <w:r>
        <w:rPr>
          <w:rFonts w:ascii="Segoe UI" w:hAnsi="Segoe UI" w:eastAsia="微软雅黑"/>
          <w:b w:val="0"/>
          <w:sz w:val="21"/>
        </w:rPr>
        <w:t>，扩展成本主要来自语料加工，而非系统改造。该规范与校验器本身即可作为行业公共品输出，供其他语种、其他区域的法律数据建设直接复用。</w:t>
      </w:r>
    </w:p>
    <w:p>
      <w:r>
        <w:rPr>
          <w:rFonts w:ascii="Segoe UI" w:hAnsi="Segoe UI" w:eastAsia="微软雅黑"/>
          <w:b/>
          <w:sz w:val="21"/>
        </w:rPr>
        <w:t>第二，加工流程可复制。</w:t>
      </w:r>
      <w:r>
        <w:rPr>
          <w:rFonts w:ascii="Segoe UI" w:hAnsi="Segoe UI" w:eastAsia="微软雅黑"/>
          <w:b w:val="0"/>
          <w:sz w:val="21"/>
        </w:rPr>
        <w:t xml:space="preserve"> 项目把“官方渠道采集—编码与格式标准化—法条结构化切分—条号与章节识别—来源与字段标注—自动校验—入库发布”固化为标准作业流程，配套来源可追溯、时效可核验、缺口主动披露三类规则，可供其他语种、其他法域的数据建设参考。该流程对“行业数据集与垂直模型方向”同样具有参考价值，可输出高质量法律行业数据集。</w:t>
      </w:r>
    </w:p>
    <w:p>
      <w:r>
        <w:rPr>
          <w:rFonts w:ascii="Segoe UI" w:hAnsi="Segoe UI" w:eastAsia="微软雅黑"/>
          <w:b/>
          <w:sz w:val="21"/>
        </w:rPr>
        <w:t>第三，交付与部署模式可复制。</w:t>
      </w:r>
      <w:r>
        <w:rPr>
          <w:rFonts w:ascii="Segoe UI" w:hAnsi="Segoe UI" w:eastAsia="微软雅黑"/>
          <w:b w:val="0"/>
          <w:sz w:val="21"/>
        </w:rPr>
        <w:t xml:space="preserve"> 平台为零依赖离线站点，可部署于法院、司法行政机关、高校与企业的完全隔离内网环境，无需数据库与中间件，运维成本极低；数据分卷加载机制使语料规模增长不会带来首屏负担。</w:t>
      </w:r>
    </w:p>
    <w:p>
      <w:r>
        <w:rPr>
          <w:rFonts w:ascii="Segoe UI" w:hAnsi="Segoe UI" w:eastAsia="微软雅黑"/>
          <w:b/>
          <w:sz w:val="21"/>
        </w:rPr>
        <w:t>第四，应用模式可复制。</w:t>
      </w:r>
      <w:r>
        <w:rPr>
          <w:rFonts w:ascii="Segoe UI" w:hAnsi="Segoe UI" w:eastAsia="微软雅黑"/>
          <w:b w:val="0"/>
          <w:sz w:val="21"/>
        </w:rPr>
        <w:t xml:space="preserve"> 项目在公共法律服务、涉外审判辅助、企业合规、高校教学科研与法治宣传五类场景中形成“一次检索、多语种呈现、可溯源引用”的应用范式，可向基层公共法律服务中心、涉外法律服务机构与高校课程体系推广。</w:t>
      </w:r>
    </w:p>
    <w:p>
      <w:r>
        <w:rPr>
          <w:rFonts w:ascii="Segoe UI" w:hAnsi="Segoe UI" w:eastAsia="微软雅黑"/>
          <w:b/>
          <w:sz w:val="21"/>
        </w:rPr>
        <w:t>第五，推广节奏分阶段。</w:t>
      </w:r>
      <w:r>
        <w:rPr>
          <w:rFonts w:ascii="Segoe UI" w:hAnsi="Segoe UI" w:eastAsia="微软雅黑"/>
          <w:b w:val="0"/>
          <w:sz w:val="21"/>
        </w:rPr>
        <w:t xml:space="preserve"> 第一阶段以高校与研究机构为切入点，通过教学与科研场景验证多语种检索与比对能力；第二阶段面向律师事务所、企业法务与面向东盟的公共法律服务平台开放成果；第三阶段配合赛事成果推介机制，向广西司法行政系统与法律服务机构推广。分阶段推进可控制语料加工与校译资源的投入节奏。</w:t>
      </w:r>
    </w:p>
    <w:p>
      <w:r>
        <w:rPr>
          <w:rFonts w:ascii="Segoe UI" w:hAnsi="Segoe UI" w:eastAsia="微软雅黑"/>
          <w:b/>
          <w:sz w:val="21"/>
        </w:rPr>
        <w:t>向外拓展路径明确</w:t>
      </w:r>
      <w:r>
        <w:rPr>
          <w:rFonts w:ascii="Segoe UI" w:hAnsi="Segoe UI" w:eastAsia="微软雅黑"/>
          <w:b w:val="0"/>
          <w:sz w:val="21"/>
        </w:rPr>
        <w:t>：横向上可从东盟 11 国扩展至南亚、中亚等区域法域，复用同一套数据规范与加工流程；纵向上可作为数据底座接入合同智能审查、涉外法律文书辅助、跨境争议解决辅助等法律科技产品；组织上可与高校、行业协会、法律服务机构共建语料与校译协作网络，扩大数据供给能力。</w:t>
      </w:r>
    </w:p>
    <w:p>
      <w:pPr>
        <w:pStyle w:val="Heading3"/>
      </w:pPr>
      <w:r>
        <w:rPr>
          <w:rFonts w:ascii="Segoe UI" w:hAnsi="Segoe UI" w:eastAsia="微软雅黑"/>
          <w:b/>
          <w:color w:val="1B3A5C"/>
          <w:sz w:val="26"/>
        </w:rPr>
        <w:t>（四）可持续发展性</w:t>
      </w:r>
    </w:p>
    <w:p>
      <w:r>
        <w:rPr>
          <w:rFonts w:ascii="Segoe UI" w:hAnsi="Segoe UI" w:eastAsia="微软雅黑"/>
          <w:b/>
          <w:sz w:val="21"/>
        </w:rPr>
        <w:t>第一，路线清晰可控。</w:t>
      </w:r>
      <w:r>
        <w:rPr>
          <w:rFonts w:ascii="Segoe UI" w:hAnsi="Segoe UI" w:eastAsia="微软雅黑"/>
          <w:b w:val="0"/>
          <w:sz w:val="21"/>
        </w:rPr>
        <w:t xml:space="preserve"> 项目采取三步走路线：第一步（已完成）建成覆盖 12 个法域的多语种数据库与离线原型，并交付数据规范与校验工具；第二步向法域全量扩展，补充判例、条约条文与修订沿革数据，同步建设译文层；第三步进入常态化更新与运营。每一步均有明确的交付物与验收口径，避免一次性大投入带来的不确定性。</w:t>
      </w:r>
    </w:p>
    <w:p>
      <w:r>
        <w:rPr>
          <w:rFonts w:ascii="Segoe UI" w:hAnsi="Segoe UI" w:eastAsia="微软雅黑"/>
          <w:b/>
          <w:sz w:val="21"/>
        </w:rPr>
        <w:t>第二，数据更新机制可维持。</w:t>
      </w:r>
      <w:r>
        <w:rPr>
          <w:rFonts w:ascii="Segoe UI" w:hAnsi="Segoe UI" w:eastAsia="微软雅黑"/>
          <w:b w:val="0"/>
          <w:sz w:val="21"/>
        </w:rPr>
        <w:t xml:space="preserve"> 中国法律法规数据通过官方渠道持续同步；东盟各国成文法按周核对官方公报与法律信息门户；条约与协定按月更新；案例按月更新；术语与译文随校译进度持续扩充。更新流程与自动校验绑定，保证数据长期有效，而非一次交付即停滞。</w:t>
      </w:r>
    </w:p>
    <w:p>
      <w:r>
        <w:rPr>
          <w:rFonts w:ascii="Segoe UI" w:hAnsi="Segoe UI" w:eastAsia="微软雅黑"/>
          <w:b/>
          <w:sz w:val="21"/>
        </w:rPr>
        <w:t>第三，运营模式可持续。</w:t>
      </w:r>
      <w:r>
        <w:rPr>
          <w:rFonts w:ascii="Segoe UI" w:hAnsi="Segoe UI" w:eastAsia="微软雅黑"/>
          <w:b w:val="0"/>
          <w:sz w:val="21"/>
        </w:rPr>
        <w:t xml:space="preserve"> 项目坚持公益基础服务与机构增值服务并行：面向社会公众的法规检索、阅读与术语查询保持免费公益、无需登录；规划中的机构接口、私有化部署、定制数据服务与联合研究形成合理收入，用于支撑语料加工、专家校译与系统运维。该模式尚处于设计阶段，尚未产生实际收入，其可行性将在试点合作中检验。</w:t>
      </w:r>
    </w:p>
    <w:p>
      <w:r>
        <w:rPr>
          <w:rFonts w:ascii="Segoe UI" w:hAnsi="Segoe UI" w:eastAsia="微软雅黑"/>
          <w:b/>
          <w:sz w:val="21"/>
        </w:rPr>
        <w:t>第四，组织与生态可持续。</w:t>
      </w:r>
      <w:r>
        <w:rPr>
          <w:rFonts w:ascii="Segoe UI" w:hAnsi="Segoe UI" w:eastAsia="微软雅黑"/>
          <w:b w:val="0"/>
          <w:sz w:val="21"/>
        </w:rPr>
        <w:t xml:space="preserve"> 项目以高校参赛队为核心团队，采用“法律判断＋语言处理＋工程实现＋质量校验”的协作机制，并计划与广西及东盟高校、律师事务所、行业协会建立语料与校译协作网络；</w:t>
      </w:r>
      <w:r>
        <w:rPr>
          <w:rFonts w:ascii="Segoe UI" w:hAnsi="Segoe UI" w:eastAsia="微软雅黑"/>
          <w:b/>
          <w:sz w:val="21"/>
        </w:rPr>
        <w:t>数据规范与自动校验器的存在降低了协作门槛</w:t>
      </w:r>
      <w:r>
        <w:rPr>
          <w:rFonts w:ascii="Segoe UI" w:hAnsi="Segoe UI" w:eastAsia="微软雅黑"/>
          <w:b w:val="0"/>
          <w:sz w:val="21"/>
        </w:rPr>
        <w:t>——外部协作者只需按规范产出数据并运行校验器，即可参与语料共建，无需深度介入系统内部。大赛激励政策中的产业对接、成果推介与人才库机制，为团队持续投入提供了外部支持。</w:t>
      </w:r>
    </w:p>
    <w:p>
      <w:r>
        <w:rPr>
          <w:rFonts w:ascii="Segoe UI" w:hAnsi="Segoe UI" w:eastAsia="微软雅黑"/>
          <w:b/>
          <w:sz w:val="21"/>
        </w:rPr>
        <w:t>第五，风险识别与应对明确。</w:t>
      </w:r>
      <w:r>
        <w:rPr>
          <w:rFonts w:ascii="Segoe UI" w:hAnsi="Segoe UI" w:eastAsia="微软雅黑"/>
          <w:b w:val="0"/>
          <w:sz w:val="21"/>
        </w:rPr>
        <w:t xml:space="preserve"> 数据获取风险通过优先采集官方公开渠道控制；翻译质量风险通过译文分离存储、逐条条号对齐与标注校对状态控制；智能能力风险通过强制引用溯源、阈值兜底与规则化生成控制；成本风险通过零依赖架构、静态部署与分卷加载控制；合规风险通过不采集涉密涉个人数据、明确免责声明与知识产权标注控制。</w:t>
      </w:r>
    </w:p>
    <w:p>
      <w:pPr>
        <w:pBdr>
          <w:bottom w:val="single" w:sz="6" w:space="1" w:color="CBD5E0"/>
        </w:pBdr>
      </w:pPr>
    </w:p>
    <w:p>
      <w:pPr>
        <w:pStyle w:val="Heading2"/>
      </w:pPr>
      <w:r>
        <w:rPr>
          <w:rFonts w:ascii="Segoe UI" w:hAnsi="Segoe UI" w:eastAsia="微软雅黑"/>
          <w:b/>
          <w:color w:val="1B3A5C"/>
          <w:sz w:val="30"/>
        </w:rPr>
        <w:t>五、效益分析</w:t>
      </w:r>
    </w:p>
    <w:p>
      <w:r>
        <w:rPr>
          <w:rFonts w:ascii="Segoe UI" w:hAnsi="Segoe UI" w:eastAsia="微软雅黑"/>
          <w:b w:val="0"/>
          <w:sz w:val="21"/>
        </w:rPr>
        <w:t>本章字数：2969 字（上限 3000 字）</w:t>
      </w:r>
    </w:p>
    <w:p>
      <w:pPr>
        <w:pStyle w:val="Heading3"/>
      </w:pPr>
      <w:r>
        <w:rPr>
          <w:rFonts w:ascii="Segoe UI" w:hAnsi="Segoe UI" w:eastAsia="微软雅黑"/>
          <w:b/>
          <w:color w:val="1B3A5C"/>
          <w:sz w:val="26"/>
        </w:rPr>
        <w:t>（一）实用价值</w:t>
      </w:r>
    </w:p>
    <w:p>
      <w:r>
        <w:rPr>
          <w:rFonts w:ascii="Segoe UI" w:hAnsi="Segoe UI" w:eastAsia="微软雅黑"/>
          <w:b w:val="0"/>
          <w:sz w:val="21"/>
        </w:rPr>
        <w:t>项目成果直接对应五类具体应用场景。</w:t>
      </w:r>
    </w:p>
    <w:p>
      <w:r>
        <w:rPr>
          <w:rFonts w:ascii="Segoe UI" w:hAnsi="Segoe UI" w:eastAsia="微软雅黑"/>
          <w:b/>
          <w:sz w:val="21"/>
        </w:rPr>
        <w:t>场景一，涉外审判与仲裁中的域外法查明。</w:t>
      </w:r>
      <w:r>
        <w:rPr>
          <w:rFonts w:ascii="Segoe UI" w:hAnsi="Segoe UI" w:eastAsia="微软雅黑"/>
          <w:b w:val="0"/>
          <w:sz w:val="21"/>
        </w:rPr>
        <w:t xml:space="preserve"> 法官或仲裁员审理跨境商事纠纷时，需确认东盟国家成文法的具体条文与现行效力。平台提供三种检索模式与时效状态标识，可在同一界面完成条文定位、原文与译文对照、修订沿革查看，并复制规范引用格式用于裁判文书。当前平台已收录 12 个法域共 98,940 条结构化条文，其中国法 1,540 部、东盟各国 481 部具有本地全文。</w:t>
      </w:r>
    </w:p>
    <w:p>
      <w:r>
        <w:rPr>
          <w:rFonts w:ascii="Segoe UI" w:hAnsi="Segoe UI" w:eastAsia="微软雅黑"/>
          <w:b/>
          <w:sz w:val="21"/>
        </w:rPr>
        <w:t>场景二，出海企业合规审查。</w:t>
      </w:r>
      <w:r>
        <w:rPr>
          <w:rFonts w:ascii="Segoe UI" w:hAnsi="Segoe UI" w:eastAsia="微软雅黑"/>
          <w:b w:val="0"/>
          <w:sz w:val="21"/>
        </w:rPr>
        <w:t xml:space="preserve"> 企业法务在投资决策前需比对目标国与中国在准入、用工、知识产权与数据合规方面的规则差异。平台以跨语言条款比对输出多维差异与制度衔接提示，帮助企业识别合规风险点与需要外部法律意见确认的事项。</w:t>
      </w:r>
    </w:p>
    <w:p>
      <w:r>
        <w:rPr>
          <w:rFonts w:ascii="Segoe UI" w:hAnsi="Segoe UI" w:eastAsia="微软雅黑"/>
          <w:b/>
          <w:sz w:val="21"/>
        </w:rPr>
        <w:t>场景三，律师事务所与涉外法律服务。</w:t>
      </w:r>
      <w:r>
        <w:rPr>
          <w:rFonts w:ascii="Segoe UI" w:hAnsi="Segoe UI" w:eastAsia="微软雅黑"/>
          <w:b w:val="0"/>
          <w:sz w:val="21"/>
        </w:rPr>
        <w:t xml:space="preserve"> 律师办理跨境业务时可直接调用术语对照表与多语言文本导出能力，减少重复检索与翻译协调成本，并将可溯源条文作为法律意见的支撑材料；161 条术语的多语种对照可显著降低术语统一成本。</w:t>
      </w:r>
    </w:p>
    <w:p>
      <w:r>
        <w:rPr>
          <w:rFonts w:ascii="Segoe UI" w:hAnsi="Segoe UI" w:eastAsia="微软雅黑"/>
          <w:b/>
          <w:sz w:val="21"/>
        </w:rPr>
        <w:t>场景四，高校比较法研究与涉外法治人才培养。</w:t>
      </w:r>
      <w:r>
        <w:rPr>
          <w:rFonts w:ascii="Segoe UI" w:hAnsi="Segoe UI" w:eastAsia="微软雅黑"/>
          <w:b w:val="0"/>
          <w:sz w:val="21"/>
        </w:rPr>
        <w:t xml:space="preserve"> 研究者与学生可使用法律体系对照视图与条文并排比对开展多国制度比较研究，以真实多语种语料替代二手转述资料，提升研究可靠性与教学实效；平台零依赖离线可用，便于在无网络教室环境部署。</w:t>
      </w:r>
    </w:p>
    <w:p>
      <w:r>
        <w:rPr>
          <w:rFonts w:ascii="Segoe UI" w:hAnsi="Segoe UI" w:eastAsia="微软雅黑"/>
          <w:b/>
          <w:sz w:val="21"/>
        </w:rPr>
        <w:t>场景五，政府涉外决策与条约查询。</w:t>
      </w:r>
      <w:r>
        <w:rPr>
          <w:rFonts w:ascii="Segoe UI" w:hAnsi="Segoe UI" w:eastAsia="微软雅黑"/>
          <w:b w:val="0"/>
          <w:sz w:val="21"/>
        </w:rPr>
        <w:t xml:space="preserve"> 涉外经贸、司法行政与外事部门可查询 RCEP、ACFTA 及相关条约与各国配套法规，为政策研究、规则对接与涉外法律服务体系建设提供参考。</w:t>
      </w:r>
    </w:p>
    <w:p>
      <w:r>
        <w:rPr>
          <w:rFonts w:ascii="Segoe UI" w:hAnsi="Segoe UI" w:eastAsia="微软雅黑"/>
          <w:b w:val="0"/>
          <w:sz w:val="21"/>
        </w:rPr>
        <w:t>上述五类场景的共同特征是高频、跨语种、要求结论可核查：使用者不仅需要读到法条，还需要确认条文现行有效、译文来源可辨、出处可追溯，这正是本项目的设计重心。与通用搜索引擎或通用大模型相比，平台以官方来源语料与结构化字段体系回应专业需求；与单语种法律数据库相比，平台以 9 种界面语言与条文级比对回应跨境需求。</w:t>
      </w:r>
    </w:p>
    <w:p>
      <w:r>
        <w:rPr>
          <w:rFonts w:ascii="Segoe UI" w:hAnsi="Segoe UI" w:eastAsia="微软雅黑"/>
          <w:b/>
          <w:sz w:val="21"/>
        </w:rPr>
        <w:t>相关成果可落地性强。</w:t>
      </w:r>
      <w:r>
        <w:rPr>
          <w:rFonts w:ascii="Segoe UI" w:hAnsi="Segoe UI" w:eastAsia="微软雅黑"/>
          <w:b w:val="0"/>
          <w:sz w:val="21"/>
        </w:rPr>
        <w:t xml:space="preserve"> 原型已验证核心交互路径，零依赖静态形态使机构可直接在内网部署，个人用户通过浏览器即可访问，不需额外安装客户端、不需注册登录。</w:t>
      </w:r>
    </w:p>
    <w:p>
      <w:r>
        <w:rPr>
          <w:rFonts w:ascii="Segoe UI" w:hAnsi="Segoe UI" w:eastAsia="微软雅黑"/>
          <w:b/>
          <w:sz w:val="21"/>
        </w:rPr>
        <w:t>从经济效果看</w:t>
      </w:r>
      <w:r>
        <w:rPr>
          <w:rFonts w:ascii="Segoe UI" w:hAnsi="Segoe UI" w:eastAsia="微软雅黑"/>
          <w:b w:val="0"/>
          <w:sz w:val="21"/>
        </w:rPr>
        <w:t>，平台的中心价值在于节省重复检索与重复校译的社会总投入：同一部外国法规的检索与结构化成果一旦入库并通过校验，即可被后续所有用户复用，边际成本随使用量增加而递减；数据规范与校验工具的公开，还可降低同类机构从零起步的建设成本。</w:t>
      </w:r>
    </w:p>
    <w:p>
      <w:r>
        <w:rPr>
          <w:rFonts w:ascii="Segoe UI" w:hAnsi="Segoe UI" w:eastAsia="微软雅黑"/>
          <w:b/>
          <w:sz w:val="21"/>
        </w:rPr>
        <w:t>需要如实说明的是</w:t>
      </w:r>
      <w:r>
        <w:rPr>
          <w:rFonts w:ascii="Segoe UI" w:hAnsi="Segoe UI" w:eastAsia="微软雅黑"/>
          <w:b w:val="0"/>
          <w:sz w:val="21"/>
        </w:rPr>
        <w:t>：上述场景目前以原型验证与真实业务流程推演为主，尚无已上线运行的生产案例与实测性能数据。项目已规划可量化的评估口径用于后续测评，包括检索响应时间、条文定位准确率、跨语言召回命中率、术语对照覆盖率与答案引用可溯源率（设计目标为全部结论均可回跳原文），上述指标为设计与验收口径，不作为已实现的实测结果表述。</w:t>
      </w:r>
    </w:p>
    <w:p>
      <w:r>
        <w:rPr>
          <w:rFonts w:ascii="Segoe UI" w:hAnsi="Segoe UI" w:eastAsia="微软雅黑"/>
          <w:b/>
          <w:sz w:val="21"/>
        </w:rPr>
        <w:t>社会效益方面</w:t>
      </w:r>
      <w:r>
        <w:rPr>
          <w:rFonts w:ascii="Segoe UI" w:hAnsi="Segoe UI" w:eastAsia="微软雅黑"/>
          <w:b w:val="0"/>
          <w:sz w:val="21"/>
        </w:rPr>
        <w:t>，项目降低中国与东盟之间法律信息的不对称程度，为跨境经营者提供可负担的规则认知工具，为涉外法治人才培养提供数据与工具支撑，有助于深化中国—东盟法治交流合作，服务中国—东盟命运共同体建设。此外，平台可为中小微企业提供与大型机构同等质量的法律信息来源，降低其开展跨境经营的信息门槛；公开的数据规范亦可供行业复用，减少重复建设。</w:t>
      </w:r>
    </w:p>
    <w:p>
      <w:pPr>
        <w:pStyle w:val="Heading3"/>
      </w:pPr>
      <w:r>
        <w:rPr>
          <w:rFonts w:ascii="Segoe UI" w:hAnsi="Segoe UI" w:eastAsia="微软雅黑"/>
          <w:b/>
          <w:color w:val="1B3A5C"/>
          <w:sz w:val="26"/>
        </w:rPr>
        <w:t>（二）决策成效</w:t>
      </w:r>
    </w:p>
    <w:p>
      <w:r>
        <w:rPr>
          <w:rFonts w:ascii="Segoe UI" w:hAnsi="Segoe UI" w:eastAsia="微软雅黑"/>
          <w:b/>
          <w:sz w:val="21"/>
        </w:rPr>
        <w:t>第一，降本。</w:t>
      </w:r>
      <w:r>
        <w:rPr>
          <w:rFonts w:ascii="Segoe UI" w:hAnsi="Segoe UI" w:eastAsia="微软雅黑"/>
          <w:b w:val="0"/>
          <w:sz w:val="21"/>
        </w:rPr>
        <w:t xml:space="preserve"> 项目以一次检索替代多库多语种人工串联。在传统模式下，一次域外法查明通常需要检索多个官方站点、下载原文、委托或自行翻译、核对时效状态，环节多、周期长；平台将上述环节整合为单次操作，减少重复检索与重复翻译投入。面向机构用户，零依赖离线部署可避免各部门重复建设同类查询系统，显著降低信息化总体投入与运维成本；数据规范与校验器的公开可直接节省同类项目从零定义数据标准的时间成本。具体幅度以试点测评数据为准，本正文不作无依据的量化承诺。</w:t>
      </w:r>
    </w:p>
    <w:p>
      <w:r>
        <w:rPr>
          <w:rFonts w:ascii="Segoe UI" w:hAnsi="Segoe UI" w:eastAsia="微软雅黑"/>
          <w:b/>
          <w:sz w:val="21"/>
        </w:rPr>
        <w:t>第二，提质。</w:t>
      </w:r>
      <w:r>
        <w:rPr>
          <w:rFonts w:ascii="Segoe UI" w:hAnsi="Segoe UI" w:eastAsia="微软雅黑"/>
          <w:b w:val="0"/>
          <w:sz w:val="21"/>
        </w:rPr>
        <w:t xml:space="preserve"> 平台以官方来源为唯一数据入口，配合逐条来源标注与溯源字段，降低引用二手转述或失效法条的风险；时效状态四态标识配合修订沿革与生效日期，使“条文是否仍然有效”成为可直接查询的属性，减少因版本判断失误导致的合规瑕疵；问答的强制引用溯源与阈值兜底，使智能生成结论停留在可核查范围内；译文与原文分离存储并标注生成信息，避免译文被误当作官方文本使用。</w:t>
      </w:r>
    </w:p>
    <w:p>
      <w:r>
        <w:rPr>
          <w:rFonts w:ascii="Segoe UI" w:hAnsi="Segoe UI" w:eastAsia="微软雅黑"/>
          <w:b/>
          <w:sz w:val="21"/>
        </w:rPr>
        <w:t>第三，增效。</w:t>
      </w:r>
      <w:r>
        <w:rPr>
          <w:rFonts w:ascii="Segoe UI" w:hAnsi="Segoe UI" w:eastAsia="微软雅黑"/>
          <w:b w:val="0"/>
          <w:sz w:val="21"/>
        </w:rPr>
        <w:t xml:space="preserve"> 跨语言检索与条文级比对把原本依赖人工串联的多步骤工作压缩为结构化输出，法条定位、差异识别与术语查找在同一界面完成；对政府涉外部门而言，条约与各国配套法规的集中查询提升了政策研究与规则对接效率；对司法与仲裁机构而言，域外法查明的规范化流程提升了涉外案件办理的规范性与一致性。</w:t>
      </w:r>
    </w:p>
    <w:p>
      <w:r>
        <w:rPr>
          <w:rFonts w:ascii="Segoe UI" w:hAnsi="Segoe UI" w:eastAsia="微软雅黑"/>
          <w:b/>
          <w:sz w:val="21"/>
        </w:rPr>
        <w:t>第四，规范与留痕。</w:t>
      </w:r>
      <w:r>
        <w:rPr>
          <w:rFonts w:ascii="Segoe UI" w:hAnsi="Segoe UI" w:eastAsia="微软雅黑"/>
          <w:b w:val="0"/>
          <w:sz w:val="21"/>
        </w:rPr>
        <w:t xml:space="preserve"> 平台对检索与比对结果提供来源地址、时效状态与版本信息，便于机构在内部审查、合规意见与研究成果中留存证据链；统一的数据口径与术语译法减少了不同部门之间因对同一外国法律制度理解不一致而产生的工作返工；公开的数据契约使不同机构产出的数据可以互换与合并，有利于形成行业级数据资产。</w:t>
      </w:r>
    </w:p>
    <w:p>
      <w:pPr>
        <w:pStyle w:val="Heading3"/>
      </w:pPr>
      <w:r>
        <w:rPr>
          <w:rFonts w:ascii="Segoe UI" w:hAnsi="Segoe UI" w:eastAsia="微软雅黑"/>
          <w:b/>
          <w:color w:val="1B3A5C"/>
          <w:sz w:val="26"/>
        </w:rPr>
        <w:t>（三）服务成效</w:t>
      </w:r>
    </w:p>
    <w:p>
      <w:r>
        <w:rPr>
          <w:rFonts w:ascii="Segoe UI" w:hAnsi="Segoe UI" w:eastAsia="微软雅黑"/>
          <w:b/>
          <w:sz w:val="21"/>
        </w:rPr>
        <w:t>第一，经济效益。</w:t>
      </w:r>
      <w:r>
        <w:rPr>
          <w:rFonts w:ascii="Segoe UI" w:hAnsi="Segoe UI" w:eastAsia="微软雅黑"/>
          <w:b w:val="0"/>
          <w:sz w:val="21"/>
        </w:rPr>
        <w:t xml:space="preserve"> 项目的基础检索、阅读与术语查询面向社会公众免费开放，其经济效益主要体现在降低全社会的法律信息获取成本与校译协调成本；规划中的机构接口、私有化部署与定制数据服务形成合理收入，用于覆盖语料加工、专家校译与系统运维，形成“公益基础＋增值服务”的可持续结构。</w:t>
      </w:r>
      <w:r>
        <w:rPr>
          <w:rFonts w:ascii="Segoe UI" w:hAnsi="Segoe UI" w:eastAsia="微软雅黑"/>
          <w:b/>
          <w:sz w:val="21"/>
        </w:rPr>
        <w:t>现阶段项目尚未产生实际收入</w:t>
      </w:r>
      <w:r>
        <w:rPr>
          <w:rFonts w:ascii="Segoe UI" w:hAnsi="Segoe UI" w:eastAsia="微软雅黑"/>
          <w:b w:val="0"/>
          <w:sz w:val="21"/>
        </w:rPr>
        <w:t>，上述为运营设计，相关测算将在试点合作中验证并公开口径。</w:t>
      </w:r>
    </w:p>
    <w:p>
      <w:r>
        <w:rPr>
          <w:rFonts w:ascii="Segoe UI" w:hAnsi="Segoe UI" w:eastAsia="微软雅黑"/>
          <w:b/>
          <w:sz w:val="21"/>
        </w:rPr>
        <w:t>第二，产品可靠性与运行性能。</w:t>
      </w:r>
      <w:r>
        <w:rPr>
          <w:rFonts w:ascii="Segoe UI" w:hAnsi="Segoe UI" w:eastAsia="微软雅黑"/>
          <w:b w:val="0"/>
          <w:sz w:val="21"/>
        </w:rPr>
        <w:t xml:space="preserve"> 平台在架构上采用零依赖静态形态与分卷按需加载：无后端服务依赖，故障面小；法规详情页先渲染骨架再增量填充，避免首屏阻塞；数据以分卷文件组织，单卷体积可控，语料规模增长不影响加载性能；全站支持离线运行，不受网络波动影响。数据层已完成自动校验，字段完整性、条文计数一致性与标识唯一性均由工具保证。</w:t>
      </w:r>
      <w:r>
        <w:rPr>
          <w:rFonts w:ascii="Segoe UI" w:hAnsi="Segoe UI" w:eastAsia="微软雅黑"/>
          <w:b/>
          <w:sz w:val="21"/>
        </w:rPr>
        <w:t>规划中的数据备份、接口限流与降级方案属于二期服务化架构内容</w:t>
      </w:r>
      <w:r>
        <w:rPr>
          <w:rFonts w:ascii="Segoe UI" w:hAnsi="Segoe UI" w:eastAsia="微软雅黑"/>
          <w:b w:val="0"/>
          <w:sz w:val="21"/>
        </w:rPr>
        <w:t>，当前静态形态无需此类机制。设计目标包括检索保持即时响应、详情页在规定分卷体积内完成渲染、问答结论引用可回溯率达到全部结论覆盖，上述为设计目标与验收口径，将以后续测评报告形式公开。</w:t>
      </w:r>
    </w:p>
    <w:p>
      <w:r>
        <w:rPr>
          <w:rFonts w:ascii="Segoe UI" w:hAnsi="Segoe UI" w:eastAsia="微软雅黑"/>
          <w:b/>
          <w:sz w:val="21"/>
        </w:rPr>
        <w:t>第三，用户满意度。</w:t>
      </w:r>
      <w:r>
        <w:rPr>
          <w:rFonts w:ascii="Segoe UI" w:hAnsi="Segoe UI" w:eastAsia="微软雅黑"/>
          <w:b w:val="0"/>
          <w:sz w:val="21"/>
        </w:rPr>
        <w:t xml:space="preserve"> 项目拟建立三类评价机制：一是任务完成度评价，围绕典型任务（查找某国某法条文、比较两国某事项规则、导出术语对照表）统计完成率与平均耗时；二是满意度问卷，面向法官、律师、企业法务、教师与学生等不同角色分类采集，重点考察多语种可读性、检索准确性与界面易用性；三是纠错响应机制，用户可就术语译法、条文归属与时效状态提交反馈，平台按数据契约与校验流程复核并公示处理结果。评价结果将按季度汇总并公开口径，作为平台迭代依据；</w:t>
      </w:r>
      <w:r>
        <w:rPr>
          <w:rFonts w:ascii="Segoe UI" w:hAnsi="Segoe UI" w:eastAsia="微软雅黑"/>
          <w:b/>
          <w:sz w:val="21"/>
        </w:rPr>
        <w:t>评价机制目前处于设计阶段，尚无实测数据</w:t>
      </w:r>
      <w:r>
        <w:rPr>
          <w:rFonts w:ascii="Segoe UI" w:hAnsi="Segoe UI" w:eastAsia="微软雅黑"/>
          <w:b w:val="0"/>
          <w:sz w:val="21"/>
        </w:rPr>
        <w:t>，项目将以公开口径发布后续测评结果。</w:t>
      </w:r>
    </w:p>
    <w:p>
      <w:r>
        <w:rPr>
          <w:rFonts w:ascii="Segoe UI" w:hAnsi="Segoe UI" w:eastAsia="微软雅黑"/>
          <w:b/>
          <w:sz w:val="21"/>
        </w:rPr>
        <w:t>第四，社会效益与示范效应。</w:t>
      </w:r>
      <w:r>
        <w:rPr>
          <w:rFonts w:ascii="Segoe UI" w:hAnsi="Segoe UI" w:eastAsia="微软雅黑"/>
          <w:b w:val="0"/>
          <w:sz w:val="21"/>
        </w:rPr>
        <w:t xml:space="preserve"> 项目服务于涉外法治建设与中国—东盟法治合作，为跨境经营者提供可负担的规则认知工具，为欠发达地区与中小微企业提供与大型机构同等质量的法律信息基础；作为面向东盟方向的数据基础设施示范，其数据标准、加工流程与离线部署模式可向其他区域法域与法律科技产品复制，助力广西在中国—东盟开放合作中的规则服务能力建设，并为涉外法治人才培养提供真实多语种语料环境。</w:t>
      </w:r>
    </w:p>
    <w:p>
      <w:r>
        <w:rPr>
          <w:rFonts w:ascii="Segoe UI" w:hAnsi="Segoe UI" w:eastAsia="微软雅黑"/>
          <w:b/>
          <w:sz w:val="21"/>
        </w:rPr>
        <w:t>第五，面向东盟侧的服务成效。</w:t>
      </w:r>
      <w:r>
        <w:rPr>
          <w:rFonts w:ascii="Segoe UI" w:hAnsi="Segoe UI" w:eastAsia="微软雅黑"/>
          <w:b w:val="0"/>
          <w:sz w:val="21"/>
        </w:rPr>
        <w:t xml:space="preserve"> 平台支持东盟法律从业者与企业以本国语言检索中国法律法规，9 种界面语言覆盖东盟全部官方语言，术语对照与条文比对进一步降低理解成本，使法律信息服务从单向输出转为双向可达，有助于中国—东盟法律服务交流合作与跨境法律人才培养。</w:t>
      </w:r>
    </w:p>
    <w:p>
      <w:pPr>
        <w:pBdr>
          <w:bottom w:val="single" w:sz="6" w:space="1" w:color="CBD5E0"/>
        </w:pBdr>
      </w:pPr>
    </w:p>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Calibri">
    <w:charset w:val="00"/>
    <w:family w:val="swiss"/>
    <w:pitch w:val="default"/>
  </w:font>
  <w:font w:name="楷体_GB2312">
    <w:charset w:val="86"/>
    <w:family w:val="auto"/>
    <w:pitch w:val="default"/>
  </w:font>
  <w:font w:name="仿宋_GB2312">
    <w:charset w:val="86"/>
    <w:family w:val="auto"/>
    <w:pitch w:val="default"/>
  </w:font>
  <w:font w:name="方正小标宋简体">
    <w:charset w:val="86"/>
    <w:family w:val="auto"/>
    <w:pitch w:val="default"/>
  </w:font>
  <w:font w:name="宋体">
    <w:charset w:val="86"/>
    <w:family w:val="auto"/>
    <w:pitch w:val="default"/>
  </w:font>
  <w:font w:name="Times New Roman">
    <w:charset w:val="00"/>
    <w:family w:val="roman"/>
    <w:pitch w:val="default"/>
  </w:font>
  <w:font w:name="方正小标宋_GBK">
    <w:altName w:val="微软雅黑"/>
    <w:charset w:val="86"/>
    <w:family w:val="auto"/>
    <w:pitch w:val="default"/>
  </w:font>
  <w:font w:name="方正黑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sz w:val="18"/>
      </w:rPr>
    </w:r>
    <w:r>
      <mc:AlternateContent>
        <mc:Choice Requires="wps">
          <w:drawing>
            <wp:anchor distT="0" distB="0" distL="114935" distR="114935" simplePos="0" relativeHeight="2" behindDoc="1" locked="0" layoutInCell="0" allowOverlap="1">
              <wp:simplePos x="0" y="0"/>
              <wp:positionH relativeFrom="margin">
                <wp:posOffset>5064760</wp:posOffset>
              </wp:positionH>
              <wp:positionV relativeFrom="paragraph">
                <wp:posOffset>-136525</wp:posOffset>
              </wp:positionV>
              <wp:extent cx="598805" cy="475615"/>
              <wp:effectExtent l="0" t="0" r="0" b="0"/>
              <wp:wrapNone/>
              <wp:docPr id="1" name="Frame2"/>
              <a:graphic xmlns:a="http://schemas.openxmlformats.org/drawingml/2006/main">
                <a:graphicData uri="http://schemas.microsoft.com/office/word/2010/wordprocessingShape">
                  <wps:wsp>
                    <wps:cNvSpPr txBox="1"/>
                    <wps:spPr>
                      <a:xfrm>
                        <a:off x="0" y="0"/>
                        <a:ext cx="598805" cy="475615"/>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47.15pt;height:37.45pt;mso-wrap-distance-left:9.05pt;mso-wrap-distance-right:9.05pt;mso-wrap-distance-top:0pt;mso-wrap-distance-bottom:0pt;margin-top:-10.75pt;mso-position-vertical-relative:text;margin-left:398.8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sz w:val="18"/>
      </w:rPr>
    </w:r>
    <w:r>
      <mc:AlternateContent>
        <mc:Choice Requires="wps">
          <w:drawing>
            <wp:anchor distT="0" distB="0" distL="114935" distR="114935" simplePos="0" relativeHeight="5" behindDoc="1" locked="0" layoutInCell="0" allowOverlap="1">
              <wp:simplePos x="0" y="0"/>
              <wp:positionH relativeFrom="margin">
                <wp:posOffset>5064760</wp:posOffset>
              </wp:positionH>
              <wp:positionV relativeFrom="paragraph">
                <wp:posOffset>-136525</wp:posOffset>
              </wp:positionV>
              <wp:extent cx="598805" cy="475615"/>
              <wp:effectExtent l="0" t="0" r="0" b="0"/>
              <wp:wrapNone/>
              <wp:docPr id="2" name="Frame4"/>
              <a:graphic xmlns:a="http://schemas.openxmlformats.org/drawingml/2006/main">
                <a:graphicData uri="http://schemas.microsoft.com/office/word/2010/wordprocessingShape">
                  <wps:wsp>
                    <wps:cNvSpPr txBox="1"/>
                    <wps:spPr>
                      <a:xfrm>
                        <a:off x="0" y="0"/>
                        <a:ext cx="598805" cy="475615"/>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47.15pt;height:37.45pt;mso-wrap-distance-left:9.05pt;mso-wrap-distance-right:9.05pt;mso-wrap-distance-top:0pt;mso-wrap-distance-bottom:0pt;margin-top:-10.75pt;mso-position-vertical-relative:text;margin-left:398.8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Arial"/>
        <w:sz w:val="24"/>
        <w:szCs w:val="24"/>
        <w:lang w:val="en-US" w:eastAsia="zh-CN" w:bidi="hi-IN"/>
      </w:rPr>
    </w:rPrDefault>
    <w:pPrDefault>
      <w:pPr>
        <w:suppressAutoHyphens w:val="true"/>
      </w:pPr>
    </w:pPrDefault>
  </w:docDefaults>
  <w:style w:type="paragraph" w:styleId="Normal">
    <w:name w:val="Normal"/>
    <w:pPr>
      <w:widowControl w:val="false"/>
      <w:bidi w:val="0"/>
      <w:jc w:val="both"/>
    </w:pPr>
    <w:rPr>
      <w:rFonts w:ascii="Calibri" w:hAnsi="Calibri" w:eastAsia="宋体" w:cs="Times New Roman"/>
      <w:color w:val="auto"/>
      <w:kern w:val="2"/>
      <w:sz w:val="21"/>
      <w:szCs w:val="24"/>
      <w:lang w:bidi="ar-SA" w:val="en-US" w:eastAsia="zh-CN"/>
    </w:rPr>
  </w:style>
  <w:style w:type="paragraph" w:styleId="Heading2">
    <w:name w:val="heading 2"/>
    <w:basedOn w:val="Normal"/>
    <w:next w:val="Normal"/>
    <w:pPr>
      <w:keepNext w:val="true"/>
      <w:keepLines/>
      <w:numPr>
        <w:ilvl w:val="1"/>
        <w:numId w:val="1"/>
      </w:numPr>
      <w:pBdr/>
      <w:spacing w:lineRule="exact" w:line="560" w:before="0" w:after="160"/>
      <w:ind w:firstLineChars="200" w:startChars="0" w:start="0" w:endChars="0" w:end="0"/>
      <w:outlineLvl w:val="1"/>
    </w:pPr>
    <w:rPr>
      <w:rFonts w:ascii="楷体_GB2312" w:hAnsi="楷体_GB2312" w:eastAsia="楷体_GB2312" w:cs="楷体_GB2312"/>
      <w:color w:val="000000"/>
      <w:spacing w:val="0"/>
      <w:position w:val="0"/>
      <w:sz w:val="32"/>
      <w:szCs w:val="32"/>
      <w:vertAlign w:val="baseline"/>
    </w:rPr>
  </w:style>
  <w:style w:type="paragraph" w:styleId="Heading3">
    <w:name w:val="heading 3"/>
    <w:basedOn w:val="Normal"/>
    <w:next w:val="Normal"/>
    <w:pPr>
      <w:keepNext w:val="true"/>
      <w:keepLines/>
      <w:numPr>
        <w:ilvl w:val="2"/>
        <w:numId w:val="1"/>
      </w:numPr>
      <w:pBdr/>
      <w:spacing w:lineRule="exact" w:line="560" w:before="0" w:after="160"/>
      <w:ind w:firstLineChars="200" w:startChars="0" w:start="0" w:endChars="0" w:end="0"/>
      <w:outlineLvl w:val="2"/>
    </w:pPr>
    <w:rPr>
      <w:rFonts w:ascii="仿宋_GB2312" w:hAnsi="仿宋_GB2312" w:eastAsia="仿宋_GB2312" w:cs="仿宋_GB2312"/>
      <w:color w:val="000000"/>
      <w:spacing w:val="0"/>
      <w:position w:val="0"/>
      <w:sz w:val="32"/>
      <w:szCs w:val="32"/>
      <w:vertAlign w:val="baseline"/>
    </w:rPr>
  </w:style>
  <w:style w:type="character" w:styleId="Style12">
    <w:name w:val="默认段落字体"/>
    <w:rPr/>
  </w:style>
  <w:style w:type="character" w:styleId="Strong">
    <w:name w:val="Strong"/>
    <w:basedOn w:val="Style12"/>
    <w:rPr>
      <w:b/>
    </w:rPr>
  </w:style>
  <w:style w:type="character" w:styleId="PageNumber">
    <w:name w:val="page number"/>
    <w:basedOn w:val="Style12"/>
    <w:rPr/>
  </w:style>
  <w:style w:type="character" w:styleId="Hyperlink">
    <w:name w:val="Hyperlink"/>
    <w:basedOn w:val="Style12"/>
    <w:rPr>
      <w:color w:val="0000FF"/>
      <w:u w:val="single"/>
    </w:rPr>
  </w:style>
  <w:style w:type="paragraph" w:styleId="Heading">
    <w:name w:val="Heading"/>
    <w:basedOn w:val="Normal"/>
    <w:next w:val="Normal"/>
    <w:pPr>
      <w:pBdr/>
      <w:spacing w:lineRule="exact" w:line="720" w:before="0" w:after="160"/>
      <w:ind w:hanging="0" w:start="0" w:end="0"/>
      <w:jc w:val="center"/>
      <w:outlineLvl w:val="0"/>
    </w:pPr>
    <w:rPr>
      <w:rFonts w:ascii="方正小标宋简体" w:hAnsi="方正小标宋简体" w:eastAsia="方正小标宋简体" w:cs="Times New Roman"/>
      <w:color w:val="000000"/>
      <w:spacing w:val="0"/>
      <w:position w:val="0"/>
      <w:sz w:val="44"/>
      <w:szCs w:val="44"/>
      <w:vertAlign w:val="baseline"/>
    </w:rPr>
  </w:style>
  <w:style w:type="paragraph" w:styleId="BodyText">
    <w:name w:val="Body Text"/>
    <w:basedOn w:val="Normal"/>
    <w:next w:val="Heading"/>
    <w:pPr/>
    <w:rPr>
      <w:rFonts w:ascii="仿宋_GB2312" w:hAnsi="仿宋_GB2312" w:eastAsia="仿宋_GB2312" w:cs="宋体"/>
      <w:sz w:val="21"/>
      <w:szCs w:val="21"/>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HeaderandFooter">
    <w:name w:val="Header and Footer"/>
    <w:basedOn w:val="Normal"/>
    <w:pPr>
      <w:suppressLineNumbers/>
      <w:tabs>
        <w:tab w:val="clear" w:pos="420"/>
        <w:tab w:val="center" w:pos="4986" w:leader="none"/>
        <w:tab w:val="right" w:pos="9972"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3">
    <w:name w:val="普通(网站)"/>
    <w:basedOn w:val="Normal"/>
    <w:pPr>
      <w:widowControl/>
      <w:spacing w:before="100" w:after="100"/>
      <w:jc w:val="start"/>
    </w:pPr>
    <w:rPr>
      <w:rFonts w:ascii="宋体" w:hAnsi="宋体" w:cs="宋体"/>
      <w:kern w:val="0"/>
      <w:sz w:val="24"/>
      <w:szCs w:val="24"/>
    </w:rPr>
  </w:style>
  <w:style w:type="paragraph" w:styleId="BodyText2">
    <w:name w:val="BodyText2"/>
    <w:basedOn w:val="Normal"/>
    <w:pPr>
      <w:suppressAutoHyphens w:val="true"/>
      <w:bidi w:val="0"/>
      <w:spacing w:lineRule="auto" w:line="480" w:before="0" w:after="120"/>
      <w:jc w:val="both"/>
      <w:textAlignment w:val="baseline"/>
    </w:pPr>
    <w:rPr>
      <w:rFonts w:ascii="Calibri" w:hAnsi="Calibri" w:eastAsia="宋体" w:cs="Calibri"/>
      <w:color w:val="000000"/>
      <w:kern w:val="2"/>
      <w:sz w:val="32"/>
      <w:szCs w:val="32"/>
    </w:rPr>
  </w:style>
  <w:style w:type="paragraph" w:styleId="FrameContents">
    <w:name w:val="Frame Contents"/>
    <w:basedOn w:val="Normal"/>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TotalTime>
  <Application>LibreOfficeDev/26.8.0.3$Windows_X86_64 LibreOffice_project/</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2025-08-12T02:51:00Z</dcterms:created>
  <dc:creator>杨开鹏</dc:creator>
  <dc:description/>
  <dc:language>en-US</dc:language>
  <cp:lastModifiedBy>王勃森</cp:lastModifiedBy>
  <cp:lastPrinted>2026-06-29T18:19:00Z</cp:lastPrinted>
  <dcterms:modified xsi:type="dcterms:W3CDTF">2026-10-01T22:50:22Z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5F79E0DF0D16CA2233C10E6AC82AA648_42</vt:lpwstr>
  </property>
  <property fmtid="{D5CDD505-2E9C-101B-9397-08002B2CF9AE}" pid="3" name="KSOProductBuildVer">
    <vt:lpwstr>2052-12.1.0.28505</vt:lpwstr>
  </property>
  <property fmtid="{D5CDD505-2E9C-101B-9397-08002B2CF9AE}" pid="4" name="KSOTemplateDocerSaveRecord">
    <vt:lpwstr>eyJoZGlkIjoiZTU2OTdlOWQwNThlNmI5ODNlOGRkN2YxZDJlYWUxMTAiLCJ1c2VySWQiOiIxODg4MzcwMzg1In0=</vt:lpwstr>
  </property>
</Properties>
</file>