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0D755">
      <w:pPr>
        <w:spacing w:before="280" w:after="120"/>
        <w:jc w:val="center"/>
      </w:pPr>
      <w:r>
        <w:rPr>
          <w:rFonts w:ascii="微软雅黑" w:hAnsi="微软雅黑" w:eastAsia="微软雅黑"/>
          <w:b/>
          <w:sz w:val="40"/>
        </w:rPr>
        <w:t>01 · 项目总览</w:t>
      </w:r>
    </w:p>
    <w:p w14:paraId="72FC851B">
      <w:pPr>
        <w:ind w:left="320"/>
      </w:pPr>
      <w:r>
        <w:rPr>
          <w:rFonts w:ascii="微软雅黑" w:hAnsi="微软雅黑" w:eastAsia="微软雅黑"/>
          <w:color w:val="555555"/>
          <w:sz w:val="20"/>
        </w:rPr>
        <w:t>中国—东盟法律法规数据库（CALR, China–ASEAN Laws and Regulations Database）</w:t>
      </w:r>
    </w:p>
    <w:p w14:paraId="68D17475">
      <w:pPr>
        <w:ind w:left="320"/>
      </w:pPr>
      <w:r>
        <w:rPr>
          <w:rFonts w:ascii="微软雅黑" w:hAnsi="微软雅黑" w:eastAsia="微软雅黑"/>
          <w:color w:val="555555"/>
          <w:sz w:val="20"/>
        </w:rPr>
        <w:t>参赛队伍：上海对外经贸大学 一粒橡子队 · 负责人：王勃森</w:t>
      </w:r>
    </w:p>
    <w:p w14:paraId="31588777">
      <w:pPr>
        <w:ind w:left="320"/>
      </w:pPr>
      <w:r>
        <w:rPr>
          <w:rFonts w:ascii="微软雅黑" w:hAnsi="微软雅黑" w:eastAsia="微软雅黑"/>
          <w:color w:val="555555"/>
          <w:sz w:val="20"/>
        </w:rPr>
        <w:t>文档版本：2026-10-24（与代码库当前状态同步）</w:t>
      </w:r>
    </w:p>
    <w:p w14:paraId="0C56331D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53B3EDFA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一、项目定位</w:t>
      </w:r>
    </w:p>
    <w:p w14:paraId="16FDBECA">
      <w:pPr>
        <w:spacing w:after="80" w:line="300" w:lineRule="auto"/>
      </w:pPr>
      <w:r>
        <w:rPr>
          <w:rFonts w:ascii="微软雅黑" w:hAnsi="微软雅黑" w:eastAsia="微软雅黑"/>
          <w:sz w:val="21"/>
        </w:rPr>
        <w:t>面向涉外法律实务的</w:t>
      </w:r>
      <w:r>
        <w:rPr>
          <w:rFonts w:ascii="微软雅黑" w:hAnsi="微软雅黑" w:eastAsia="微软雅黑"/>
          <w:b/>
          <w:sz w:val="21"/>
        </w:rPr>
        <w:t>区域性官方法规数据库</w:t>
      </w:r>
      <w:r>
        <w:rPr>
          <w:rFonts w:ascii="微软雅黑" w:hAnsi="微软雅黑" w:eastAsia="微软雅黑"/>
          <w:sz w:val="21"/>
        </w:rPr>
        <w:t xml:space="preserve">：把中国与东盟十国共 </w:t>
      </w:r>
      <w:r>
        <w:rPr>
          <w:rFonts w:ascii="微软雅黑" w:hAnsi="微软雅黑" w:eastAsia="微软雅黑"/>
          <w:b/>
          <w:sz w:val="21"/>
        </w:rPr>
        <w:t>12 个法域</w:t>
      </w:r>
      <w:r>
        <w:rPr>
          <w:rFonts w:ascii="微软雅黑" w:hAnsi="微软雅黑" w:eastAsia="微软雅黑"/>
          <w:sz w:val="21"/>
        </w:rPr>
        <w:t>的官方法规文本，做成可检索、可溯源、可对照、可引用的一站式工具。</w:t>
      </w:r>
    </w:p>
    <w:p w14:paraId="4BE76A30">
      <w:pPr>
        <w:spacing w:after="80" w:line="300" w:lineRule="auto"/>
      </w:pPr>
      <w:r>
        <w:rPr>
          <w:rFonts w:ascii="微软雅黑" w:hAnsi="微软雅黑" w:eastAsia="微软雅黑"/>
          <w:sz w:val="21"/>
        </w:rPr>
        <w:t>三条主线：</w:t>
      </w:r>
    </w:p>
    <w:tbl>
      <w:tblPr>
        <w:tblStyle w:val="33"/>
        <w:tblW w:w="88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7042"/>
      </w:tblGrid>
      <w:tr w14:paraId="0C35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</w:tcPr>
          <w:p w14:paraId="004941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主线</w:t>
            </w:r>
          </w:p>
        </w:tc>
        <w:tc>
          <w:tcPr>
            <w:tcW w:w="7042" w:type="dxa"/>
          </w:tcPr>
          <w:p w14:paraId="334E8B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解决的问题</w:t>
            </w:r>
          </w:p>
        </w:tc>
      </w:tr>
      <w:tr w14:paraId="1C34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</w:tcPr>
          <w:p w14:paraId="166DB1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数据自足与可溯源</w:t>
            </w:r>
          </w:p>
        </w:tc>
        <w:tc>
          <w:tcPr>
            <w:tcW w:w="7042" w:type="dxa"/>
          </w:tcPr>
          <w:p w14:paraId="4DEBA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每部法规都能回答「从哪来、什么时候抓的、是否完整」，可点回官方页面核验</w:t>
            </w:r>
          </w:p>
        </w:tc>
      </w:tr>
      <w:tr w14:paraId="26322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</w:tcPr>
          <w:p w14:paraId="0DDF81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跨语言可用</w:t>
            </w:r>
          </w:p>
        </w:tc>
        <w:tc>
          <w:tcPr>
            <w:tcW w:w="7042" w:type="dxa"/>
          </w:tcPr>
          <w:p w14:paraId="72A04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中文用户能读到泰文、越南文、印尼文法规，反之亦然</w:t>
            </w:r>
          </w:p>
        </w:tc>
      </w:tr>
      <w:tr w14:paraId="6262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</w:tcPr>
          <w:p w14:paraId="2D25EA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AI 可解释检索</w:t>
            </w:r>
          </w:p>
        </w:tc>
        <w:tc>
          <w:tcPr>
            <w:tcW w:w="7042" w:type="dxa"/>
          </w:tcPr>
          <w:p w14:paraId="7863E9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问答每条结论都附条文出处，可逐条回溯原文，不做推测性回答</w:t>
            </w:r>
          </w:p>
        </w:tc>
      </w:tr>
    </w:tbl>
    <w:p w14:paraId="73DD5811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644BA3E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二、数据规模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6675"/>
      </w:tblGrid>
      <w:tr w14:paraId="529B3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49261D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6675" w:type="dxa"/>
          </w:tcPr>
          <w:p w14:paraId="2C0EE6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 w14:paraId="718B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182D5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法域</w:t>
            </w:r>
          </w:p>
        </w:tc>
        <w:tc>
          <w:tcPr>
            <w:tcW w:w="6675" w:type="dxa"/>
          </w:tcPr>
          <w:p w14:paraId="607563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12</w:t>
            </w:r>
            <w:r>
              <w:rPr>
                <w:rFonts w:ascii="微软雅黑" w:hAnsi="微软雅黑" w:eastAsia="微软雅黑"/>
                <w:sz w:val="19"/>
              </w:rPr>
              <w:t>（中国 + 东盟十国 + 多边条约）</w:t>
            </w:r>
          </w:p>
        </w:tc>
      </w:tr>
      <w:tr w14:paraId="3999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1729B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法规</w:t>
            </w:r>
          </w:p>
        </w:tc>
        <w:tc>
          <w:tcPr>
            <w:tcW w:w="6675" w:type="dxa"/>
          </w:tcPr>
          <w:p w14:paraId="1AEFAA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18,785</w:t>
            </w:r>
            <w:r>
              <w:rPr>
                <w:rFonts w:ascii="微软雅黑" w:hAnsi="微软雅黑" w:eastAsia="微软雅黑"/>
                <w:sz w:val="19"/>
              </w:rPr>
              <w:t xml:space="preserve"> 部</w:t>
            </w:r>
          </w:p>
        </w:tc>
      </w:tr>
      <w:tr w14:paraId="3137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7A3C5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条文</w:t>
            </w:r>
          </w:p>
        </w:tc>
        <w:tc>
          <w:tcPr>
            <w:tcW w:w="6675" w:type="dxa"/>
          </w:tcPr>
          <w:p w14:paraId="6C0E47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338,996</w:t>
            </w:r>
            <w:r>
              <w:rPr>
                <w:rFonts w:ascii="微软雅黑" w:hAnsi="微软雅黑" w:eastAsia="微软雅黑"/>
                <w:sz w:val="19"/>
              </w:rPr>
              <w:t xml:space="preserve"> 条</w:t>
            </w:r>
          </w:p>
        </w:tc>
      </w:tr>
      <w:tr w14:paraId="1FC5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66B3BB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正文字符</w:t>
            </w:r>
          </w:p>
        </w:tc>
        <w:tc>
          <w:tcPr>
            <w:tcW w:w="6675" w:type="dxa"/>
          </w:tcPr>
          <w:p w14:paraId="4C4D2E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270,581,097</w:t>
            </w:r>
          </w:p>
        </w:tc>
      </w:tr>
      <w:tr w14:paraId="05F2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771AF6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数据库体积</w:t>
            </w:r>
          </w:p>
        </w:tc>
        <w:tc>
          <w:tcPr>
            <w:tcW w:w="6675" w:type="dxa"/>
          </w:tcPr>
          <w:p w14:paraId="4F7DC0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约 </w:t>
            </w:r>
            <w:r>
              <w:rPr>
                <w:rFonts w:ascii="微软雅黑" w:hAnsi="微软雅黑" w:eastAsia="微软雅黑"/>
                <w:b/>
                <w:sz w:val="19"/>
              </w:rPr>
              <w:t>1,610 MB</w:t>
            </w:r>
            <w:r>
              <w:rPr>
                <w:rFonts w:ascii="微软雅黑" w:hAnsi="微软雅黑" w:eastAsia="微软雅黑"/>
                <w:sz w:val="19"/>
              </w:rPr>
              <w:t xml:space="preserve">（SQLite，由 </w:t>
            </w:r>
            <w:r>
              <w:rPr>
                <w:rFonts w:ascii="Consolas" w:hAnsi="Consolas" w:eastAsia="Consolas"/>
                <w:sz w:val="18"/>
              </w:rPr>
              <w:t>backend/build_db.py</w:t>
            </w:r>
            <w:r>
              <w:rPr>
                <w:rFonts w:ascii="微软雅黑" w:hAnsi="微软雅黑" w:eastAsia="微软雅黑"/>
                <w:sz w:val="19"/>
              </w:rPr>
              <w:t xml:space="preserve"> 派生）</w:t>
            </w:r>
          </w:p>
        </w:tc>
      </w:tr>
      <w:tr w14:paraId="17D2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</w:tcPr>
          <w:p w14:paraId="4EA24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向量索引</w:t>
            </w:r>
          </w:p>
        </w:tc>
        <w:tc>
          <w:tcPr>
            <w:tcW w:w="6675" w:type="dxa"/>
          </w:tcPr>
          <w:p w14:paraId="530EC0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bge-m3 1024 维 · 法规级 18,861 + 条文级 334,779 · int8 量化约 347 MB</w:t>
            </w:r>
          </w:p>
        </w:tc>
      </w:tr>
    </w:tbl>
    <w:p w14:paraId="6CA6E03D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按法域分布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56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FD2D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法域</w:t>
            </w:r>
          </w:p>
        </w:tc>
        <w:tc>
          <w:tcPr>
            <w:tcW w:w="2160" w:type="dxa"/>
          </w:tcPr>
          <w:p w14:paraId="638643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法规数</w:t>
            </w:r>
          </w:p>
        </w:tc>
        <w:tc>
          <w:tcPr>
            <w:tcW w:w="2160" w:type="dxa"/>
          </w:tcPr>
          <w:p w14:paraId="6C2635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法域</w:t>
            </w:r>
          </w:p>
        </w:tc>
        <w:tc>
          <w:tcPr>
            <w:tcW w:w="2160" w:type="dxa"/>
          </w:tcPr>
          <w:p w14:paraId="35822A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法规数</w:t>
            </w:r>
          </w:p>
        </w:tc>
      </w:tr>
      <w:tr w14:paraId="0EAA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7BF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菲律宾</w:t>
            </w:r>
          </w:p>
        </w:tc>
        <w:tc>
          <w:tcPr>
            <w:tcW w:w="2160" w:type="dxa"/>
          </w:tcPr>
          <w:p w14:paraId="388038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10,619</w:t>
            </w:r>
          </w:p>
        </w:tc>
        <w:tc>
          <w:tcPr>
            <w:tcW w:w="2160" w:type="dxa"/>
          </w:tcPr>
          <w:p w14:paraId="1A99B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柬埔寨</w:t>
            </w:r>
          </w:p>
        </w:tc>
        <w:tc>
          <w:tcPr>
            <w:tcW w:w="2160" w:type="dxa"/>
          </w:tcPr>
          <w:p w14:paraId="5CED5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187</w:t>
            </w:r>
          </w:p>
        </w:tc>
      </w:tr>
      <w:tr w14:paraId="6F8B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ECBD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新加坡</w:t>
            </w:r>
          </w:p>
        </w:tc>
        <w:tc>
          <w:tcPr>
            <w:tcW w:w="2160" w:type="dxa"/>
          </w:tcPr>
          <w:p w14:paraId="29801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3,714</w:t>
            </w:r>
          </w:p>
        </w:tc>
        <w:tc>
          <w:tcPr>
            <w:tcW w:w="2160" w:type="dxa"/>
          </w:tcPr>
          <w:p w14:paraId="736909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越南</w:t>
            </w:r>
          </w:p>
        </w:tc>
        <w:tc>
          <w:tcPr>
            <w:tcW w:w="2160" w:type="dxa"/>
          </w:tcPr>
          <w:p w14:paraId="7C038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88</w:t>
            </w:r>
          </w:p>
        </w:tc>
      </w:tr>
      <w:tr w14:paraId="3302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C8F2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中国</w:t>
            </w:r>
          </w:p>
        </w:tc>
        <w:tc>
          <w:tcPr>
            <w:tcW w:w="2160" w:type="dxa"/>
          </w:tcPr>
          <w:p w14:paraId="10D77E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1,586</w:t>
            </w:r>
          </w:p>
        </w:tc>
        <w:tc>
          <w:tcPr>
            <w:tcW w:w="2160" w:type="dxa"/>
          </w:tcPr>
          <w:p w14:paraId="77F2A3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老挝</w:t>
            </w:r>
          </w:p>
        </w:tc>
        <w:tc>
          <w:tcPr>
            <w:tcW w:w="2160" w:type="dxa"/>
          </w:tcPr>
          <w:p w14:paraId="779109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80</w:t>
            </w:r>
          </w:p>
        </w:tc>
      </w:tr>
      <w:tr w14:paraId="0496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C3D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文莱</w:t>
            </w:r>
          </w:p>
        </w:tc>
        <w:tc>
          <w:tcPr>
            <w:tcW w:w="2160" w:type="dxa"/>
          </w:tcPr>
          <w:p w14:paraId="465182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1,275</w:t>
            </w:r>
          </w:p>
        </w:tc>
        <w:tc>
          <w:tcPr>
            <w:tcW w:w="2160" w:type="dxa"/>
          </w:tcPr>
          <w:p w14:paraId="1C7AA2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缅甸</w:t>
            </w:r>
          </w:p>
        </w:tc>
        <w:tc>
          <w:tcPr>
            <w:tcW w:w="2160" w:type="dxa"/>
          </w:tcPr>
          <w:p w14:paraId="7C41F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80</w:t>
            </w:r>
          </w:p>
        </w:tc>
      </w:tr>
      <w:tr w14:paraId="10EF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6C1D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泰国</w:t>
            </w:r>
          </w:p>
        </w:tc>
        <w:tc>
          <w:tcPr>
            <w:tcW w:w="2160" w:type="dxa"/>
          </w:tcPr>
          <w:p w14:paraId="616C49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816</w:t>
            </w:r>
          </w:p>
        </w:tc>
        <w:tc>
          <w:tcPr>
            <w:tcW w:w="2160" w:type="dxa"/>
          </w:tcPr>
          <w:p w14:paraId="46518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马来西亚</w:t>
            </w:r>
          </w:p>
        </w:tc>
        <w:tc>
          <w:tcPr>
            <w:tcW w:w="2160" w:type="dxa"/>
          </w:tcPr>
          <w:p w14:paraId="2D0E24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74</w:t>
            </w:r>
          </w:p>
        </w:tc>
      </w:tr>
      <w:tr w14:paraId="707F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BA24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东帝汶</w:t>
            </w:r>
          </w:p>
        </w:tc>
        <w:tc>
          <w:tcPr>
            <w:tcW w:w="2160" w:type="dxa"/>
          </w:tcPr>
          <w:p w14:paraId="12ECF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230</w:t>
            </w:r>
          </w:p>
        </w:tc>
        <w:tc>
          <w:tcPr>
            <w:tcW w:w="2160" w:type="dxa"/>
          </w:tcPr>
          <w:p w14:paraId="6F3573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印度尼西亚</w:t>
            </w:r>
          </w:p>
        </w:tc>
        <w:tc>
          <w:tcPr>
            <w:tcW w:w="2160" w:type="dxa"/>
          </w:tcPr>
          <w:p w14:paraId="5CEBC7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36</w:t>
            </w:r>
          </w:p>
        </w:tc>
      </w:tr>
    </w:tbl>
    <w:p w14:paraId="08B85841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译文与标题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275"/>
        <w:gridCol w:w="4490"/>
      </w:tblGrid>
      <w:tr w14:paraId="755D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</w:tcPr>
          <w:p w14:paraId="3F6B85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2275" w:type="dxa"/>
          </w:tcPr>
          <w:p w14:paraId="268AD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w="4490" w:type="dxa"/>
          </w:tcPr>
          <w:p w14:paraId="4BAF7B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6D1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</w:tcPr>
          <w:p w14:paraId="1C97BB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译文层分卷</w:t>
            </w:r>
          </w:p>
        </w:tc>
        <w:tc>
          <w:tcPr>
            <w:tcW w:w="2275" w:type="dxa"/>
          </w:tcPr>
          <w:p w14:paraId="0B3141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21 个</w:t>
            </w:r>
          </w:p>
        </w:tc>
        <w:tc>
          <w:tcPr>
            <w:tcW w:w="4490" w:type="dxa"/>
          </w:tcPr>
          <w:p w14:paraId="5F943A6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prototype/data/trans/</w:t>
            </w:r>
            <w:r>
              <w:rPr>
                <w:rFonts w:ascii="微软雅黑" w:hAnsi="微软雅黑" w:eastAsia="微软雅黑"/>
                <w:sz w:val="19"/>
              </w:rPr>
              <w:t>，与原文</w:t>
            </w:r>
            <w:r>
              <w:rPr>
                <w:rFonts w:ascii="微软雅黑" w:hAnsi="微软雅黑" w:eastAsia="微软雅黑"/>
                <w:b/>
                <w:sz w:val="19"/>
              </w:rPr>
              <w:t>物理分离</w:t>
            </w:r>
          </w:p>
        </w:tc>
      </w:tr>
      <w:tr w14:paraId="2EA2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</w:tcPr>
          <w:p w14:paraId="5F8363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已译法规</w:t>
            </w:r>
          </w:p>
        </w:tc>
        <w:tc>
          <w:tcPr>
            <w:tcW w:w="2275" w:type="dxa"/>
          </w:tcPr>
          <w:p w14:paraId="793AC9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1,566</w:t>
            </w:r>
            <w:r>
              <w:rPr>
                <w:rFonts w:ascii="微软雅黑" w:hAnsi="微软雅黑" w:eastAsia="微软雅黑"/>
                <w:sz w:val="19"/>
              </w:rPr>
              <w:t xml:space="preserve"> 部</w:t>
            </w:r>
          </w:p>
        </w:tc>
        <w:tc>
          <w:tcPr>
            <w:tcW w:w="4490" w:type="dxa"/>
          </w:tcPr>
          <w:p w14:paraId="59EE1E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以中国法规中文→英文为主</w:t>
            </w:r>
          </w:p>
        </w:tc>
      </w:tr>
      <w:tr w14:paraId="13A7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</w:tcPr>
          <w:p w14:paraId="13C12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译文条目</w:t>
            </w:r>
          </w:p>
        </w:tc>
        <w:tc>
          <w:tcPr>
            <w:tcW w:w="2275" w:type="dxa"/>
          </w:tcPr>
          <w:p w14:paraId="6B2995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60,084</w:t>
            </w:r>
            <w:r>
              <w:rPr>
                <w:rFonts w:ascii="微软雅黑" w:hAnsi="微软雅黑" w:eastAsia="微软雅黑"/>
                <w:sz w:val="19"/>
              </w:rPr>
              <w:t xml:space="preserve"> 条</w:t>
            </w:r>
          </w:p>
        </w:tc>
        <w:tc>
          <w:tcPr>
            <w:tcW w:w="4490" w:type="dxa"/>
          </w:tcPr>
          <w:p w14:paraId="5F1A61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逐条对应原文条号</w:t>
            </w:r>
          </w:p>
        </w:tc>
      </w:tr>
      <w:tr w14:paraId="1E71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dxa"/>
          </w:tcPr>
          <w:p w14:paraId="71CFDC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中文标题覆盖</w:t>
            </w:r>
          </w:p>
        </w:tc>
        <w:tc>
          <w:tcPr>
            <w:tcW w:w="2275" w:type="dxa"/>
          </w:tcPr>
          <w:p w14:paraId="201B55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18,166 / 18,785</w:t>
            </w:r>
          </w:p>
        </w:tc>
        <w:tc>
          <w:tcPr>
            <w:tcW w:w="4490" w:type="dxa"/>
          </w:tcPr>
          <w:p w14:paraId="63299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96.7%，来源与引擎逐条可查</w:t>
            </w:r>
          </w:p>
        </w:tc>
      </w:tr>
    </w:tbl>
    <w:p w14:paraId="4F43CA9C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1C13993D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三、功能矩阵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9"/>
        <w:gridCol w:w="1621"/>
        <w:gridCol w:w="2880"/>
      </w:tblGrid>
      <w:tr w14:paraId="3A70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404B58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1621" w:type="dxa"/>
          </w:tcPr>
          <w:p w14:paraId="5DB20D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  <w:tc>
          <w:tcPr>
            <w:tcW w:w="2880" w:type="dxa"/>
          </w:tcPr>
          <w:p w14:paraId="5AF7D9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75D4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3C2FF7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法规检索（关键词 / 自然语言 / 条号）</w:t>
            </w:r>
          </w:p>
        </w:tc>
        <w:tc>
          <w:tcPr>
            <w:tcW w:w="1621" w:type="dxa"/>
          </w:tcPr>
          <w:p w14:paraId="69BC9CF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#/search</w:t>
            </w:r>
          </w:p>
        </w:tc>
        <w:tc>
          <w:tcPr>
            <w:tcW w:w="2880" w:type="dxa"/>
          </w:tcPr>
          <w:p w14:paraId="00AA7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已上线；API 模式下走混合检索</w:t>
            </w:r>
          </w:p>
        </w:tc>
      </w:tr>
      <w:tr w14:paraId="0BF1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05070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法规详情（原文 / 译文 / 目录 / 全文朗读 / 导出 PDF）</w:t>
            </w:r>
          </w:p>
        </w:tc>
        <w:tc>
          <w:tcPr>
            <w:tcW w:w="1621" w:type="dxa"/>
          </w:tcPr>
          <w:p w14:paraId="022AF70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#/law/&lt;id&gt;</w:t>
            </w:r>
          </w:p>
        </w:tc>
        <w:tc>
          <w:tcPr>
            <w:tcW w:w="2880" w:type="dxa"/>
          </w:tcPr>
          <w:p w14:paraId="22EDB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</w:t>
            </w:r>
          </w:p>
        </w:tc>
      </w:tr>
      <w:tr w14:paraId="64AD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2BDF6A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跨语言条款比对（2–3 法域五维度并排）</w:t>
            </w:r>
          </w:p>
        </w:tc>
        <w:tc>
          <w:tcPr>
            <w:tcW w:w="1621" w:type="dxa"/>
          </w:tcPr>
          <w:p w14:paraId="19320EB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#/compare</w:t>
            </w:r>
          </w:p>
        </w:tc>
        <w:tc>
          <w:tcPr>
            <w:tcW w:w="2880" w:type="dxa"/>
          </w:tcPr>
          <w:p w14:paraId="49070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</w:t>
            </w:r>
          </w:p>
        </w:tc>
      </w:tr>
      <w:tr w14:paraId="74913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4767D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智能问答（条文级引用）</w:t>
            </w:r>
          </w:p>
        </w:tc>
        <w:tc>
          <w:tcPr>
            <w:tcW w:w="1621" w:type="dxa"/>
          </w:tcPr>
          <w:p w14:paraId="3F9794A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#/assistant</w:t>
            </w:r>
          </w:p>
        </w:tc>
        <w:tc>
          <w:tcPr>
            <w:tcW w:w="2880" w:type="dxa"/>
          </w:tcPr>
          <w:p w14:paraId="6B5D68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已上线；API 模式下走条文级向量召回</w:t>
            </w:r>
          </w:p>
        </w:tc>
      </w:tr>
      <w:tr w14:paraId="2367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1D17E3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法律术语对照</w:t>
            </w:r>
          </w:p>
        </w:tc>
        <w:tc>
          <w:tcPr>
            <w:tcW w:w="1621" w:type="dxa"/>
          </w:tcPr>
          <w:p w14:paraId="1059801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#/terms</w:t>
            </w:r>
          </w:p>
        </w:tc>
        <w:tc>
          <w:tcPr>
            <w:tcW w:w="2880" w:type="dxa"/>
          </w:tcPr>
          <w:p w14:paraId="2EE771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</w:t>
            </w:r>
          </w:p>
        </w:tc>
      </w:tr>
      <w:tr w14:paraId="75E8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536F0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数据来源与核验</w:t>
            </w:r>
          </w:p>
        </w:tc>
        <w:tc>
          <w:tcPr>
            <w:tcW w:w="1621" w:type="dxa"/>
          </w:tcPr>
          <w:p w14:paraId="6169873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#/sources</w:t>
            </w:r>
          </w:p>
        </w:tc>
        <w:tc>
          <w:tcPr>
            <w:tcW w:w="2880" w:type="dxa"/>
          </w:tcPr>
          <w:p w14:paraId="23CD4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</w:t>
            </w:r>
          </w:p>
        </w:tc>
      </w:tr>
      <w:tr w14:paraId="6117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17CB7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规范引注导出（GB/T 7714 · Bluebook · 简化 · 完整）</w:t>
            </w:r>
          </w:p>
        </w:tc>
        <w:tc>
          <w:tcPr>
            <w:tcW w:w="1621" w:type="dxa"/>
          </w:tcPr>
          <w:p w14:paraId="1EA2F6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详情页「下载与引用」</w:t>
            </w:r>
          </w:p>
        </w:tc>
        <w:tc>
          <w:tcPr>
            <w:tcW w:w="2880" w:type="dxa"/>
          </w:tcPr>
          <w:p w14:paraId="2E5E53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</w:t>
            </w:r>
          </w:p>
        </w:tc>
      </w:tr>
      <w:tr w14:paraId="1473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39" w:type="dxa"/>
          </w:tcPr>
          <w:p w14:paraId="05935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多语言界面（中 / 英 / 越 / 泰 / 印尼 / 马来）</w:t>
            </w:r>
          </w:p>
        </w:tc>
        <w:tc>
          <w:tcPr>
            <w:tcW w:w="1621" w:type="dxa"/>
          </w:tcPr>
          <w:p w14:paraId="6AEEE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顶部语言选择</w:t>
            </w:r>
          </w:p>
        </w:tc>
        <w:tc>
          <w:tcPr>
            <w:tcW w:w="2880" w:type="dxa"/>
          </w:tcPr>
          <w:p w14:paraId="1FE938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已上线，826 键 × 5 语种</w:t>
            </w:r>
          </w:p>
        </w:tc>
      </w:tr>
    </w:tbl>
    <w:p w14:paraId="60DEB81C">
      <w:pPr>
        <w:spacing w:before="120"/>
      </w:pPr>
      <w:bookmarkStart w:id="0" w:name="_GoBack"/>
      <w:bookmarkEnd w:id="0"/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10B1F634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四、技术栈与运行方式</w:t>
      </w:r>
    </w:p>
    <w:p w14:paraId="5E88972E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两种运行形态（同一份代码）</w:t>
      </w:r>
    </w:p>
    <w:p w14:paraId="12E9E229">
      <w:pPr>
        <w:ind w:left="240"/>
      </w:pPr>
      <w:r>
        <w:rPr>
          <w:rFonts w:ascii="Consolas" w:hAnsi="Consolas" w:eastAsia="Consolas"/>
          <w:sz w:val="18"/>
        </w:rPr>
        <w:t>① 纯静态（离线 / 答辩兜底）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file:///.../prototype/index.html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→ 加载完整 data/*.js（含 intl-catalog 16.6 MB）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→ 全部检索与问答在浏览器内完成，零依赖、零网络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② 后端托管（推荐，性能与检索质量都更好）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http://&lt;host&gt;:8000/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→ 后端 FastAPI 同时托管静态站与 /api/*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→ 跳过 16.6 MB catalog，改用 /api/bootstrap（2.7 KB）+ /api/laws/compact（后台补齐）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→ 检索走 BM25 + bge-m3 向量 + RRF 融合；问答走条文级向量召回</w:t>
      </w:r>
    </w:p>
    <w:p w14:paraId="7B8A9F14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同一套前端代码自动识别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http(s)://</w:t>
      </w:r>
      <w:r>
        <w:rPr>
          <w:rFonts w:ascii="微软雅黑" w:hAnsi="微软雅黑" w:eastAsia="微软雅黑"/>
          <w:sz w:val="21"/>
        </w:rPr>
        <w:t xml:space="preserve"> 打开走 ②，</w:t>
      </w:r>
      <w:r>
        <w:rPr>
          <w:rFonts w:ascii="Consolas" w:hAnsi="Consolas" w:eastAsia="Consolas"/>
          <w:sz w:val="20"/>
        </w:rPr>
        <w:t>file://</w:t>
      </w:r>
      <w:r>
        <w:rPr>
          <w:rFonts w:ascii="微软雅黑" w:hAnsi="微软雅黑" w:eastAsia="微软雅黑"/>
          <w:sz w:val="21"/>
        </w:rPr>
        <w:t xml:space="preserve"> 打开走 ①。</w:t>
      </w:r>
    </w:p>
    <w:p w14:paraId="76E8CE8C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目录结构</w:t>
      </w:r>
    </w:p>
    <w:p w14:paraId="3614EAE6">
      <w:pPr>
        <w:ind w:left="240"/>
      </w:pPr>
      <w:r>
        <w:rPr>
          <w:rFonts w:ascii="Consolas" w:hAnsi="Consolas" w:eastAsia="Consolas"/>
          <w:sz w:val="18"/>
        </w:rPr>
        <w:t>prototype/            前端（零构建、零依赖）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index.html          入口；按打开方式决定是否加载 intl-catalog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assets/js/core/     store / search / qa / api / fulltext / i18n / router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assets/js/views/    home / search / law / compare / assistant / terms / sources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assets/css/         base / layout / components / views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data/laws/          权威存储：18,785 个 &lt;法规ID&gt;.json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data/{cn,intl,fulltext}/   条文分卷（按需加载）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data/trans/         译文层（21 分卷，与原文物理分离）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data/title-zh/      中文标题档案（含来源与引擎）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backend/              后端（FastAPI + SQLite + ONNX 向量）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build_db.py         laws/*.json → calr.db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app/main.py         API 路由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app/db.py           只读数据库访问层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app/search.py       法规级 BM25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app/vectors.py      int8 向量索引 + RRF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app/hybrid.py       BM25 + 向量融合 + 国别约束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app/embedder.py     bge-m3 ONNX 封装（GPU 优先）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app/security.py     CORS / 限流 / 请求体上限 / QA 鉴权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test_api.py         13 项自测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tools/                校验工具（verify-data / verify-data-home / test-trans-layer）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rules/                项目红线与数据规范（SKILL）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docs/                 本文档集（4 份）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deliverables/         对外交付（本 4 份的 docx 版）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_work/                本地工作区（不入库）</w:t>
      </w:r>
    </w:p>
    <w:p w14:paraId="435736DB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本机运行</w:t>
      </w:r>
    </w:p>
    <w:p w14:paraId="654CD3B2">
      <w:pPr>
        <w:ind w:left="240"/>
      </w:pPr>
      <w:r>
        <w:rPr>
          <w:rFonts w:ascii="Consolas" w:hAnsi="Consolas" w:eastAsia="Consolas"/>
          <w:sz w:val="18"/>
        </w:rPr>
        <w:t># 建库（首次约 7 分钟）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backend/build_db.py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起服务（同时托管静态站）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pip install -r backend/requirements.txt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uvicorn backend.app.main:app --host 0.0.0.0 --port 8000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浏览器打开 http://127.0.0.1:8000/</w:t>
      </w:r>
    </w:p>
    <w:p w14:paraId="67A42131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0B39991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五、六个关键设计取舍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5151"/>
      </w:tblGrid>
      <w:tr w14:paraId="6577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7929C4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取舍</w:t>
            </w:r>
          </w:p>
        </w:tc>
        <w:tc>
          <w:tcPr>
            <w:tcW w:w="5151" w:type="dxa"/>
          </w:tcPr>
          <w:p w14:paraId="36FE1D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 w14:paraId="773C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2F1692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权威存储用「一法一 JSON」而非数据库</w:t>
            </w:r>
          </w:p>
        </w:tc>
        <w:tc>
          <w:tcPr>
            <w:tcW w:w="5151" w:type="dxa"/>
          </w:tcPr>
          <w:p w14:paraId="3AC97D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法规是长文本、以整部为单位使用；JSON 便于人工审查、diff、逐部替换。数据库只是派生视图，随时可重建。</w:t>
            </w:r>
          </w:p>
        </w:tc>
      </w:tr>
      <w:tr w14:paraId="2CC3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48F6BB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译文与原文物理分离</w:t>
            </w:r>
          </w:p>
        </w:tc>
        <w:tc>
          <w:tcPr>
            <w:tcW w:w="5151" w:type="dxa"/>
          </w:tcPr>
          <w:p w14:paraId="74D6D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红线要求「不得把译文写回原文」。译放在 </w:t>
            </w:r>
            <w:r>
              <w:rPr>
                <w:rFonts w:ascii="Consolas" w:hAnsi="Consolas" w:eastAsia="Consolas"/>
                <w:sz w:val="18"/>
              </w:rPr>
              <w:t>data/trans/</w:t>
            </w:r>
            <w:r>
              <w:rPr>
                <w:rFonts w:ascii="微软雅黑" w:hAnsi="微软雅黑" w:eastAsia="微软雅黑"/>
                <w:sz w:val="19"/>
              </w:rPr>
              <w:t>，运行时按需合并进内存，磁盘上永不混写。</w:t>
            </w:r>
          </w:p>
        </w:tc>
      </w:tr>
      <w:tr w14:paraId="73761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7F561F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零依赖 SPA，不做构建</w:t>
            </w:r>
          </w:p>
        </w:tc>
        <w:tc>
          <w:tcPr>
            <w:tcW w:w="5151" w:type="dxa"/>
          </w:tcPr>
          <w:p w14:paraId="68227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评委只需浏览器即可运行，不依赖 Node、不依赖网络；答辩现场不会因为环境问题失败。</w:t>
            </w:r>
          </w:p>
        </w:tc>
      </w:tr>
      <w:tr w14:paraId="324D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613CDA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SQLite 而非 PostgreSQL</w:t>
            </w:r>
          </w:p>
        </w:tc>
        <w:tc>
          <w:tcPr>
            <w:tcW w:w="5151" w:type="dxa"/>
          </w:tcPr>
          <w:p w14:paraId="178D48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单文件、零运维、可整库备份；18,785 部 / 34 万条的规模用 SQLite 完全够，检索延迟 P50 约 0.3–0.6 秒。</w:t>
            </w:r>
          </w:p>
        </w:tc>
      </w:tr>
      <w:tr w14:paraId="1039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4A6CB1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ONNX 而非 PyTorch 推理</w:t>
            </w:r>
          </w:p>
        </w:tc>
        <w:tc>
          <w:tcPr>
            <w:tcW w:w="5151" w:type="dxa"/>
          </w:tcPr>
          <w:p w14:paraId="1831C5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省掉 2.5 GB 依赖；CPU 上比 PyTorch 快 3–5 倍；配 DirectML 可直接用任意 DX12 显卡，无需装 CUDA。</w:t>
            </w:r>
          </w:p>
        </w:tc>
      </w:tr>
      <w:tr w14:paraId="3841E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6" w:type="dxa"/>
          </w:tcPr>
          <w:p w14:paraId="4D62EB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RRF 融合而非加权求和</w:t>
            </w:r>
          </w:p>
        </w:tc>
        <w:tc>
          <w:tcPr>
            <w:tcW w:w="5151" w:type="dxa"/>
          </w:tcPr>
          <w:p w14:paraId="1A1B25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BM25 分数量级 60–150，余弦 0–1，量纲不可比；RRF 只看排名，无需归一化也无需为每个查询调参。</w:t>
            </w:r>
          </w:p>
        </w:tc>
      </w:tr>
    </w:tbl>
    <w:p w14:paraId="6385CE70"/>
    <w:p w14:paraId="03BAA9D7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15313DD0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六、已知不足（如实列出）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3226"/>
        <w:gridCol w:w="3154"/>
      </w:tblGrid>
      <w:tr w14:paraId="5CAA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</w:tcPr>
          <w:p w14:paraId="2EF8E9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3226" w:type="dxa"/>
          </w:tcPr>
          <w:p w14:paraId="465B04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  <w:tc>
          <w:tcPr>
            <w:tcW w:w="3154" w:type="dxa"/>
          </w:tcPr>
          <w:p w14:paraId="397CB6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</w:tr>
      <w:tr w14:paraId="4CA7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43E6D3ED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条文级向量略滞后</w:t>
            </w:r>
          </w:p>
        </w:tc>
        <w:tc>
          <w:tcPr>
            <w:tcW w:w="3226" w:type="dxa"/>
            <w:vAlign w:val="center"/>
          </w:tcPr>
          <w:p w14:paraId="49BDB72C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向量基于清理前的 18,861 部 / 334,779 条构建；当前库为 18,785 / 338,996</w:t>
            </w:r>
          </w:p>
        </w:tc>
        <w:tc>
          <w:tcPr>
            <w:tcW w:w="3154" w:type="dxa"/>
            <w:vAlign w:val="center"/>
          </w:tcPr>
          <w:p w14:paraId="180882FE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检索可用；被切分的 51 部法规的条文向量仍是旧的整段向量，召回精度略降</w:t>
            </w:r>
          </w:p>
        </w:tc>
      </w:tr>
      <w:tr w14:paraId="35EB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5A54F32D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泰文标题为机器翻译</w:t>
            </w:r>
          </w:p>
        </w:tc>
        <w:tc>
          <w:tcPr>
            <w:tcW w:w="3226" w:type="dxa"/>
            <w:vAlign w:val="center"/>
          </w:tcPr>
          <w:p w14:paraId="4E304006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571 部泰文标题用 NLLB-200 译出，未人工校对</w:t>
            </w:r>
          </w:p>
        </w:tc>
        <w:tc>
          <w:tcPr>
            <w:tcW w:w="3154" w:type="dxa"/>
            <w:vAlign w:val="center"/>
          </w:tcPr>
          <w:p w14:paraId="22178C95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约六至七成可用，部分需人工复核；原文标题始终保留可查</w:t>
            </w:r>
          </w:p>
        </w:tc>
      </w:tr>
      <w:tr w14:paraId="5D5F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78EEA153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325 部法规条号重复</w:t>
            </w:r>
          </w:p>
        </w:tc>
        <w:tc>
          <w:tcPr>
            <w:tcW w:w="3226" w:type="dxa"/>
            <w:vAlign w:val="center"/>
          </w:tcPr>
          <w:p w14:paraId="28C988BA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 xml:space="preserve">多文件合集的各部分条号各自从 1 起编，已用 </w:t>
            </w:r>
            <w:r>
              <w:rPr>
                <w:rFonts w:ascii="Consolas" w:hAnsi="Consolas" w:eastAsia="Consolas"/>
                <w:sz w:val="18"/>
              </w:rPr>
              <w:t>dupIndex</w:t>
            </w:r>
            <w:r>
              <w:rPr>
                <w:rFonts w:ascii="微软雅黑" w:hAnsi="微软雅黑" w:eastAsia="微软雅黑"/>
                <w:sz w:val="19"/>
              </w:rPr>
              <w:t xml:space="preserve"> 保留</w:t>
            </w:r>
          </w:p>
        </w:tc>
        <w:tc>
          <w:tcPr>
            <w:tcW w:w="3154" w:type="dxa"/>
            <w:vAlign w:val="center"/>
          </w:tcPr>
          <w:p w14:paraId="7910A78D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译文层与跨层比对需特殊处理，已有 5 部列为「编号不可对齐」例外</w:t>
            </w:r>
          </w:p>
        </w:tc>
      </w:tr>
      <w:tr w14:paraId="0916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385CF533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5,321 部缺中文标题</w:t>
            </w:r>
          </w:p>
        </w:tc>
        <w:tc>
          <w:tcPr>
            <w:tcW w:w="3226" w:type="dxa"/>
            <w:vAlign w:val="center"/>
          </w:tcPr>
          <w:p w14:paraId="503533A2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多为泰文/缅文原文</w:t>
            </w:r>
          </w:p>
        </w:tc>
        <w:tc>
          <w:tcPr>
            <w:tcW w:w="3154" w:type="dxa"/>
            <w:vAlign w:val="center"/>
          </w:tcPr>
          <w:p w14:paraId="450624FB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列表显示原文标题，不空白但中文用户阅读成本高</w:t>
            </w:r>
          </w:p>
        </w:tc>
      </w:tr>
      <w:tr w14:paraId="2F67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40FEA507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判例数据未入库</w:t>
            </w:r>
          </w:p>
        </w:tc>
        <w:tc>
          <w:tcPr>
            <w:tcW w:w="3226" w:type="dxa"/>
            <w:vAlign w:val="center"/>
          </w:tcPr>
          <w:p w14:paraId="1A4858DE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已收集 1,275 页判例 PDF，其中 3 份缅甸文 OCR 不可读</w:t>
            </w:r>
          </w:p>
        </w:tc>
        <w:tc>
          <w:tcPr>
            <w:tcW w:w="3154" w:type="dxa"/>
            <w:vAlign w:val="center"/>
          </w:tcPr>
          <w:p w14:paraId="78DAE4DE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判例检索能力缺失</w:t>
            </w:r>
          </w:p>
        </w:tc>
      </w:tr>
      <w:tr w14:paraId="036A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vAlign w:val="center"/>
          </w:tcPr>
          <w:p w14:paraId="05F42AEA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缅甸文 OCR 不可用</w:t>
            </w:r>
          </w:p>
        </w:tc>
        <w:tc>
          <w:tcPr>
            <w:tcW w:w="3226" w:type="dxa"/>
            <w:vAlign w:val="center"/>
          </w:tcPr>
          <w:p w14:paraId="647BA553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本机无缅甸文识别模型</w:t>
            </w:r>
          </w:p>
        </w:tc>
        <w:tc>
          <w:tcPr>
            <w:tcW w:w="3154" w:type="dxa"/>
            <w:vAlign w:val="center"/>
          </w:tcPr>
          <w:p w14:paraId="4C386F39">
            <w:pPr>
              <w:spacing w:after="0" w:line="240" w:lineRule="auto"/>
              <w:jc w:val="both"/>
            </w:pPr>
            <w:r>
              <w:rPr>
                <w:rFonts w:ascii="微软雅黑" w:hAnsi="微软雅黑" w:eastAsia="微软雅黑"/>
                <w:sz w:val="19"/>
              </w:rPr>
              <w:t>缅甸文法规只能保留原文，无法结构化</w:t>
            </w:r>
          </w:p>
        </w:tc>
      </w:tr>
    </w:tbl>
    <w:p w14:paraId="4483C5AC"/>
    <w:p w14:paraId="363B4E14"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详细数据问题与处置记录见 </w:t>
      </w:r>
      <w:r>
        <w:rPr>
          <w:rFonts w:ascii="Consolas" w:hAnsi="Consolas" w:eastAsia="Consolas"/>
          <w:sz w:val="20"/>
        </w:rPr>
        <w:t>02-数据规范与治理.md</w:t>
      </w:r>
      <w:r>
        <w:rPr>
          <w:rFonts w:ascii="微软雅黑" w:hAnsi="微软雅黑" w:eastAsia="微软雅黑"/>
          <w:sz w:val="21"/>
        </w:rPr>
        <w:t>。</w:t>
      </w:r>
    </w:p>
    <w:p w14:paraId="71CE4619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6B26D19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七、文档导航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5158"/>
      </w:tblGrid>
      <w:tr w14:paraId="53E4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2" w:type="dxa"/>
          </w:tcPr>
          <w:p w14:paraId="078040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文档</w:t>
            </w:r>
          </w:p>
        </w:tc>
        <w:tc>
          <w:tcPr>
            <w:tcW w:w="5158" w:type="dxa"/>
          </w:tcPr>
          <w:p w14:paraId="2F3B71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1D1D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2" w:type="dxa"/>
          </w:tcPr>
          <w:p w14:paraId="3541A3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01 · 项目总览</w:t>
            </w:r>
            <w:r>
              <w:rPr>
                <w:rFonts w:ascii="微软雅黑" w:hAnsi="微软雅黑" w:eastAsia="微软雅黑"/>
                <w:sz w:val="19"/>
              </w:rPr>
              <w:t>（本文）</w:t>
            </w:r>
          </w:p>
        </w:tc>
        <w:tc>
          <w:tcPr>
            <w:tcW w:w="5158" w:type="dxa"/>
          </w:tcPr>
          <w:p w14:paraId="7C89BD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定位、规模、功能、技术栈、运行方式</w:t>
            </w:r>
          </w:p>
        </w:tc>
      </w:tr>
      <w:tr w14:paraId="1ECF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2" w:type="dxa"/>
          </w:tcPr>
          <w:p w14:paraId="25E677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02 · 数据规范与治理</w:t>
            </w:r>
          </w:p>
        </w:tc>
        <w:tc>
          <w:tcPr>
            <w:tcW w:w="5158" w:type="dxa"/>
          </w:tcPr>
          <w:p w14:paraId="6D25DF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数据模型、入库流程、质量治理、红线、批次记录</w:t>
            </w:r>
          </w:p>
        </w:tc>
      </w:tr>
      <w:tr w14:paraId="011D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2" w:type="dxa"/>
          </w:tcPr>
          <w:p w14:paraId="3A0A8B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03 · 技术架构与检索</w:t>
            </w:r>
          </w:p>
        </w:tc>
        <w:tc>
          <w:tcPr>
            <w:tcW w:w="5158" w:type="dxa"/>
          </w:tcPr>
          <w:p w14:paraId="7240B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前端架构、后端 API、检索链路、性能、安全</w:t>
            </w:r>
          </w:p>
        </w:tc>
      </w:tr>
      <w:tr w14:paraId="5B1B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2" w:type="dxa"/>
          </w:tcPr>
          <w:p w14:paraId="7C3FD3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04 · 交付验收与后续规划</w:t>
            </w:r>
          </w:p>
        </w:tc>
        <w:tc>
          <w:tcPr>
            <w:tcW w:w="5158" w:type="dxa"/>
          </w:tcPr>
          <w:p w14:paraId="20DFE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校验体系、评测指标、已知问题、路线图</w:t>
            </w:r>
          </w:p>
        </w:tc>
      </w:tr>
    </w:tbl>
    <w:p w14:paraId="50AAFE2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E5030"/>
    <w:rsid w:val="056F1060"/>
    <w:rsid w:val="159E329B"/>
    <w:rsid w:val="15B36D47"/>
    <w:rsid w:val="331035D3"/>
    <w:rsid w:val="346B42E6"/>
    <w:rsid w:val="39875C71"/>
    <w:rsid w:val="3B6B308E"/>
    <w:rsid w:val="437221F6"/>
    <w:rsid w:val="4550219C"/>
    <w:rsid w:val="4B237456"/>
    <w:rsid w:val="4C9E5354"/>
    <w:rsid w:val="4F2A1121"/>
    <w:rsid w:val="583A23D4"/>
    <w:rsid w:val="6A3C1FDC"/>
    <w:rsid w:val="7BD0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1454</Words>
  <Characters>2460</Characters>
  <Lines>0</Lines>
  <Paragraphs>0</Paragraphs>
  <TotalTime>1</TotalTime>
  <ScaleCrop>false</ScaleCrop>
  <LinksUpToDate>false</LinksUpToDate>
  <CharactersWithSpaces>2938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王勃森</cp:lastModifiedBy>
  <dcterms:modified xsi:type="dcterms:W3CDTF">2026-10-24T10:07:43Z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eyJoZGlkIjoiZTU2OTdlOWQwNThlNmI5ODNlOGRkN2YxZDJlYWUxMTAiLCJ1c2VySWQiOiIxODg4MzcwMzg1In0=</vt:lpwstr>
  </property>
  <property fmtid="{D5CDD505-2E9C-101B-9397-08002B2CF9AE}" pid="3" name="KSOProductBuildVer">
    <vt:lpwstr>2052-12.1.0.28505</vt:lpwstr>
  </property>
  <property fmtid="{D5CDD505-2E9C-101B-9397-08002B2CF9AE}" pid="4" name="ICV">
    <vt:lpwstr>331B5D0B427C4EBDAAFAB2548E5CC242_12</vt:lpwstr>
  </property>
</Properties>
</file>