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Charts fixture</w:t>
      </w:r>
    </w:p>
    <w:p>
      <w:r>
        <w:t>This document embeds three charts of different types so the chart-read API can be exercised by the behave suite.</w:t>
      </w:r>
    </w:p>
    <w:p>
      <w:r>
        <w:drawing>
          <wp:inline xmlns:a="http://schemas.openxmlformats.org/drawingml/2006/main" distT="0" distB="0" distL="0" distR="0">
            <wp:extent cx="5486400" cy="2743200"/>
            <wp:effectExtent l="0" t="0" r="0" b="0"/>
            <wp:docPr id="1" name="Chart 1"/>
            <wp:cNvGraphicFramePr>
              <a:graphicFrameLocks noChangeAspect="1"/>
            </wp:cNvGraphicFramePr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r>
        <w:drawing>
          <wp:inline xmlns:a="http://schemas.openxmlformats.org/drawingml/2006/main" distT="0" distB="0" distL="0" distR="0">
            <wp:extent cx="5486400" cy="2743200"/>
            <wp:effectExtent l="0" t="0" r="0" b="0"/>
            <wp:docPr id="2" name="Chart 2"/>
            <wp:cNvGraphicFramePr>
              <a:graphicFrameLocks noChangeAspect="1"/>
            </wp:cNvGraphicFramePr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r>
        <w:drawing>
          <wp:inline xmlns:a="http://schemas.openxmlformats.org/drawingml/2006/main" distT="0" distB="0" distL="0" distR="0">
            <wp:extent cx="5486400" cy="2743200"/>
            <wp:effectExtent l="0" t="0" r="0" b="0"/>
            <wp:docPr id="3" name="Chart 3"/>
            <wp:cNvGraphicFramePr>
              <a:graphicFrameLocks noChangeAspect="1"/>
            </wp:cNvGraphicFramePr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Quarterly Sales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East</c:v>
          </c:tx>
          <c:cat>
            <c:strRe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numCache>
                <c:formatCode>General</c:formatCode>
                <c:ptCount val="4"/>
                <c:pt idx="0">
                  <c:v>10.0</c:v>
                </c:pt>
                <c:pt idx="1">
                  <c:v>20.0</c:v>
                </c:pt>
                <c:pt idx="2">
                  <c:v>15.0</c:v>
                </c:pt>
                <c:pt idx="3">
                  <c:v>25.0</c:v>
                </c:pt>
              </c:numCache>
            </c:numRef>
          </c:val>
        </c:ser>
        <c:ser>
          <c:idx val="1"/>
          <c:order val="1"/>
          <c:tx>
            <c:v>West</c:v>
          </c:tx>
          <c:cat>
            <c:strRe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numCache>
                <c:formatCode>General</c:formatCode>
                <c:ptCount val="4"/>
                <c:pt idx="0">
                  <c:v>12.0</c:v>
                </c:pt>
                <c:pt idx="1">
                  <c:v>18.0</c:v>
                </c:pt>
                <c:pt idx="2">
                  <c:v>14.0</c:v>
                </c:pt>
                <c:pt idx="3">
                  <c:v>22.0</c:v>
                </c:pt>
              </c:numCache>
            </c:numRef>
          </c:val>
        </c:ser>
      </c:barChart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Headcount by Region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Employees</c:v>
          </c:tx>
          <c:cat>
            <c:strRe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numCache>
                <c:formatCode>General</c:formatCode>
                <c:ptCount val="4"/>
                <c:pt idx="0">
                  <c:v>30.0</c:v>
                </c:pt>
                <c:pt idx="1">
                  <c:v>45.0</c:v>
                </c:pt>
                <c:pt idx="2">
                  <c:v>25.0</c:v>
                </c:pt>
                <c:pt idx="3">
                  <c:v>40.0</c:v>
                </c:pt>
              </c:numCache>
            </c:numRef>
          </c:val>
        </c:ser>
      </c:barChart>
    </c:plotArea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Monthly Revenue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2024</c:v>
          </c:tx>
          <c:cat>
            <c:strRef>
              <c:strCache>
                <c:ptCount val="3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</c:strCache>
            </c:strRef>
          </c:cat>
          <c:val>
            <c:numRef>
              <c:numCache>
                <c:formatCode>General</c:formatCode>
                <c:ptCount val="3"/>
                <c:pt idx="0">
                  <c:v>100.0</c:v>
                </c:pt>
                <c:pt idx="1">
                  <c:v>110.0</c:v>
                </c:pt>
                <c:pt idx="2">
                  <c:v>120.0</c:v>
                </c:pt>
              </c:numCache>
            </c:numRef>
          </c:val>
        </c:ser>
        <c:ser>
          <c:idx val="1"/>
          <c:order val="1"/>
          <c:tx>
            <c:v>2025</c:v>
          </c:tx>
          <c:cat>
            <c:strRef>
              <c:strCache>
                <c:ptCount val="3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</c:strCache>
            </c:strRef>
          </c:cat>
          <c:val>
            <c:numRef>
              <c:numCache>
                <c:formatCode>General</c:formatCode>
                <c:ptCount val="3"/>
                <c:pt idx="0">
                  <c:v>130.0</c:v>
                </c:pt>
                <c:pt idx="1">
                  <c:v>140.0</c:v>
                </c:pt>
                <c:pt idx="2">
                  <c:v>150.0</c:v>
                </c:pt>
              </c:numCache>
            </c:numRef>
          </c:val>
        </c:ser>
        <c:marker val="1"/>
      </c:lineChart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