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Ink annotations fixture</w:t>
      </w:r>
    </w:p>
    <w:p>
      <w:r>
        <w:t xml:space="preserve">Paragraph with first ink annotation: </w:t>
      </w:r>
      <w:r>
        <w:contentPart r:id="rId9"/>
      </w:r>
    </w:p>
    <w:p>
      <w:r>
        <w:t xml:space="preserve">Paragraph with second ink annotation: </w:t>
      </w:r>
      <w:r>
        <w:contentPart r:id="rId10"/>
      </w:r>
    </w:p>
    <w:p>
      <w:r>
        <w:t>Plain paragraph with no 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10/relationships/ink" Target="ink/ink1.xml"/><Relationship Id="rId10" Type="http://schemas.microsoft.com/office/2010/relationships/ink" Target="ink/ink2.xml"/></Relationships>
</file>

<file path=word/ink/ink1.xml><?xml version="1.0" encoding="utf-8"?>
<inkml:ink xmlns:inkml="http://www.w3.org/2003/InkML">
  <inkml:trace>100 100, 150 150, 200 200</inkml:trace>
  <inkml:trace>300 300, 350 350, 400 400</inkml:trace>
</inkml:ink>
</file>

<file path=word/ink/ink2.xml><?xml version="1.0" encoding="utf-8"?>
<inkml:ink xmlns:inkml="http://www.w3.org/2003/InkML">
  <inkml:trace>50 50, 75 75, 100 100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