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Style w:val="FootnoteReference"/>
        </w:rPr>
        <w:t>The rain in Spain falls mainly in the plain.</w:t>
        <w:footnoteReference w:id="2"/>
      </w:r>
    </w:p>
    <w:p>
      <w:r>
        <w:rPr>
          <w:rStyle w:val="FootnoteReference"/>
        </w:rPr>
        <w:t>Python-docx supports footnotes natively.</w:t>
        <w:footnoteReference w:id="3"/>
      </w:r>
    </w:p>
    <w:p>
      <w:r>
        <w:rPr>
          <w:rStyle w:val="FootnoteReference"/>
        </w:rPr>
        <w:t>Each footnote has a stable integer id.</w:t>
        <w:footnoteReference w:id="4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footnote w:type="separator" w:id="0">
    <w:p>
      <w:pPr>
        <w:spacing w:after="0" w:line="240" w:lineRule="auto"/>
      </w:pPr>
      <w:r>
        <w:separator/>
      </w:r>
    </w:p>
  </w:footnote>
  <w:footnote w:type="continuationSeparator" w:id="1">
    <w:p>
      <w:pPr>
        <w:spacing w:after="0" w:line="240" w:lineRule="auto"/>
      </w:pPr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>A common saying about Iberian weather.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>As of the loadfix fork.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>Ids 0 and 1 are reserved for separators.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