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B66" w:rsidRDefault="00B64B66" w:rsidP="00B64B66">
      <w:r>
        <w:t>День 2</w:t>
      </w:r>
    </w:p>
    <w:p w:rsidR="00B64B66" w:rsidRDefault="00B64B66" w:rsidP="00B64B66">
      <w:pPr>
        <w:jc w:val="center"/>
      </w:pPr>
      <w:r>
        <w:t>Анализ кода и проверка дефектов</w:t>
      </w:r>
    </w:p>
    <w:p w:rsidR="00B64B66" w:rsidRDefault="00B64B66" w:rsidP="00B64B66">
      <w:r>
        <w:t>Статический анализ изучает код без выполнения пользовательского сценария</w:t>
      </w:r>
      <w:r w:rsidRPr="00B64B66">
        <w:t>.</w:t>
      </w:r>
    </w:p>
    <w:p w:rsidR="00B64B66" w:rsidRPr="00B64B66" w:rsidRDefault="00B64B66" w:rsidP="00B64B66">
      <w:r>
        <w:t>Линтер сообщает о нарушениях выбранных правил</w:t>
      </w:r>
      <w:r w:rsidRPr="00B64B66">
        <w:t>,</w:t>
      </w:r>
      <w:r>
        <w:t xml:space="preserve"> подозрительных конструкциях и части ошибок</w:t>
      </w:r>
      <w:r w:rsidRPr="00B64B66">
        <w:t>.</w:t>
      </w:r>
    </w:p>
    <w:p w:rsidR="00B64B66" w:rsidRPr="00B64B66" w:rsidRDefault="00B64B66" w:rsidP="00B64B66">
      <w:r>
        <w:t>Ищем</w:t>
      </w:r>
      <w:r w:rsidRPr="00B64B66">
        <w:t>:</w:t>
      </w:r>
    </w:p>
    <w:p w:rsidR="00B64B66" w:rsidRDefault="00B64B66" w:rsidP="00B64B66">
      <w:r>
        <w:t>1</w:t>
      </w:r>
      <w:r w:rsidRPr="00B64B66">
        <w:t>.</w:t>
      </w:r>
      <w:r>
        <w:t xml:space="preserve">Нарушения заданных правил </w:t>
      </w:r>
    </w:p>
    <w:p w:rsidR="00B64B66" w:rsidRDefault="00B64B66" w:rsidP="00B64B66">
      <w:r>
        <w:t>2</w:t>
      </w:r>
      <w:r>
        <w:rPr>
          <w:lang w:val="en-US"/>
        </w:rPr>
        <w:t>.</w:t>
      </w:r>
      <w:r>
        <w:t>Подозрительный конструкции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4B66" w:rsidTr="00B64B66">
        <w:tc>
          <w:tcPr>
            <w:tcW w:w="3115" w:type="dxa"/>
          </w:tcPr>
          <w:p w:rsidR="00B64B66" w:rsidRPr="004F173C" w:rsidRDefault="004F173C" w:rsidP="00B64B66">
            <w:r>
              <w:t xml:space="preserve">Инструмент </w:t>
            </w:r>
          </w:p>
        </w:tc>
        <w:tc>
          <w:tcPr>
            <w:tcW w:w="3115" w:type="dxa"/>
          </w:tcPr>
          <w:p w:rsidR="00B64B66" w:rsidRDefault="004F173C" w:rsidP="00B64B66">
            <w:r>
              <w:t xml:space="preserve">Что делает </w:t>
            </w:r>
          </w:p>
        </w:tc>
        <w:tc>
          <w:tcPr>
            <w:tcW w:w="3115" w:type="dxa"/>
          </w:tcPr>
          <w:p w:rsidR="00B64B66" w:rsidRDefault="004F173C" w:rsidP="00B64B66">
            <w:r>
              <w:t xml:space="preserve">Что не делает </w:t>
            </w:r>
          </w:p>
        </w:tc>
      </w:tr>
      <w:tr w:rsidR="00B64B66" w:rsidTr="00B64B66">
        <w:tc>
          <w:tcPr>
            <w:tcW w:w="3115" w:type="dxa"/>
          </w:tcPr>
          <w:p w:rsidR="00B64B66" w:rsidRDefault="004F173C" w:rsidP="00B64B66">
            <w:r>
              <w:t xml:space="preserve">Линтер </w:t>
            </w:r>
          </w:p>
        </w:tc>
        <w:tc>
          <w:tcPr>
            <w:tcW w:w="3115" w:type="dxa"/>
          </w:tcPr>
          <w:p w:rsidR="00B64B66" w:rsidRPr="004F173C" w:rsidRDefault="004F173C" w:rsidP="00B64B66">
            <w:r>
              <w:t>Сообщает о нарушениях</w:t>
            </w:r>
            <w:r w:rsidRPr="004F173C">
              <w:t>,</w:t>
            </w:r>
          </w:p>
          <w:p w:rsidR="004F173C" w:rsidRPr="004F173C" w:rsidRDefault="004F173C" w:rsidP="00B64B66">
            <w:r>
              <w:t xml:space="preserve">о подозрительных конструкция и части ошибок </w:t>
            </w:r>
          </w:p>
        </w:tc>
        <w:tc>
          <w:tcPr>
            <w:tcW w:w="3115" w:type="dxa"/>
          </w:tcPr>
          <w:p w:rsidR="00B64B66" w:rsidRDefault="004F173C" w:rsidP="00B64B66">
            <w:r>
              <w:t xml:space="preserve">Не гарантирует что логика программы правильно </w:t>
            </w:r>
          </w:p>
        </w:tc>
      </w:tr>
      <w:tr w:rsidR="00B64B66" w:rsidTr="00B64B66">
        <w:tc>
          <w:tcPr>
            <w:tcW w:w="3115" w:type="dxa"/>
          </w:tcPr>
          <w:p w:rsidR="00B64B66" w:rsidRPr="004F173C" w:rsidRDefault="004F173C" w:rsidP="00B64B66">
            <w:r>
              <w:t xml:space="preserve">Форматор </w:t>
            </w:r>
          </w:p>
        </w:tc>
        <w:tc>
          <w:tcPr>
            <w:tcW w:w="3115" w:type="dxa"/>
          </w:tcPr>
          <w:p w:rsidR="004F173C" w:rsidRPr="00B64B66" w:rsidRDefault="004F173C" w:rsidP="004F173C">
            <w:r>
              <w:t xml:space="preserve">Приводит оформления к единому стилю </w:t>
            </w:r>
          </w:p>
          <w:p w:rsidR="00B64B66" w:rsidRDefault="00B64B66" w:rsidP="00B64B66"/>
        </w:tc>
        <w:tc>
          <w:tcPr>
            <w:tcW w:w="3115" w:type="dxa"/>
          </w:tcPr>
          <w:p w:rsidR="00B64B66" w:rsidRDefault="004F173C" w:rsidP="00B64B66">
            <w:r>
              <w:t xml:space="preserve">Не проверяет смысл кода и бизнес логику </w:t>
            </w:r>
          </w:p>
        </w:tc>
      </w:tr>
    </w:tbl>
    <w:p w:rsidR="00B64B66" w:rsidRDefault="00B64B66" w:rsidP="00B64B66"/>
    <w:p w:rsidR="004F173C" w:rsidRPr="002A2DDD" w:rsidRDefault="004F173C" w:rsidP="00B64B66">
      <w:bookmarkStart w:id="0" w:name="_GoBack"/>
      <w:bookmarkEnd w:id="0"/>
    </w:p>
    <w:sectPr w:rsidR="004F173C" w:rsidRPr="002A2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66"/>
    <w:rsid w:val="002A2DDD"/>
    <w:rsid w:val="004F173C"/>
    <w:rsid w:val="00B6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88B75"/>
  <w15:chartTrackingRefBased/>
  <w15:docId w15:val="{71A0E08A-BC5A-4A7E-AE86-2B998AC5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4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2026-09-30T05:38:00Z</dcterms:created>
  <dcterms:modified xsi:type="dcterms:W3CDTF">2026-09-30T07:31:00Z</dcterms:modified>
</cp:coreProperties>
</file>