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ind w:left="180" w:right="198.00000000000068" w:firstLine="0"/>
        <w:jc w:val="center"/>
        <w:rPr>
          <w:rFonts w:ascii="Helvetica Neue" w:cs="Helvetica Neue" w:eastAsia="Helvetica Neue" w:hAnsi="Helvetica Neue"/>
        </w:rPr>
      </w:pPr>
      <w:bookmarkStart w:colFirst="0" w:colLast="0" w:name="_1cd84huo6b26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Welcome to Career Services!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180" w:right="198.00000000000068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180" w:right="198.00000000000068" w:firstLine="0"/>
        <w:jc w:val="center"/>
        <w:rPr>
          <w:rFonts w:ascii="Helvetica Neue" w:cs="Helvetica Neue" w:eastAsia="Helvetica Neue" w:hAnsi="Helvetica Neue"/>
          <w:b w:val="1"/>
          <w:color w:val="25aaa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1b6d9"/>
          <w:sz w:val="24"/>
          <w:szCs w:val="24"/>
          <w:rtl w:val="0"/>
        </w:rPr>
        <w:t xml:space="preserve">“74% of recruiters believe hiring will become more competitive in the next 12 months.”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5aaa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ind w:left="180" w:right="198.00000000000068" w:firstLine="0"/>
        <w:jc w:val="center"/>
        <w:rPr>
          <w:rFonts w:ascii="Helvetica Neue" w:cs="Helvetica Neue" w:eastAsia="Helvetica Neue" w:hAnsi="Helvetica Neue"/>
          <w:i w:val="1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1"/>
          <w:szCs w:val="21"/>
          <w:rtl w:val="0"/>
        </w:rPr>
        <w:t xml:space="preserve">–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i w:val="1"/>
            <w:color w:val="1155cc"/>
            <w:sz w:val="21"/>
            <w:szCs w:val="21"/>
            <w:u w:val="single"/>
            <w:rtl w:val="0"/>
          </w:rPr>
          <w:t xml:space="preserve">Jobvite Recruiter Nation Report 2018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180" w:right="198.00000000000068" w:firstLine="0"/>
        <w:jc w:val="center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180" w:right="198.00000000000068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95"/>
        <w:tblGridChange w:id="0">
          <w:tblGrid>
            <w:gridCol w:w="9495"/>
          </w:tblGrid>
        </w:tblGridChange>
      </w:tblGrid>
      <w:tr>
        <w:tc>
          <w:tcPr>
            <w:shd w:fill="auto" w:val="clear"/>
            <w:tcMar>
              <w:top w:w="100.80000000000001" w:type="dxa"/>
              <w:left w:w="100.80000000000001" w:type="dxa"/>
              <w:bottom w:w="100.80000000000001" w:type="dxa"/>
              <w:right w:w="100.80000000000001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375" w:firstLine="0"/>
              <w:jc w:val="center"/>
              <w:rPr>
                <w:rFonts w:ascii="Helvetica Neue" w:cs="Helvetica Neue" w:eastAsia="Helvetica Neue" w:hAnsi="Helvetica Neue"/>
                <w:b w:val="1"/>
                <w:color w:val="31b6d9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31b6d9"/>
                <w:u w:val="single"/>
                <w:rtl w:val="0"/>
              </w:rPr>
              <w:t xml:space="preserve">KEY TAKEAWAYS: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257175</wp:posOffset>
                  </wp:positionV>
                  <wp:extent cx="214313" cy="214313"/>
                  <wp:effectExtent b="0" l="0" r="0" t="0"/>
                  <wp:wrapSquare wrapText="bothSides" distB="114300" distT="114300" distL="114300" distR="11430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3" cy="214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14"/>
                <w:szCs w:val="1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– By the end of this Milestone, you will be able to articulate the difference between Employer Ready vs Employer Competitive.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381000</wp:posOffset>
                  </wp:positionV>
                  <wp:extent cx="219075" cy="219075"/>
                  <wp:effectExtent b="0" l="0" r="0" t="0"/>
                  <wp:wrapSquare wrapText="bothSides" distB="114300" distT="114300" distL="114300" distR="11430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4219575</wp:posOffset>
                  </wp:positionH>
                  <wp:positionV relativeFrom="paragraph">
                    <wp:posOffset>285750</wp:posOffset>
                  </wp:positionV>
                  <wp:extent cx="1452563" cy="721272"/>
                  <wp:effectExtent b="0" l="0" r="0" t="0"/>
                  <wp:wrapSquare wrapText="bothSides" distB="114300" distT="114300" distL="114300" distR="11430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7212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rPr>
                <w:rFonts w:ascii="Helvetica Neue" w:cs="Helvetica Neue" w:eastAsia="Helvetica Neue" w:hAnsi="Helvetica Neue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– Review this guide, and </w:t>
            </w:r>
            <w:hyperlink r:id="rId10">
              <w:r w:rsidDel="00000000" w:rsidR="00000000" w:rsidRPr="00000000">
                <w:rPr>
                  <w:rFonts w:ascii="Helvetica Neue" w:cs="Helvetica Neue" w:eastAsia="Helvetica Neue" w:hAnsi="Helvetica Neue"/>
                  <w:color w:val="1155cc"/>
                  <w:u w:val="single"/>
                  <w:rtl w:val="0"/>
                </w:rPr>
                <w:t xml:space="preserve">mark complete in BCS</w:t>
              </w:r>
            </w:hyperlink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266700</wp:posOffset>
                  </wp:positionV>
                  <wp:extent cx="219075" cy="219075"/>
                  <wp:effectExtent b="0" l="0" r="0" t="0"/>
                  <wp:wrapSquare wrapText="bothSides" distB="114300" distT="11430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rPr>
                <w:rFonts w:ascii="Helvetica Neue" w:cs="Helvetica Neue" w:eastAsia="Helvetica Neue" w:hAnsi="Helvetica Neue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– </w:t>
            </w:r>
            <w:hyperlink r:id="rId12">
              <w:r w:rsidDel="00000000" w:rsidR="00000000" w:rsidRPr="00000000">
                <w:rPr>
                  <w:rFonts w:ascii="Helvetica Neue" w:cs="Helvetica Neue" w:eastAsia="Helvetica Neue" w:hAnsi="Helvetica Neue"/>
                  <w:color w:val="1155cc"/>
                  <w:u w:val="single"/>
                  <w:rtl w:val="0"/>
                </w:rPr>
                <w:t xml:space="preserve">Click here to watch a short video introduction to Career Services</w:t>
              </w:r>
            </w:hyperlink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ind w:left="180" w:right="0" w:firstLine="0"/>
        <w:rPr>
          <w:rFonts w:ascii="Helvetica Neue" w:cs="Helvetica Neue" w:eastAsia="Helvetica Neue" w:hAnsi="Helvetica Neue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6"/>
          <w:szCs w:val="26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u w:val="single"/>
          <w:rtl w:val="0"/>
        </w:rPr>
        <w:t xml:space="preserve">WHY WE’RE HERE</w:t>
      </w:r>
    </w:p>
    <w:p w:rsidR="00000000" w:rsidDel="00000000" w:rsidP="00000000" w:rsidRDefault="00000000" w:rsidRPr="00000000" w14:paraId="00000012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14"/>
          <w:szCs w:val="1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have talked with thousands of employers, and we know exactly what employers are looking for in top candidates. These conversations have led us to identify that there is a difference between being Employer Ready and Employer Competitive.</w:t>
      </w:r>
    </w:p>
    <w:p w:rsidR="00000000" w:rsidDel="00000000" w:rsidP="00000000" w:rsidRDefault="00000000" w:rsidRPr="00000000" w14:paraId="00000014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right="198.00000000000068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rtl w:val="0"/>
        </w:rPr>
        <w:t xml:space="preserve">Employer Ready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means that you have the minimum requirements to enter into a typical job application process. Your job search materials are strong and complete, and with some luck, an employer will notice you in a tall stack of applications and decide you are the right fit for the role. </w:t>
      </w:r>
    </w:p>
    <w:p w:rsidR="00000000" w:rsidDel="00000000" w:rsidP="00000000" w:rsidRDefault="00000000" w:rsidRPr="00000000" w14:paraId="00000016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40" w:lineRule="auto"/>
        <w:ind w:left="720" w:right="198.00000000000068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rtl w:val="0"/>
        </w:rPr>
        <w:t xml:space="preserve">Employer Competitive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candidates have positioned themselves for success through networking, company research, excellent professional materials, and a strong demonstration of their commitment to ongoing learning. Employer Competitive Candidates are proactively seeking and pursuing the jobs that they want with effective outreach and follow-up strategies.</w:t>
      </w:r>
    </w:p>
    <w:p w:rsidR="00000000" w:rsidDel="00000000" w:rsidP="00000000" w:rsidRDefault="00000000" w:rsidRPr="00000000" w14:paraId="00000018">
      <w:pPr>
        <w:spacing w:line="240" w:lineRule="auto"/>
        <w:ind w:right="198.00000000000068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We’re here to guide you through the process of becoming Employer Competitive in the job market!</w:t>
      </w:r>
    </w:p>
    <w:p w:rsidR="00000000" w:rsidDel="00000000" w:rsidP="00000000" w:rsidRDefault="00000000" w:rsidRPr="00000000" w14:paraId="0000001A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4514601</wp:posOffset>
            </wp:positionH>
            <wp:positionV relativeFrom="paragraph">
              <wp:posOffset>161925</wp:posOffset>
            </wp:positionV>
            <wp:extent cx="2352924" cy="1319213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35" l="0" r="0" t="535"/>
                    <a:stretch>
                      <a:fillRect/>
                    </a:stretch>
                  </pic:blipFill>
                  <pic:spPr>
                    <a:xfrm>
                      <a:off x="0" y="0"/>
                      <a:ext cx="2352924" cy="131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u w:val="single"/>
          <w:rtl w:val="0"/>
        </w:rPr>
        <w:t xml:space="preserve">HOW YOU’RE SUPPORTED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80" w:line="240" w:lineRule="auto"/>
        <w:ind w:left="720" w:right="198.00000000000068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Profile Coach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– Offers unlimited feedback on your professional materials to help you become Employer Competitive.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80" w:line="240" w:lineRule="auto"/>
        <w:ind w:left="720" w:right="198.00000000000068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Career Director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– Offers quality coaching, strategies, and resources to help you become Employer Competitive.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right="198.00000000000068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Career Services Events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– Ongoing behavioral and technical workshops as well as events with industry professionals help  you become Employer Competitive.  </w:t>
      </w:r>
      <w:hyperlink r:id="rId14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Click here to watch a 'What Does Employer Competitive Mean' workshop.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u w:val="single"/>
          <w:rtl w:val="0"/>
        </w:rPr>
        <w:t xml:space="preserve">WHAT’S AHEAD</w:t>
      </w:r>
    </w:p>
    <w:p w:rsidR="00000000" w:rsidDel="00000000" w:rsidP="00000000" w:rsidRDefault="00000000" w:rsidRPr="00000000" w14:paraId="00000026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180" w:right="198.00000000000068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encourage you to prepare your professional materials before graduation, and through a set of Career Milestones, we offer guidance to help you accomplish that.  Although there are suggested submission dates,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these Milestones can be completed at any time and in any order.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See below for an overview.</w:t>
      </w:r>
    </w:p>
    <w:p w:rsidR="00000000" w:rsidDel="00000000" w:rsidP="00000000" w:rsidRDefault="00000000" w:rsidRPr="00000000" w14:paraId="00000028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38.0000000000001" w:right="198.00000000000068" w:firstLine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c>
          <w:tcPr>
            <w:shd w:fill="31b6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rtl w:val="0"/>
              </w:rPr>
              <w:t xml:space="preserve">–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u w:val="single"/>
                <w:rtl w:val="0"/>
              </w:rPr>
              <w:t xml:space="preserve">SUBMIT TO PROFILE COACH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rtl w:val="0"/>
              </w:rPr>
              <w:t xml:space="preserve">  –</w:t>
            </w:r>
          </w:p>
        </w:tc>
        <w:tc>
          <w:tcPr>
            <w:shd w:fill="31b6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rtl w:val="0"/>
              </w:rPr>
              <w:t xml:space="preserve">– 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u w:val="single"/>
                <w:rtl w:val="0"/>
              </w:rPr>
              <w:t xml:space="preserve">REVIEW ONLY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rtl w:val="0"/>
              </w:rPr>
              <w:t xml:space="preserve"> –</w:t>
            </w:r>
          </w:p>
        </w:tc>
      </w:tr>
      <w:tr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1: Career Services Overview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Understand Career Services and how we support you in becoming Employer Competitive.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2: Create Your Brand Statement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Develop a professional brand statement, and submit your statement to a Profile Coach for feedback.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120" w:firstLine="0"/>
              <w:jc w:val="left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120" w:firstLine="0"/>
              <w:jc w:val="left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3: Build Your Visibility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Identify best practices for in-person and online networking, and begin to develop a plan to build your visibility within the field.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4: Create Your Resume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Develop an Employer Competitive resume, and submit it to a Profile Coach for feedback.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120" w:firstLine="0"/>
              <w:jc w:val="left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5:  Polish Your Github &amp; LinkedIn 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Update your Github and LinkedIn profiles to meet Employer Competitive standards, and submit links to your Profile Coach for feedback.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120" w:firstLine="0"/>
              <w:jc w:val="left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6: Preparing for a Successful Interview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Understand how to successfully prepare for the  interview process. </w:t>
            </w:r>
            <w:hyperlink r:id="rId15">
              <w:r w:rsidDel="00000000" w:rsidR="00000000" w:rsidRPr="00000000">
                <w:rPr>
                  <w:rFonts w:ascii="Helvetica Neue" w:cs="Helvetica Neue" w:eastAsia="Helvetica Neue" w:hAnsi="Helvetica Neue"/>
                  <w:color w:val="1155cc"/>
                  <w:sz w:val="20"/>
                  <w:szCs w:val="20"/>
                  <w:u w:val="single"/>
                  <w:rtl w:val="0"/>
                </w:rPr>
                <w:t xml:space="preserve">Register for behavioral and technical interview workshops on the Career Services events page.</w:t>
              </w:r>
            </w:hyperlink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1"/>
                <w:szCs w:val="21"/>
                <w:rtl w:val="0"/>
              </w:rPr>
              <w:t xml:space="preserve">MILESTONE  7: Employer Ready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80" w:right="120" w:firstLine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Incorporate previous feedback to your career materials, and re-submit for a final review from a Profile Coach.  Once you’re done, you will be Employer Ready!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120" w:firstLine="0"/>
              <w:jc w:val="left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180" w:right="120" w:firstLine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>
        <w:rFonts w:ascii="Helvetica Neue" w:cs="Helvetica Neue" w:eastAsia="Helvetica Neue" w:hAnsi="Helvetica Neue"/>
        <w:sz w:val="20"/>
        <w:szCs w:val="20"/>
      </w:rPr>
    </w:pPr>
    <w:r w:rsidDel="00000000" w:rsidR="00000000" w:rsidRPr="00000000">
      <w:rPr>
        <w:rFonts w:ascii="Helvetica Neue" w:cs="Helvetica Neue" w:eastAsia="Helvetica Neue" w:hAnsi="Helvetica Neue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color w:val="999999"/>
        <w:sz w:val="16"/>
        <w:szCs w:val="16"/>
        <w:rtl w:val="0"/>
      </w:rPr>
      <w:t xml:space="preserve">Data Boot Camp | Milestone 1 - Career Services Overview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>
        <w:color w:val="999999"/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bootcampspot.com/login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youtu.be/Tiuil_uXxG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careerservicesonlineevents.splashthat.com/" TargetMode="External"/><Relationship Id="rId14" Type="http://schemas.openxmlformats.org/officeDocument/2006/relationships/hyperlink" Target="https://youtu.be/347Jmjv4OKE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jobvite.com/wp-content/uploads/2018/11/2018-Recruiter-Nation-Study.pdf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