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7C73" w14:textId="41B7AB53" w:rsidR="003A4F5F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drawing>
          <wp:inline distT="0" distB="0" distL="0" distR="0" wp14:anchorId="3E3474C1" wp14:editId="0EE38C66">
            <wp:extent cx="5612130" cy="1941195"/>
            <wp:effectExtent l="0" t="0" r="7620" b="1905"/>
            <wp:docPr id="84023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8410" w14:textId="77777777" w:rsidR="003A4F5F" w:rsidRPr="00156119" w:rsidRDefault="003A4F5F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Descripción general de la figura</w:t>
      </w:r>
    </w:p>
    <w:p w14:paraId="798D0F15" w14:textId="7777777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La figura muestra tres subgráficos tipo </w:t>
      </w:r>
      <w:proofErr w:type="spellStart"/>
      <w:r w:rsidRPr="00156119">
        <w:rPr>
          <w:rFonts w:ascii="Times New Roman" w:hAnsi="Times New Roman" w:cs="Times New Roman"/>
        </w:rPr>
        <w:t>violin</w:t>
      </w:r>
      <w:proofErr w:type="spellEnd"/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plot</w:t>
      </w:r>
      <w:proofErr w:type="spellEnd"/>
      <w:r w:rsidRPr="00156119">
        <w:rPr>
          <w:rFonts w:ascii="Times New Roman" w:hAnsi="Times New Roman" w:cs="Times New Roman"/>
        </w:rPr>
        <w:t xml:space="preserve"> que comparan la potencia en banda μ 8–13 Hz en tres electrodos: Mu_C3, </w:t>
      </w:r>
      <w:proofErr w:type="spellStart"/>
      <w:r w:rsidRPr="00156119">
        <w:rPr>
          <w:rFonts w:ascii="Times New Roman" w:hAnsi="Times New Roman" w:cs="Times New Roman"/>
        </w:rPr>
        <w:t>Mu_Cz</w:t>
      </w:r>
      <w:proofErr w:type="spellEnd"/>
      <w:r w:rsidRPr="00156119">
        <w:rPr>
          <w:rFonts w:ascii="Times New Roman" w:hAnsi="Times New Roman" w:cs="Times New Roman"/>
        </w:rPr>
        <w:t xml:space="preserve"> y Mu_C4. El eje vertical está en escala logarítmica (log₁₀) y el eje horizontal contiene las cinco condiciones: Reposo, </w:t>
      </w:r>
      <w:proofErr w:type="spellStart"/>
      <w:r w:rsidRPr="00156119">
        <w:rPr>
          <w:rFonts w:ascii="Times New Roman" w:hAnsi="Times New Roman" w:cs="Times New Roman"/>
        </w:rPr>
        <w:t>Imag_Izquierda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Imag_Derecha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Mov_Izquierda</w:t>
      </w:r>
      <w:proofErr w:type="spellEnd"/>
      <w:r w:rsidRPr="00156119">
        <w:rPr>
          <w:rFonts w:ascii="Times New Roman" w:hAnsi="Times New Roman" w:cs="Times New Roman"/>
        </w:rPr>
        <w:t xml:space="preserve"> y </w:t>
      </w:r>
      <w:proofErr w:type="spellStart"/>
      <w:r w:rsidRPr="00156119">
        <w:rPr>
          <w:rFonts w:ascii="Times New Roman" w:hAnsi="Times New Roman" w:cs="Times New Roman"/>
        </w:rPr>
        <w:t>Mov_Derecha</w:t>
      </w:r>
      <w:proofErr w:type="spellEnd"/>
      <w:r w:rsidRPr="00156119">
        <w:rPr>
          <w:rFonts w:ascii="Times New Roman" w:hAnsi="Times New Roman" w:cs="Times New Roman"/>
        </w:rPr>
        <w:t xml:space="preserve">. Cada condición aparece con un color distinto y cada violín representa la distribución de valores (densidad), mostrando forma, dispersión y la posible presencia de colas o modos múltiples. A </w:t>
      </w:r>
      <w:proofErr w:type="gramStart"/>
      <w:r w:rsidRPr="00156119">
        <w:rPr>
          <w:rFonts w:ascii="Times New Roman" w:hAnsi="Times New Roman" w:cs="Times New Roman"/>
        </w:rPr>
        <w:t>continuación</w:t>
      </w:r>
      <w:proofErr w:type="gramEnd"/>
      <w:r w:rsidRPr="00156119">
        <w:rPr>
          <w:rFonts w:ascii="Times New Roman" w:hAnsi="Times New Roman" w:cs="Times New Roman"/>
        </w:rPr>
        <w:t xml:space="preserve"> se describen, uno por uno, los tres subgráficos para facilitar la comparación visual.</w:t>
      </w:r>
    </w:p>
    <w:p w14:paraId="33889E74" w14:textId="623880AD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</w:p>
    <w:p w14:paraId="1B338B81" w14:textId="77777777" w:rsidR="003A4F5F" w:rsidRPr="00156119" w:rsidRDefault="003A4F5F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Mu_C3</w:t>
      </w:r>
    </w:p>
    <w:p w14:paraId="237B92A8" w14:textId="7777777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</w:t>
      </w:r>
      <w:r w:rsidRPr="00156119">
        <w:rPr>
          <w:rFonts w:ascii="Times New Roman" w:hAnsi="Times New Roman" w:cs="Times New Roman"/>
        </w:rPr>
        <w:t>: Los cinco violines están relativamente superpuestos pero presentan diferencias en anchura y forma entre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</w:t>
      </w:r>
      <w:r w:rsidRPr="00156119">
        <w:rPr>
          <w:rFonts w:ascii="Times New Roman" w:hAnsi="Times New Roman" w:cs="Times New Roman"/>
        </w:rPr>
        <w:t>: Algunas condiciones muestran la mediana desplazada respecto a otras; en particular, las condiciones de movimiento e imaginación pueden aparecer con medianas ligeramente distintas respecto a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forma</w:t>
      </w:r>
      <w:r w:rsidRPr="00156119">
        <w:rPr>
          <w:rFonts w:ascii="Times New Roman" w:hAnsi="Times New Roman" w:cs="Times New Roman"/>
        </w:rPr>
        <w:t>: Se observan variaciones en la anchura de los violines (indicando mayor o menor dispersión) y en la presencia de colas; algunas condiciones muestran una distribución más estrecha y concentrada, mientras que otras son más anchas o asimétricas.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</w:t>
      </w:r>
      <w:r w:rsidRPr="00156119">
        <w:rPr>
          <w:rFonts w:ascii="Times New Roman" w:hAnsi="Times New Roman" w:cs="Times New Roman"/>
        </w:rPr>
        <w:t>: No hay un único patrón extremo; las diferencias son moderadas y se aprecian mejor comparando la posición de las medianas y la anchura relativa de cada violín.</w:t>
      </w:r>
    </w:p>
    <w:p w14:paraId="56B5F2BF" w14:textId="2CAD6795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</w:p>
    <w:p w14:paraId="1D2E80AD" w14:textId="77777777" w:rsidR="003A4F5F" w:rsidRPr="00156119" w:rsidRDefault="003A4F5F" w:rsidP="0015611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56119">
        <w:rPr>
          <w:rFonts w:ascii="Times New Roman" w:hAnsi="Times New Roman" w:cs="Times New Roman"/>
          <w:b/>
          <w:bCs/>
        </w:rPr>
        <w:t>Mu_Cz</w:t>
      </w:r>
      <w:proofErr w:type="spellEnd"/>
    </w:p>
    <w:p w14:paraId="1C0B26EB" w14:textId="7777777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</w:t>
      </w:r>
      <w:r w:rsidRPr="00156119">
        <w:rPr>
          <w:rFonts w:ascii="Times New Roman" w:hAnsi="Times New Roman" w:cs="Times New Roman"/>
        </w:rPr>
        <w:t>: En este electrodo las distribuciones mantienen la misma estructura de cinco condiciones, con cambios sutiles en forma y amplitud entre ellas.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</w:t>
      </w:r>
      <w:r w:rsidRPr="00156119">
        <w:rPr>
          <w:rFonts w:ascii="Times New Roman" w:hAnsi="Times New Roman" w:cs="Times New Roman"/>
        </w:rPr>
        <w:t>: Las medianas de las condiciones parecen más cercanas entre sí que en otros electrodos, aunque pueden existir desplazamientos pequeños para las condiciones de movimiento.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lastRenderedPageBreak/>
        <w:t>Dispersión y forma</w:t>
      </w:r>
      <w:r w:rsidRPr="00156119">
        <w:rPr>
          <w:rFonts w:ascii="Times New Roman" w:hAnsi="Times New Roman" w:cs="Times New Roman"/>
        </w:rPr>
        <w:t>: Algunos violines muestran colas más largas o mayor asimetría, lo que sugiere valores extremos en ciertas condiciones; otras condiciones presentan distribuciones más compactas.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</w:t>
      </w:r>
      <w:r w:rsidRPr="00156119">
        <w:rPr>
          <w:rFonts w:ascii="Times New Roman" w:hAnsi="Times New Roman" w:cs="Times New Roman"/>
        </w:rPr>
        <w:t xml:space="preserve">: Las diferencias visuales son sutiles;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muestra una mayor homogeneidad entre condiciones en comparación con C3 y C4, aunque persisten variaciones en dispersión.</w:t>
      </w:r>
    </w:p>
    <w:p w14:paraId="72E0D671" w14:textId="136B86D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</w:p>
    <w:p w14:paraId="368F9B6C" w14:textId="77777777" w:rsidR="003A4F5F" w:rsidRPr="00156119" w:rsidRDefault="003A4F5F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Mu_C4</w:t>
      </w:r>
    </w:p>
    <w:p w14:paraId="3E4A4724" w14:textId="7777777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</w:t>
      </w:r>
      <w:r w:rsidRPr="00156119">
        <w:rPr>
          <w:rFonts w:ascii="Times New Roman" w:hAnsi="Times New Roman" w:cs="Times New Roman"/>
        </w:rPr>
        <w:t>: Las cinco distribuciones aparecen con variaciones en anchura y forma similares a las observadas en C3, pero con matices propios en la posición de la densidad.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</w:t>
      </w:r>
      <w:r w:rsidRPr="00156119">
        <w:rPr>
          <w:rFonts w:ascii="Times New Roman" w:hAnsi="Times New Roman" w:cs="Times New Roman"/>
        </w:rPr>
        <w:t>: Se aprecian desplazamientos de la mediana entre condiciones; algunas condiciones de movimiento o imaginación pueden situarse ligeramente por encima o por debajo de reposo en la escala logarítmica.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forma</w:t>
      </w:r>
      <w:r w:rsidRPr="00156119">
        <w:rPr>
          <w:rFonts w:ascii="Times New Roman" w:hAnsi="Times New Roman" w:cs="Times New Roman"/>
        </w:rPr>
        <w:t>: Hay violines que muestran mayor amplitud (mayor variabilidad) y otros más estrechos; también se observan asimetrías y colas que indican valores atípicos en ciertas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</w:t>
      </w:r>
      <w:r w:rsidRPr="00156119">
        <w:rPr>
          <w:rFonts w:ascii="Times New Roman" w:hAnsi="Times New Roman" w:cs="Times New Roman"/>
        </w:rPr>
        <w:t>: C4 presenta diferencias visuales moderadas entre condiciones, comparables a las de C3, con variabilidad notable en la forma de las distribuciones.</w:t>
      </w:r>
    </w:p>
    <w:p w14:paraId="4297FFCD" w14:textId="1F209311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</w:p>
    <w:p w14:paraId="5C3D3F80" w14:textId="531690C1" w:rsidR="003A4F5F" w:rsidRPr="00156119" w:rsidRDefault="003A4F5F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Conclusión </w:t>
      </w:r>
    </w:p>
    <w:p w14:paraId="34B9FE26" w14:textId="77777777" w:rsidR="003A4F5F" w:rsidRPr="00156119" w:rsidRDefault="003A4F5F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En las tres ubicaciones (C3,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, C4) existen diferencias visuales moderadas entre condiciones en términos de posición de la mediana, anchura de la distribución y asimetría/colas.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parece mostrar una mayor homogeneidad entre condiciones, mientras que C3 y C4 presentan variaciones más marcadas en dispersión y forma. Para confirmar estadísticamente estas observaciones convendría comparar medianas y varianzas o realizar pruebas formales, pero visualmente sí se aprecian diferencias que merecen análisis cuantitativo.</w:t>
      </w:r>
    </w:p>
    <w:p w14:paraId="40119B8F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3210A7C3" w14:textId="0DFA811F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drawing>
          <wp:inline distT="0" distB="0" distL="0" distR="0" wp14:anchorId="5E382A0C" wp14:editId="4401BB93">
            <wp:extent cx="5612130" cy="1941195"/>
            <wp:effectExtent l="0" t="0" r="7620" b="1905"/>
            <wp:docPr id="4674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9F0F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lastRenderedPageBreak/>
        <w:t>Descripción general de la figura</w:t>
      </w:r>
    </w:p>
    <w:p w14:paraId="4F91AC7C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La figura contiene tres subgráficos tipo </w:t>
      </w:r>
      <w:proofErr w:type="spellStart"/>
      <w:r w:rsidRPr="00156119">
        <w:rPr>
          <w:rFonts w:ascii="Times New Roman" w:hAnsi="Times New Roman" w:cs="Times New Roman"/>
        </w:rPr>
        <w:t>violin</w:t>
      </w:r>
      <w:proofErr w:type="spellEnd"/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plot</w:t>
      </w:r>
      <w:proofErr w:type="spellEnd"/>
      <w:r w:rsidRPr="00156119">
        <w:rPr>
          <w:rFonts w:ascii="Times New Roman" w:hAnsi="Times New Roman" w:cs="Times New Roman"/>
        </w:rPr>
        <w:t xml:space="preserve"> que muestran la potencia en banda Beta 14–30 Hz en escala log₁₀ para tres electrodos: Beta_C3, </w:t>
      </w:r>
      <w:proofErr w:type="spellStart"/>
      <w:r w:rsidRPr="00156119">
        <w:rPr>
          <w:rFonts w:ascii="Times New Roman" w:hAnsi="Times New Roman" w:cs="Times New Roman"/>
        </w:rPr>
        <w:t>Beta_Cz</w:t>
      </w:r>
      <w:proofErr w:type="spellEnd"/>
      <w:r w:rsidRPr="00156119">
        <w:rPr>
          <w:rFonts w:ascii="Times New Roman" w:hAnsi="Times New Roman" w:cs="Times New Roman"/>
        </w:rPr>
        <w:t xml:space="preserve"> y Beta_C4. El eje horizontal incluye las cinco condiciones: Reposo, </w:t>
      </w:r>
      <w:proofErr w:type="spellStart"/>
      <w:r w:rsidRPr="00156119">
        <w:rPr>
          <w:rFonts w:ascii="Times New Roman" w:hAnsi="Times New Roman" w:cs="Times New Roman"/>
        </w:rPr>
        <w:t>Imag_Izquierda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Imag_Derecha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Mov_Izquierda</w:t>
      </w:r>
      <w:proofErr w:type="spellEnd"/>
      <w:r w:rsidRPr="00156119">
        <w:rPr>
          <w:rFonts w:ascii="Times New Roman" w:hAnsi="Times New Roman" w:cs="Times New Roman"/>
        </w:rPr>
        <w:t xml:space="preserve"> y </w:t>
      </w:r>
      <w:proofErr w:type="spellStart"/>
      <w:r w:rsidRPr="00156119">
        <w:rPr>
          <w:rFonts w:ascii="Times New Roman" w:hAnsi="Times New Roman" w:cs="Times New Roman"/>
        </w:rPr>
        <w:t>Mov_Derecha</w:t>
      </w:r>
      <w:proofErr w:type="spellEnd"/>
      <w:r w:rsidRPr="00156119">
        <w:rPr>
          <w:rFonts w:ascii="Times New Roman" w:hAnsi="Times New Roman" w:cs="Times New Roman"/>
        </w:rPr>
        <w:t>. Cada condición está representada por un color distinto y cada violín muestra la densidad, la dispersión y la presencia de colas o modos múltiples de los valores.</w:t>
      </w:r>
    </w:p>
    <w:p w14:paraId="2292E711" w14:textId="3FB6A60D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78B73EBB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Beta_C3</w:t>
      </w:r>
    </w:p>
    <w:p w14:paraId="28EE77AF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Los violines presentan diferencias en anchura y forma entre condiciones, con algunas distribuciones más compactas y otras más extendidas.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observan desplazamientos modestos de la mediana entre condiciones; ciertas tareas motoras o de imaginación muestran medianas ligeramente distintas respecto a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Algunas condiciones exhiben colas más largas o asimetría, indicando valores extremos en determinados ensayos.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Las diferencias son visibles pero moderadas; Beta_C3 muestra variabilidad entre condiciones que podría reflejar cambios en la actividad beta durante imaginación y movimiento.</w:t>
      </w:r>
    </w:p>
    <w:p w14:paraId="5F722FD7" w14:textId="5D0D275F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3AA23EF2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56119">
        <w:rPr>
          <w:rFonts w:ascii="Times New Roman" w:hAnsi="Times New Roman" w:cs="Times New Roman"/>
          <w:b/>
          <w:bCs/>
        </w:rPr>
        <w:t>Beta_Cz</w:t>
      </w:r>
      <w:proofErr w:type="spellEnd"/>
    </w:p>
    <w:p w14:paraId="7D559CB5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Las distribuciones en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tienden a ser más homogéneas entre condiciones en comparación con C3 y C4, aunque no idénticas.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Las medianas están relativamente cercanas entre sí, con pequeños desplazamientos para las condiciones de movimiento.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Se aprecian violines con mayor concentración y otros con mayor dispersión; algunos muestran asimetría leve.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sugiere menor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>, lo que indica que la potencia beta en la línea media puede cambiar menos entre reposo, imaginación y movimiento.</w:t>
      </w:r>
    </w:p>
    <w:p w14:paraId="5869C0F1" w14:textId="5CAC61DE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6C1BBAAF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Beta_C4</w:t>
      </w:r>
    </w:p>
    <w:p w14:paraId="7ED5C34E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Beta_C4 muestra variaciones en forma y anchura similares a las de C3, con matices en la posición de la densidad para cada condición.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Hay desplazamientos visibles de la mediana entre condiciones; en algunos casos las condiciones motoras se sitúan por encima o por debajo de </w:t>
      </w:r>
      <w:r w:rsidRPr="00156119">
        <w:rPr>
          <w:rFonts w:ascii="Times New Roman" w:hAnsi="Times New Roman" w:cs="Times New Roman"/>
        </w:rPr>
        <w:lastRenderedPageBreak/>
        <w:t>reposo en la escala logarítmica.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Se observan violines amplios en ciertas condiciones, indicando mayor variabilidad, y colas que sugieren valores atípicos.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C4 presenta diferencias moderadas entre condiciones, comparables a C3, con variabilidad notable en la forma de las distribuciones.</w:t>
      </w:r>
    </w:p>
    <w:p w14:paraId="69B291BA" w14:textId="5C33733D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028D794C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Conclusión visual rápida</w:t>
      </w:r>
    </w:p>
    <w:p w14:paraId="4253736E" w14:textId="725E8976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En las tres ubicaciones hay diferencias visuales moderadas entre condiciones en términos de posición de la mediana, anchura de la distribución y asimetría.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parece mostrar mayor homogeneidad entre condiciones, mientras que C3 y C4 exhiben variaciones más marcadas en dispersión y colas. Visualmente se aprecian patrones que justifican un análisis estadístico posterior para confirmar si las diferencias son significativas.</w:t>
      </w:r>
    </w:p>
    <w:p w14:paraId="49EED4D2" w14:textId="2210CBE3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drawing>
          <wp:inline distT="0" distB="0" distL="0" distR="0" wp14:anchorId="796A7AAF" wp14:editId="210C1F71">
            <wp:extent cx="5612130" cy="2922270"/>
            <wp:effectExtent l="0" t="0" r="7620" b="0"/>
            <wp:docPr id="179736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5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E2C3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Descripción general de la figura</w:t>
      </w:r>
    </w:p>
    <w:p w14:paraId="125508F1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La figura muestra dos </w:t>
      </w:r>
      <w:proofErr w:type="spellStart"/>
      <w:r w:rsidRPr="00156119">
        <w:rPr>
          <w:rFonts w:ascii="Times New Roman" w:hAnsi="Times New Roman" w:cs="Times New Roman"/>
        </w:rPr>
        <w:t>violin</w:t>
      </w:r>
      <w:proofErr w:type="spellEnd"/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plots</w:t>
      </w:r>
      <w:proofErr w:type="spellEnd"/>
      <w:r w:rsidRPr="00156119">
        <w:rPr>
          <w:rFonts w:ascii="Times New Roman" w:hAnsi="Times New Roman" w:cs="Times New Roman"/>
        </w:rPr>
        <w:t xml:space="preserve"> que representan la distribución del ERD en banda μ para dos electrodos: ERD_Mu_C3 y ERD_Mu_C4. El eje vertical está en valor absoluto (rango aproximado 0–1300) y el eje horizontal contiene las cinco condiciones: Reposo, </w:t>
      </w:r>
      <w:proofErr w:type="spellStart"/>
      <w:r w:rsidRPr="00156119">
        <w:rPr>
          <w:rFonts w:ascii="Times New Roman" w:hAnsi="Times New Roman" w:cs="Times New Roman"/>
        </w:rPr>
        <w:t>Imag_Izquierda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Imag_Derecha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Mov_Izquierda</w:t>
      </w:r>
      <w:proofErr w:type="spellEnd"/>
      <w:r w:rsidRPr="00156119">
        <w:rPr>
          <w:rFonts w:ascii="Times New Roman" w:hAnsi="Times New Roman" w:cs="Times New Roman"/>
        </w:rPr>
        <w:t xml:space="preserve"> y </w:t>
      </w:r>
      <w:proofErr w:type="spellStart"/>
      <w:r w:rsidRPr="00156119">
        <w:rPr>
          <w:rFonts w:ascii="Times New Roman" w:hAnsi="Times New Roman" w:cs="Times New Roman"/>
        </w:rPr>
        <w:t>Mov_Derecha</w:t>
      </w:r>
      <w:proofErr w:type="spellEnd"/>
      <w:r w:rsidRPr="00156119">
        <w:rPr>
          <w:rFonts w:ascii="Times New Roman" w:hAnsi="Times New Roman" w:cs="Times New Roman"/>
        </w:rPr>
        <w:t>. Cada condición aparece con un color distinto y cada violín muestra la densidad, la dispersión y la presencia de colas o modos múltiples de los valores.</w:t>
      </w:r>
    </w:p>
    <w:p w14:paraId="6344BE92" w14:textId="3CD8D316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F4FC9A5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ERD_Mu_C3</w:t>
      </w:r>
    </w:p>
    <w:p w14:paraId="12F79A48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lastRenderedPageBreak/>
        <w:t>Aspecto general:</w:t>
      </w:r>
      <w:r w:rsidRPr="00156119">
        <w:rPr>
          <w:rFonts w:ascii="Times New Roman" w:hAnsi="Times New Roman" w:cs="Times New Roman"/>
        </w:rPr>
        <w:t xml:space="preserve"> Los cinco violines presentan formas y anchuras distintas, indicando variabilidad entre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observan desplazamientos de la tendencia central entre condiciones; algunas tareas motoras o de imaginación muestran medianas más altas o bajas respecto a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Hay condiciones con distribuciones más concentradas y otras con violines más anchos y colas pronunciadas, lo que sugiere mayor variabilidad y posibles valores atípicos en ciertos ensayos.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C3 muestra diferencias visuales claras en dispersión entre condiciones, aunque no todas las diferencias son extremas.</w:t>
      </w:r>
    </w:p>
    <w:p w14:paraId="3FE67FBE" w14:textId="6526CA5B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08BF6FB9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ERD_Mu_C4</w:t>
      </w:r>
    </w:p>
    <w:p w14:paraId="332DBB90" w14:textId="77777777" w:rsidR="004253E2" w:rsidRPr="00156119" w:rsidRDefault="004253E2" w:rsidP="00156119">
      <w:pPr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Las distribuciones en C4 también varían entre condiciones, con patrones de anchura y forma comparables a C3 pero con matices propios.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Algunas condiciones de movimiento o imaginación presentan medianas desplazadas respecto a reposo; el patrón exacto difiere ligeramente de C3.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Se observan violines amplios en ciertas condiciones y distribuciones más estrechas en otras; aparecen colas que indican valores extremos en algunos casos.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C4 muestra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 xml:space="preserve"> moderada, con diferencias en forma y dispersión que merecen comparación directa con C3.</w:t>
      </w:r>
    </w:p>
    <w:p w14:paraId="7C81555B" w14:textId="1C2DFD52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08B4804B" w14:textId="73CF786A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Conclusión visual</w:t>
      </w:r>
    </w:p>
    <w:p w14:paraId="5310CF9C" w14:textId="1F2B8CF4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Ambos electrodos presentan diferencias visuales moderadas entre condiciones en términos de posición de la mediana, anchura de la distribución y asimetría. C3 y C4 comparten patrones </w:t>
      </w:r>
      <w:proofErr w:type="gramStart"/>
      <w:r w:rsidRPr="00156119">
        <w:rPr>
          <w:rFonts w:ascii="Times New Roman" w:hAnsi="Times New Roman" w:cs="Times New Roman"/>
        </w:rPr>
        <w:t>generales</w:t>
      </w:r>
      <w:proofErr w:type="gramEnd"/>
      <w:r w:rsidRPr="00156119">
        <w:rPr>
          <w:rFonts w:ascii="Times New Roman" w:hAnsi="Times New Roman" w:cs="Times New Roman"/>
        </w:rPr>
        <w:t xml:space="preserve"> pero difieren en detalles de dispersión y colas; estas observaciones justifican un análisis estadístico para determinar si las diferencias son significativas.</w:t>
      </w:r>
    </w:p>
    <w:p w14:paraId="5F28F5BE" w14:textId="77777777" w:rsidR="005D48A0" w:rsidRPr="00156119" w:rsidRDefault="005D48A0" w:rsidP="00156119">
      <w:pPr>
        <w:jc w:val="both"/>
        <w:rPr>
          <w:rFonts w:ascii="Times New Roman" w:hAnsi="Times New Roman" w:cs="Times New Roman"/>
        </w:rPr>
      </w:pPr>
    </w:p>
    <w:p w14:paraId="6B3E3D00" w14:textId="67B8C424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49887F" wp14:editId="4985319E">
            <wp:extent cx="5612130" cy="1941195"/>
            <wp:effectExtent l="0" t="0" r="7620" b="1905"/>
            <wp:docPr id="5998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143E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Descripción general de la figura</w:t>
      </w:r>
    </w:p>
    <w:p w14:paraId="3C906F55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La figura muestra tres </w:t>
      </w:r>
      <w:proofErr w:type="spellStart"/>
      <w:r w:rsidRPr="00156119">
        <w:rPr>
          <w:rFonts w:ascii="Times New Roman" w:hAnsi="Times New Roman" w:cs="Times New Roman"/>
        </w:rPr>
        <w:t>violin</w:t>
      </w:r>
      <w:proofErr w:type="spellEnd"/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plots</w:t>
      </w:r>
      <w:proofErr w:type="spellEnd"/>
      <w:r w:rsidRPr="00156119">
        <w:rPr>
          <w:rFonts w:ascii="Times New Roman" w:hAnsi="Times New Roman" w:cs="Times New Roman"/>
        </w:rPr>
        <w:t xml:space="preserve"> que representan la entropía espectral en tres electrodos: Entropy_C3, </w:t>
      </w:r>
      <w:proofErr w:type="spellStart"/>
      <w:r w:rsidRPr="00156119">
        <w:rPr>
          <w:rFonts w:ascii="Times New Roman" w:hAnsi="Times New Roman" w:cs="Times New Roman"/>
        </w:rPr>
        <w:t>Entropy_Cz</w:t>
      </w:r>
      <w:proofErr w:type="spellEnd"/>
      <w:r w:rsidRPr="00156119">
        <w:rPr>
          <w:rFonts w:ascii="Times New Roman" w:hAnsi="Times New Roman" w:cs="Times New Roman"/>
        </w:rPr>
        <w:t xml:space="preserve"> y Entropy_C4. El eje vertical indica el valor de entropía (aprox. 0.4–0.8) y el eje horizontal contiene las cinco condiciones: Reposo, </w:t>
      </w:r>
      <w:proofErr w:type="spellStart"/>
      <w:r w:rsidRPr="00156119">
        <w:rPr>
          <w:rFonts w:ascii="Times New Roman" w:hAnsi="Times New Roman" w:cs="Times New Roman"/>
        </w:rPr>
        <w:t>Imag_Izquierda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Imag_Derecha</w:t>
      </w:r>
      <w:proofErr w:type="spellEnd"/>
      <w:r w:rsidRPr="00156119">
        <w:rPr>
          <w:rFonts w:ascii="Times New Roman" w:hAnsi="Times New Roman" w:cs="Times New Roman"/>
        </w:rPr>
        <w:t xml:space="preserve">, </w:t>
      </w:r>
      <w:proofErr w:type="spellStart"/>
      <w:r w:rsidRPr="00156119">
        <w:rPr>
          <w:rFonts w:ascii="Times New Roman" w:hAnsi="Times New Roman" w:cs="Times New Roman"/>
        </w:rPr>
        <w:t>Mov_Izquierda</w:t>
      </w:r>
      <w:proofErr w:type="spellEnd"/>
      <w:r w:rsidRPr="00156119">
        <w:rPr>
          <w:rFonts w:ascii="Times New Roman" w:hAnsi="Times New Roman" w:cs="Times New Roman"/>
        </w:rPr>
        <w:t xml:space="preserve"> y </w:t>
      </w:r>
      <w:proofErr w:type="spellStart"/>
      <w:r w:rsidRPr="00156119">
        <w:rPr>
          <w:rFonts w:ascii="Times New Roman" w:hAnsi="Times New Roman" w:cs="Times New Roman"/>
        </w:rPr>
        <w:t>Mov_Derecha</w:t>
      </w:r>
      <w:proofErr w:type="spellEnd"/>
      <w:r w:rsidRPr="00156119">
        <w:rPr>
          <w:rFonts w:ascii="Times New Roman" w:hAnsi="Times New Roman" w:cs="Times New Roman"/>
        </w:rPr>
        <w:t>. Cada violín muestra la densidad y dispersión de los valores por condición, permitiendo comparar forma, anchura y posibles colas o modos múltiples entre condiciones y electrodos.</w:t>
      </w:r>
    </w:p>
    <w:p w14:paraId="0C0BDD6F" w14:textId="794B6248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3E3A9EBA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Entropy_C3</w:t>
      </w:r>
    </w:p>
    <w:p w14:paraId="69E81046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Los violines en C3 presentan variaciones en anchura entre condiciones, con algunas distribuciones más concentradas y otras más extendidas.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observan desplazamientos modestos de la mediana entre condiciones; ciertas tareas motoras o de imaginación parecen situarse ligeramente por encima o por debajo de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Hay condiciones con colas más largas y asimetría leve, lo que sugiere valores extremos en algunos ensayos.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C3 muestra diferencias visuales sutiles pero perceptibles en dispersión y posición central entre condiciones.</w:t>
      </w:r>
    </w:p>
    <w:p w14:paraId="06C52AF2" w14:textId="41685ECD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50D2D66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56119">
        <w:rPr>
          <w:rFonts w:ascii="Times New Roman" w:hAnsi="Times New Roman" w:cs="Times New Roman"/>
          <w:b/>
          <w:bCs/>
        </w:rPr>
        <w:t>Entropy_Cz</w:t>
      </w:r>
      <w:proofErr w:type="spellEnd"/>
    </w:p>
    <w:p w14:paraId="759397B0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En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las distribuciones tienden a ser más homogéneas entre condiciones, con violines de anchura relativamente similar.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Las medianas están más próximas entre sí que en C3 y C4, indicando menor variación central entre reposo, imaginación y movimiento.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Aparecen pequeñas diferencias en asimetría y colas, pero en general la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 xml:space="preserve"> es reducida.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lastRenderedPageBreak/>
        <w:t>Impresión visual: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sugiere estabilidad de la entropía espectral a lo largo de las condiciones comparado con los electrodos laterales.</w:t>
      </w:r>
    </w:p>
    <w:p w14:paraId="3A2F41E2" w14:textId="5C09C413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41FF5A30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Entropy_C4</w:t>
      </w:r>
    </w:p>
    <w:p w14:paraId="7C33AA2B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C4 muestra patrones parecidos a C3, con variaciones en la anchura de los violines según la condición.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aprecian desplazamientos de la mediana entre condiciones; algunas tareas motoras o de imaginación se sitúan ligeramente por encima o por debajo de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Existen violines más amplios y colas que indican mayor variabilidad y posibles valores atípicos en ciertas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C4 presenta diferencias moderadas entre condiciones, comparables a las observadas en C3.</w:t>
      </w:r>
    </w:p>
    <w:p w14:paraId="65141F71" w14:textId="7DB3F26D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0071A93" w14:textId="7015CCC2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Conclusión visual</w:t>
      </w:r>
    </w:p>
    <w:p w14:paraId="3B936227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En los tres electrodos se observan diferencias visuales moderadas en entropía espectral entre condiciones, principalmente en dispersión y posición de la mediana. </w:t>
      </w:r>
      <w:proofErr w:type="spellStart"/>
      <w:r w:rsidRPr="00156119">
        <w:rPr>
          <w:rFonts w:ascii="Times New Roman" w:hAnsi="Times New Roman" w:cs="Times New Roman"/>
        </w:rPr>
        <w:t>Cz</w:t>
      </w:r>
      <w:proofErr w:type="spellEnd"/>
      <w:r w:rsidRPr="00156119">
        <w:rPr>
          <w:rFonts w:ascii="Times New Roman" w:hAnsi="Times New Roman" w:cs="Times New Roman"/>
        </w:rPr>
        <w:t xml:space="preserve"> muestra mayor homogeneidad entre condiciones, mientras que C3 y C4 exhiben variabilidad más marcada y colas que sugieren valores extremos. Estas observaciones son visuales; para confirmar si las diferencias son significativas conviene realizar pruebas estadísticas.</w:t>
      </w:r>
    </w:p>
    <w:p w14:paraId="028FA98A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32316818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CB12513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71F47C0F" w14:textId="273406CC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drawing>
          <wp:inline distT="0" distB="0" distL="0" distR="0" wp14:anchorId="11F57A8E" wp14:editId="31946D2C">
            <wp:extent cx="5612130" cy="1941195"/>
            <wp:effectExtent l="0" t="0" r="7620" b="1905"/>
            <wp:docPr id="175300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4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4FB3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Hjorth </w:t>
      </w:r>
      <w:proofErr w:type="spellStart"/>
      <w:r w:rsidRPr="00156119">
        <w:rPr>
          <w:rFonts w:ascii="Times New Roman" w:hAnsi="Times New Roman" w:cs="Times New Roman"/>
          <w:b/>
          <w:bCs/>
        </w:rPr>
        <w:t>Activity</w:t>
      </w:r>
      <w:proofErr w:type="spellEnd"/>
      <w:r w:rsidRPr="00156119">
        <w:rPr>
          <w:rFonts w:ascii="Times New Roman" w:hAnsi="Times New Roman" w:cs="Times New Roman"/>
          <w:b/>
          <w:bCs/>
        </w:rPr>
        <w:t xml:space="preserve"> C3</w:t>
      </w:r>
    </w:p>
    <w:p w14:paraId="50137179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lastRenderedPageBreak/>
        <w:t>Aspecto general:</w:t>
      </w:r>
      <w:r w:rsidRPr="00156119">
        <w:rPr>
          <w:rFonts w:ascii="Times New Roman" w:hAnsi="Times New Roman" w:cs="Times New Roman"/>
        </w:rPr>
        <w:t xml:space="preserve"> Las distribuciones en escala logarítmica muestran diferencias en anchura y forma entre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Algunas condiciones (movimiento o imaginación) presentan medianas desplazadas respecto a reposo; los desplazamientos son visibles pero no extremos.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colas:</w:t>
      </w:r>
      <w:r w:rsidRPr="00156119">
        <w:rPr>
          <w:rFonts w:ascii="Times New Roman" w:hAnsi="Times New Roman" w:cs="Times New Roman"/>
        </w:rPr>
        <w:t xml:space="preserve"> Se observan violines con colas más largas y otros más compactos, indicando mayor variabilidad y posibles valores atípicos en ciertas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Activity</w:t>
      </w:r>
      <w:proofErr w:type="spellEnd"/>
      <w:r w:rsidRPr="00156119">
        <w:rPr>
          <w:rFonts w:ascii="Times New Roman" w:hAnsi="Times New Roman" w:cs="Times New Roman"/>
        </w:rPr>
        <w:t xml:space="preserve"> sugiere cambios en la energía del canal C3 entre tareas, con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 xml:space="preserve"> moderada.</w:t>
      </w:r>
    </w:p>
    <w:p w14:paraId="14F51B15" w14:textId="35EA41DC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1A1CAC3A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Hjorth </w:t>
      </w:r>
      <w:proofErr w:type="spellStart"/>
      <w:r w:rsidRPr="00156119">
        <w:rPr>
          <w:rFonts w:ascii="Times New Roman" w:hAnsi="Times New Roman" w:cs="Times New Roman"/>
          <w:b/>
          <w:bCs/>
        </w:rPr>
        <w:t>Mobility</w:t>
      </w:r>
      <w:proofErr w:type="spellEnd"/>
      <w:r w:rsidRPr="00156119">
        <w:rPr>
          <w:rFonts w:ascii="Times New Roman" w:hAnsi="Times New Roman" w:cs="Times New Roman"/>
          <w:b/>
          <w:bCs/>
        </w:rPr>
        <w:t xml:space="preserve"> C3</w:t>
      </w:r>
    </w:p>
    <w:p w14:paraId="5907FE5E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Mobility</w:t>
      </w:r>
      <w:proofErr w:type="spellEnd"/>
      <w:r w:rsidRPr="00156119">
        <w:rPr>
          <w:rFonts w:ascii="Times New Roman" w:hAnsi="Times New Roman" w:cs="Times New Roman"/>
        </w:rPr>
        <w:t xml:space="preserve"> muestra variaciones en la anchura de las distribuciones entre condiciones, con diferencias más marcadas en algunos pares.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Las medianas están relativamente cercanas en general, aunque ciertas condiciones motoras pueden situarse ligeramente por encima o por debajo de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asimetría:</w:t>
      </w:r>
      <w:r w:rsidRPr="00156119">
        <w:rPr>
          <w:rFonts w:ascii="Times New Roman" w:hAnsi="Times New Roman" w:cs="Times New Roman"/>
        </w:rPr>
        <w:t xml:space="preserve"> Hay condiciones con distribuciones más concentradas y otras con mayor dispersión; aparecen asimetrías que indican sesgo en la densidad.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Mobility</w:t>
      </w:r>
      <w:proofErr w:type="spellEnd"/>
      <w:r w:rsidRPr="00156119">
        <w:rPr>
          <w:rFonts w:ascii="Times New Roman" w:hAnsi="Times New Roman" w:cs="Times New Roman"/>
        </w:rPr>
        <w:t xml:space="preserve"> refleja cambios en la frecuencia dominante del señal EEG entre condiciones, pero las diferencias centrales son moderadas.</w:t>
      </w:r>
    </w:p>
    <w:p w14:paraId="22B63910" w14:textId="0E26878B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43B7D748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Hjorth </w:t>
      </w:r>
      <w:proofErr w:type="spellStart"/>
      <w:r w:rsidRPr="00156119">
        <w:rPr>
          <w:rFonts w:ascii="Times New Roman" w:hAnsi="Times New Roman" w:cs="Times New Roman"/>
          <w:b/>
          <w:bCs/>
        </w:rPr>
        <w:t>Complexity</w:t>
      </w:r>
      <w:proofErr w:type="spellEnd"/>
      <w:r w:rsidRPr="00156119">
        <w:rPr>
          <w:rFonts w:ascii="Times New Roman" w:hAnsi="Times New Roman" w:cs="Times New Roman"/>
          <w:b/>
          <w:bCs/>
        </w:rPr>
        <w:t xml:space="preserve"> C3</w:t>
      </w:r>
    </w:p>
    <w:p w14:paraId="7ECAAF08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Complexity</w:t>
      </w:r>
      <w:proofErr w:type="spellEnd"/>
      <w:r w:rsidRPr="00156119">
        <w:rPr>
          <w:rFonts w:ascii="Times New Roman" w:hAnsi="Times New Roman" w:cs="Times New Roman"/>
        </w:rPr>
        <w:t xml:space="preserve"> presenta variaciones en forma y amplitud entre las cinco condiciones, con algunos violines notablemente más anchos.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aprecian desplazamientos de la mediana entre tareas de imaginación y movimiento respecto a reposo, aunque no todos son grandes.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colas:</w:t>
      </w:r>
      <w:r w:rsidRPr="00156119">
        <w:rPr>
          <w:rFonts w:ascii="Times New Roman" w:hAnsi="Times New Roman" w:cs="Times New Roman"/>
        </w:rPr>
        <w:t xml:space="preserve"> Existen colas y asimetrías que sugieren valores extremos en determinadas condiciones; la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 xml:space="preserve"> es visible.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</w:t>
      </w:r>
      <w:proofErr w:type="spellStart"/>
      <w:r w:rsidRPr="00156119">
        <w:rPr>
          <w:rFonts w:ascii="Times New Roman" w:hAnsi="Times New Roman" w:cs="Times New Roman"/>
        </w:rPr>
        <w:t>Complexity</w:t>
      </w:r>
      <w:proofErr w:type="spellEnd"/>
      <w:r w:rsidRPr="00156119">
        <w:rPr>
          <w:rFonts w:ascii="Times New Roman" w:hAnsi="Times New Roman" w:cs="Times New Roman"/>
        </w:rPr>
        <w:t xml:space="preserve"> indica cambios en la estructura temporal de la señal según la tarea, con diferencias visuales moderadas que merecen cuantificación.</w:t>
      </w:r>
    </w:p>
    <w:p w14:paraId="40A9C9DB" w14:textId="0E71387F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4CB1AB74" w14:textId="76ED736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Conclusión visual </w:t>
      </w:r>
    </w:p>
    <w:p w14:paraId="79819064" w14:textId="28912034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 xml:space="preserve">En C3 los tres parámetros de Hjorth muestran diferencias visuales moderadas entre condiciones en términos de posición de la mediana, anchura de la distribución y asimetría. </w:t>
      </w:r>
      <w:proofErr w:type="spellStart"/>
      <w:r w:rsidRPr="00156119">
        <w:rPr>
          <w:rFonts w:ascii="Times New Roman" w:hAnsi="Times New Roman" w:cs="Times New Roman"/>
        </w:rPr>
        <w:t>Activity</w:t>
      </w:r>
      <w:proofErr w:type="spellEnd"/>
      <w:r w:rsidRPr="00156119">
        <w:rPr>
          <w:rFonts w:ascii="Times New Roman" w:hAnsi="Times New Roman" w:cs="Times New Roman"/>
        </w:rPr>
        <w:t xml:space="preserve"> (en escala logarítmica) resalta variaciones en energía, mientras que </w:t>
      </w:r>
      <w:proofErr w:type="spellStart"/>
      <w:r w:rsidRPr="00156119">
        <w:rPr>
          <w:rFonts w:ascii="Times New Roman" w:hAnsi="Times New Roman" w:cs="Times New Roman"/>
        </w:rPr>
        <w:t>Mobility</w:t>
      </w:r>
      <w:proofErr w:type="spellEnd"/>
      <w:r w:rsidRPr="00156119">
        <w:rPr>
          <w:rFonts w:ascii="Times New Roman" w:hAnsi="Times New Roman" w:cs="Times New Roman"/>
        </w:rPr>
        <w:t xml:space="preserve"> y </w:t>
      </w:r>
      <w:proofErr w:type="spellStart"/>
      <w:r w:rsidRPr="00156119">
        <w:rPr>
          <w:rFonts w:ascii="Times New Roman" w:hAnsi="Times New Roman" w:cs="Times New Roman"/>
        </w:rPr>
        <w:t>Complexity</w:t>
      </w:r>
      <w:proofErr w:type="spellEnd"/>
      <w:r w:rsidRPr="00156119">
        <w:rPr>
          <w:rFonts w:ascii="Times New Roman" w:hAnsi="Times New Roman" w:cs="Times New Roman"/>
        </w:rPr>
        <w:t xml:space="preserve"> reflejan cambios en la dinámica y la estructura temporal de la señal. Las </w:t>
      </w:r>
      <w:r w:rsidRPr="00156119">
        <w:rPr>
          <w:rFonts w:ascii="Times New Roman" w:hAnsi="Times New Roman" w:cs="Times New Roman"/>
        </w:rPr>
        <w:lastRenderedPageBreak/>
        <w:t>observaciones son visuales; para confirmar si las diferencias son estadísticamente significativas conviene realizar pruebas formales.</w:t>
      </w:r>
    </w:p>
    <w:p w14:paraId="1B645C38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433BBB7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461BD8D7" w14:textId="7DF34264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noProof/>
        </w:rPr>
        <w:drawing>
          <wp:inline distT="0" distB="0" distL="0" distR="0" wp14:anchorId="7846FE8B" wp14:editId="3FD606EB">
            <wp:extent cx="5612130" cy="2922270"/>
            <wp:effectExtent l="0" t="0" r="7620" b="0"/>
            <wp:docPr id="198823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8EA5" w14:textId="44943B1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7A501685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Coh Mu C3 C4</w:t>
      </w:r>
    </w:p>
    <w:p w14:paraId="6D7CF090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Las distribuciones en la banda μ presentan variaciones en anchura entre condiciones; algunos violines son estrechos y otros más anchos.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Se observan desplazamientos de la mediana entre condiciones; en ciertos casos las tareas motoras o de imaginación muestran medianas ligeramente superiores o inferiores a reposo.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colas:</w:t>
      </w:r>
      <w:r w:rsidRPr="00156119">
        <w:rPr>
          <w:rFonts w:ascii="Times New Roman" w:hAnsi="Times New Roman" w:cs="Times New Roman"/>
        </w:rPr>
        <w:t xml:space="preserve"> Aparecen colas y asimetrías en algunas condiciones, lo que sugiere valores atípicos o mayor variabilidad en ensayos concretos.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La coherencia μ entre C3 y C4 muestra diferencias visuales moderadas entre condiciones, sin cambios extremos pero con patrones que podrían indicar modulación por tarea.</w:t>
      </w:r>
    </w:p>
    <w:p w14:paraId="6D25B514" w14:textId="628D29FA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5AA0A857" w14:textId="77777777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>Coh Beta C3 C4</w:t>
      </w:r>
    </w:p>
    <w:p w14:paraId="6066F6FB" w14:textId="77777777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  <w:b/>
          <w:bCs/>
        </w:rPr>
        <w:t>Aspecto general:</w:t>
      </w:r>
      <w:r w:rsidRPr="00156119">
        <w:rPr>
          <w:rFonts w:ascii="Times New Roman" w:hAnsi="Times New Roman" w:cs="Times New Roman"/>
        </w:rPr>
        <w:t xml:space="preserve"> En la banda β también se aprecian diferencias en la forma y anchura de los violines entre condiciones.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Mediana y tendencia central:</w:t>
      </w:r>
      <w:r w:rsidRPr="00156119">
        <w:rPr>
          <w:rFonts w:ascii="Times New Roman" w:hAnsi="Times New Roman" w:cs="Times New Roman"/>
        </w:rPr>
        <w:t xml:space="preserve"> Las medianas pueden desplazarse respecto a reposo para </w:t>
      </w:r>
      <w:r w:rsidRPr="00156119">
        <w:rPr>
          <w:rFonts w:ascii="Times New Roman" w:hAnsi="Times New Roman" w:cs="Times New Roman"/>
        </w:rPr>
        <w:lastRenderedPageBreak/>
        <w:t>ciertas condiciones de movimiento o imaginación; los cambios son visibles pero no uniformes.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Dispersión y colas:</w:t>
      </w:r>
      <w:r w:rsidRPr="00156119">
        <w:rPr>
          <w:rFonts w:ascii="Times New Roman" w:hAnsi="Times New Roman" w:cs="Times New Roman"/>
        </w:rPr>
        <w:t xml:space="preserve"> Algunas condiciones presentan mayor dispersión y colas más largas, indicando variabilidad y posibles valores extremos.</w:t>
      </w:r>
      <w:r w:rsidRPr="00156119">
        <w:rPr>
          <w:rFonts w:ascii="Times New Roman" w:hAnsi="Times New Roman" w:cs="Times New Roman"/>
        </w:rPr>
        <w:br/>
      </w:r>
      <w:r w:rsidRPr="00156119">
        <w:rPr>
          <w:rFonts w:ascii="Times New Roman" w:hAnsi="Times New Roman" w:cs="Times New Roman"/>
          <w:b/>
          <w:bCs/>
        </w:rPr>
        <w:t>Impresión visual:</w:t>
      </w:r>
      <w:r w:rsidRPr="00156119">
        <w:rPr>
          <w:rFonts w:ascii="Times New Roman" w:hAnsi="Times New Roman" w:cs="Times New Roman"/>
        </w:rPr>
        <w:t xml:space="preserve"> La coherencia β entre C3 y C4 muestra variabilidad </w:t>
      </w:r>
      <w:proofErr w:type="spellStart"/>
      <w:r w:rsidRPr="00156119">
        <w:rPr>
          <w:rFonts w:ascii="Times New Roman" w:hAnsi="Times New Roman" w:cs="Times New Roman"/>
        </w:rPr>
        <w:t>intercondicional</w:t>
      </w:r>
      <w:proofErr w:type="spellEnd"/>
      <w:r w:rsidRPr="00156119">
        <w:rPr>
          <w:rFonts w:ascii="Times New Roman" w:hAnsi="Times New Roman" w:cs="Times New Roman"/>
        </w:rPr>
        <w:t xml:space="preserve"> comparable a la banda μ, con diferencias moderadas que merecen cuantificación.</w:t>
      </w:r>
    </w:p>
    <w:p w14:paraId="691DF22B" w14:textId="5C9059C6" w:rsidR="004253E2" w:rsidRPr="00156119" w:rsidRDefault="004253E2" w:rsidP="00156119">
      <w:pPr>
        <w:jc w:val="both"/>
        <w:rPr>
          <w:rFonts w:ascii="Times New Roman" w:hAnsi="Times New Roman" w:cs="Times New Roman"/>
        </w:rPr>
      </w:pPr>
    </w:p>
    <w:p w14:paraId="3CE0468B" w14:textId="0F43E255" w:rsidR="004253E2" w:rsidRPr="00156119" w:rsidRDefault="004253E2" w:rsidP="00156119">
      <w:pPr>
        <w:jc w:val="both"/>
        <w:rPr>
          <w:rFonts w:ascii="Times New Roman" w:hAnsi="Times New Roman" w:cs="Times New Roman"/>
          <w:b/>
          <w:bCs/>
        </w:rPr>
      </w:pPr>
      <w:r w:rsidRPr="00156119">
        <w:rPr>
          <w:rFonts w:ascii="Times New Roman" w:hAnsi="Times New Roman" w:cs="Times New Roman"/>
          <w:b/>
          <w:bCs/>
        </w:rPr>
        <w:t xml:space="preserve">Conclusión visual </w:t>
      </w:r>
    </w:p>
    <w:p w14:paraId="4C709917" w14:textId="5216E364" w:rsidR="00834292" w:rsidRPr="00156119" w:rsidRDefault="004253E2" w:rsidP="00156119">
      <w:pPr>
        <w:jc w:val="both"/>
        <w:rPr>
          <w:rFonts w:ascii="Times New Roman" w:hAnsi="Times New Roman" w:cs="Times New Roman"/>
        </w:rPr>
      </w:pPr>
      <w:r w:rsidRPr="00156119">
        <w:rPr>
          <w:rFonts w:ascii="Times New Roman" w:hAnsi="Times New Roman" w:cs="Times New Roman"/>
        </w:rPr>
        <w:t>Ambas bandas (μ y β) presentan diferencias visuales moderadas en coherencia entre condiciones en la conexión C3–C4, observables en la posición de la mediana, anchura de las distribuciones y asimetría/colas. No se aprecia un patrón único y consistente que afecte a todas las condiciones; algunas tareas muestran mayor coherencia o variabilidad que otras. Para determinar si estas diferencias son estadísticamente significativas conviene realizar pruebas formales, pero visualmente hay señales que justifican un análisis cuantitativo.</w:t>
      </w:r>
    </w:p>
    <w:sectPr w:rsidR="00834292" w:rsidRPr="00156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06B"/>
    <w:multiLevelType w:val="multilevel"/>
    <w:tmpl w:val="001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3878"/>
    <w:multiLevelType w:val="multilevel"/>
    <w:tmpl w:val="2F2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16AC"/>
    <w:multiLevelType w:val="multilevel"/>
    <w:tmpl w:val="E97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3678"/>
    <w:multiLevelType w:val="multilevel"/>
    <w:tmpl w:val="BFF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7D9B"/>
    <w:multiLevelType w:val="multilevel"/>
    <w:tmpl w:val="F5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12BD4"/>
    <w:multiLevelType w:val="multilevel"/>
    <w:tmpl w:val="2F9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F2393"/>
    <w:multiLevelType w:val="multilevel"/>
    <w:tmpl w:val="078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42E40"/>
    <w:multiLevelType w:val="multilevel"/>
    <w:tmpl w:val="240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142C7"/>
    <w:multiLevelType w:val="multilevel"/>
    <w:tmpl w:val="30D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413B6"/>
    <w:multiLevelType w:val="multilevel"/>
    <w:tmpl w:val="B03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E0B7C"/>
    <w:multiLevelType w:val="multilevel"/>
    <w:tmpl w:val="671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26301">
    <w:abstractNumId w:val="1"/>
  </w:num>
  <w:num w:numId="2" w16cid:durableId="2069063838">
    <w:abstractNumId w:val="2"/>
  </w:num>
  <w:num w:numId="3" w16cid:durableId="305089009">
    <w:abstractNumId w:val="6"/>
  </w:num>
  <w:num w:numId="4" w16cid:durableId="1575504909">
    <w:abstractNumId w:val="0"/>
  </w:num>
  <w:num w:numId="5" w16cid:durableId="838617642">
    <w:abstractNumId w:val="7"/>
  </w:num>
  <w:num w:numId="6" w16cid:durableId="1921712325">
    <w:abstractNumId w:val="10"/>
  </w:num>
  <w:num w:numId="7" w16cid:durableId="522212561">
    <w:abstractNumId w:val="5"/>
  </w:num>
  <w:num w:numId="8" w16cid:durableId="708913849">
    <w:abstractNumId w:val="4"/>
  </w:num>
  <w:num w:numId="9" w16cid:durableId="1526823861">
    <w:abstractNumId w:val="8"/>
  </w:num>
  <w:num w:numId="10" w16cid:durableId="462505260">
    <w:abstractNumId w:val="3"/>
  </w:num>
  <w:num w:numId="11" w16cid:durableId="1964727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3A"/>
    <w:rsid w:val="000D32D4"/>
    <w:rsid w:val="00156119"/>
    <w:rsid w:val="0034703A"/>
    <w:rsid w:val="00357CAA"/>
    <w:rsid w:val="003640C5"/>
    <w:rsid w:val="003A4F5F"/>
    <w:rsid w:val="004253E2"/>
    <w:rsid w:val="00504228"/>
    <w:rsid w:val="005D48A0"/>
    <w:rsid w:val="005F08F1"/>
    <w:rsid w:val="00796225"/>
    <w:rsid w:val="00834292"/>
    <w:rsid w:val="00AC24B4"/>
    <w:rsid w:val="00AE6808"/>
    <w:rsid w:val="00D60A9E"/>
    <w:rsid w:val="00E0623D"/>
    <w:rsid w:val="00E3198A"/>
    <w:rsid w:val="00EF7776"/>
    <w:rsid w:val="00FE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BC7B"/>
  <w15:chartTrackingRefBased/>
  <w15:docId w15:val="{BD40163D-C503-493A-B82B-816684B5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0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0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0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0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0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0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0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0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0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0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0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32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3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7F709-26C0-4E32-9DE3-AB48DEFA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2402</Words>
  <Characters>13211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HINCAPIE CARDONA</dc:creator>
  <cp:keywords/>
  <dc:description/>
  <cp:lastModifiedBy>JUAN ESTEBAN HINCAPIE CARDONA</cp:lastModifiedBy>
  <cp:revision>2</cp:revision>
  <dcterms:created xsi:type="dcterms:W3CDTF">2026-05-30T14:20:00Z</dcterms:created>
  <dcterms:modified xsi:type="dcterms:W3CDTF">2026-05-30T14:20:00Z</dcterms:modified>
</cp:coreProperties>
</file>