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Layout w:type="autofit"/>
        <w:tblCellMar>
          <w:top w:w="0" w:type="dxa"/>
          <w:left w:w="0" w:type="dxa"/>
          <w:bottom w:w="0" w:type="dxa"/>
          <w:right w:w="0" w:type="dxa"/>
        </w:tblCellMar>
      </w:tblPr>
      <w:tblGrid>
        <w:gridCol w:w="3511"/>
        <w:gridCol w:w="5777"/>
      </w:tblGrid>
      <w:tr w14:paraId="3F1B15A2">
        <w:tblPrEx>
          <w:tblCellMar>
            <w:top w:w="0" w:type="dxa"/>
            <w:left w:w="0" w:type="dxa"/>
            <w:bottom w:w="0" w:type="dxa"/>
            <w:right w:w="0" w:type="dxa"/>
          </w:tblCellMar>
        </w:tblPrEx>
        <w:trPr>
          <w:jc w:val="center"/>
        </w:trPr>
        <w:tc>
          <w:tcPr>
            <w:tcW w:w="3348" w:type="dxa"/>
            <w:tcMar>
              <w:top w:w="0" w:type="dxa"/>
              <w:left w:w="108" w:type="dxa"/>
              <w:bottom w:w="0" w:type="dxa"/>
              <w:right w:w="108" w:type="dxa"/>
            </w:tcMar>
          </w:tcPr>
          <w:p w14:paraId="28247B31">
            <w:pPr>
              <w:spacing w:before="120"/>
              <w:jc w:val="center"/>
              <w:rPr>
                <w:sz w:val="26"/>
                <w:szCs w:val="26"/>
              </w:rPr>
            </w:pPr>
            <w:r>
              <w:rPr>
                <w:b/>
                <w:bCs/>
                <w:sz w:val="26"/>
                <w:szCs w:val="26"/>
                <w:lang w:val="en-US" w:eastAsia="en-US"/>
              </w:rPr>
              <mc:AlternateContent>
                <mc:Choice Requires="wps">
                  <w:drawing>
                    <wp:anchor distT="0" distB="0" distL="114300" distR="114300" simplePos="0" relativeHeight="251659264" behindDoc="0" locked="0" layoutInCell="1" allowOverlap="1">
                      <wp:simplePos x="0" y="0"/>
                      <wp:positionH relativeFrom="column">
                        <wp:posOffset>702945</wp:posOffset>
                      </wp:positionH>
                      <wp:positionV relativeFrom="paragraph">
                        <wp:posOffset>495935</wp:posOffset>
                      </wp:positionV>
                      <wp:extent cx="612140" cy="0"/>
                      <wp:effectExtent l="0" t="0" r="16510" b="19050"/>
                      <wp:wrapNone/>
                      <wp:docPr id="1" name="AutoShape 2"/>
                      <wp:cNvGraphicFramePr/>
                      <a:graphic xmlns:a="http://schemas.openxmlformats.org/drawingml/2006/main">
                        <a:graphicData uri="http://schemas.microsoft.com/office/word/2010/wordprocessingShape">
                          <wps:wsp>
                            <wps:cNvCnPr/>
                            <wps:spPr>
                              <a:xfrm>
                                <a:off x="0" y="0"/>
                                <a:ext cx="61214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2" o:spid="_x0000_s1026" o:spt="32" type="#_x0000_t32" style="position:absolute;left:0pt;margin-left:55.35pt;margin-top:39.05pt;height:0pt;width:48.2pt;z-index:251659264;mso-width-relative:page;mso-height-relative:page;" filled="f" stroked="t" coordsize="21600,21600" o:gfxdata="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uqso/WAAAACQEAAA8AAAAA&#10;AAAAAQAgAAAAIgAAAGRycy9kb3ducmV2LnhtbFBLAQIUABQAAAAIAIdO4kBBzkmf3QEAAN8DAAAO&#10;AAAAAAAAAAEAIAAAACUBAABkcnMvZTJvRG9jLnhtbFBLBQYAAAAABgAGAFkBAAB0BQAAAAA=&#10;">
                      <v:fill on="f" focussize="0,0"/>
                      <v:stroke color="#000000" joinstyle="round"/>
                      <v:imagedata o:title=""/>
                      <o:lock v:ext="edit" aspectratio="f"/>
                    </v:shape>
                  </w:pict>
                </mc:Fallback>
              </mc:AlternateContent>
            </w:r>
            <w:r>
              <w:rPr>
                <w:b/>
                <w:bCs/>
                <w:sz w:val="26"/>
                <w:szCs w:val="26"/>
              </w:rPr>
              <w:t>HỘI ĐỒNG NHÂN DÂN</w:t>
            </w:r>
            <w:r>
              <w:rPr>
                <w:b/>
                <w:bCs/>
                <w:sz w:val="26"/>
                <w:szCs w:val="26"/>
              </w:rPr>
              <w:br w:type="textWrapping"/>
            </w:r>
            <w:r>
              <w:rPr>
                <w:b/>
                <w:bCs/>
                <w:sz w:val="26"/>
                <w:szCs w:val="26"/>
              </w:rPr>
              <w:t>TỈNH ĐỒNG THÁP</w:t>
            </w:r>
            <w:r>
              <w:rPr>
                <w:b/>
                <w:bCs/>
                <w:sz w:val="26"/>
                <w:szCs w:val="26"/>
              </w:rPr>
              <w:br w:type="textWrapping"/>
            </w:r>
          </w:p>
        </w:tc>
        <w:tc>
          <w:tcPr>
            <w:tcW w:w="5508" w:type="dxa"/>
            <w:tcMar>
              <w:top w:w="0" w:type="dxa"/>
              <w:left w:w="108" w:type="dxa"/>
              <w:bottom w:w="0" w:type="dxa"/>
              <w:right w:w="108" w:type="dxa"/>
            </w:tcMar>
          </w:tcPr>
          <w:p w14:paraId="4A79A5E8">
            <w:pPr>
              <w:spacing w:before="120"/>
              <w:jc w:val="center"/>
              <w:rPr>
                <w:sz w:val="26"/>
                <w:szCs w:val="26"/>
              </w:rPr>
            </w:pPr>
            <w:r>
              <w:rPr>
                <w:b/>
                <w:bCs/>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654050</wp:posOffset>
                      </wp:positionH>
                      <wp:positionV relativeFrom="paragraph">
                        <wp:posOffset>485140</wp:posOffset>
                      </wp:positionV>
                      <wp:extent cx="2180590" cy="0"/>
                      <wp:effectExtent l="0" t="0" r="10160" b="19050"/>
                      <wp:wrapNone/>
                      <wp:docPr id="2" name="AutoShape 3"/>
                      <wp:cNvGraphicFramePr/>
                      <a:graphic xmlns:a="http://schemas.openxmlformats.org/drawingml/2006/main">
                        <a:graphicData uri="http://schemas.microsoft.com/office/word/2010/wordprocessingShape">
                          <wps:wsp>
                            <wps:cNvCnPr/>
                            <wps:spPr>
                              <a:xfrm>
                                <a:off x="0" y="0"/>
                                <a:ext cx="218059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3" o:spid="_x0000_s1026" o:spt="32" type="#_x0000_t32" style="position:absolute;left:0pt;margin-left:51.5pt;margin-top:38.2pt;height:0pt;width:171.7pt;z-index:251660288;mso-width-relative:page;mso-height-relative:page;" filled="f" stroked="t" coordsize="21600,21600" o:gfxdata="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raCivXAAAACQEAAA8A&#10;AAAAAAAAAQAgAAAAIgAAAGRycy9kb3ducmV2LnhtbFBLAQIUABQAAAAIAIdO4kC9/Y+z3wEAAOAD&#10;AAAOAAAAAAAAAAEAIAAAACYBAABkcnMvZTJvRG9jLnhtbFBLBQYAAAAABgAGAFkBAAB3BQAAAAA=&#10;">
                      <v:fill on="f" focussize="0,0"/>
                      <v:stroke color="#000000" joinstyle="round"/>
                      <v:imagedata o:title=""/>
                      <o:lock v:ext="edit" aspectratio="f"/>
                    </v:shape>
                  </w:pict>
                </mc:Fallback>
              </mc:AlternateContent>
            </w:r>
            <w:r>
              <w:rPr>
                <w:b/>
                <w:bCs/>
                <w:sz w:val="26"/>
                <w:szCs w:val="26"/>
              </w:rPr>
              <w:t>CỘNG HÒA XÃ HỘI CHỦ NGHĨA VIỆT NAM</w:t>
            </w:r>
            <w:r>
              <w:rPr>
                <w:b/>
                <w:bCs/>
                <w:sz w:val="26"/>
                <w:szCs w:val="26"/>
              </w:rPr>
              <w:br w:type="textWrapping"/>
            </w:r>
            <w:r>
              <w:rPr>
                <w:b/>
                <w:bCs/>
                <w:sz w:val="28"/>
                <w:szCs w:val="28"/>
              </w:rPr>
              <w:t>Độc lập - Tự do - Hạnh phúc</w:t>
            </w:r>
            <w:r>
              <w:rPr>
                <w:b/>
                <w:bCs/>
                <w:sz w:val="26"/>
                <w:szCs w:val="26"/>
              </w:rPr>
              <w:t xml:space="preserve"> </w:t>
            </w:r>
            <w:r>
              <w:rPr>
                <w:b/>
                <w:bCs/>
                <w:sz w:val="26"/>
                <w:szCs w:val="26"/>
              </w:rPr>
              <w:br w:type="textWrapping"/>
            </w:r>
          </w:p>
        </w:tc>
      </w:tr>
      <w:tr w14:paraId="0EB74F53">
        <w:tblPrEx>
          <w:tblCellMar>
            <w:top w:w="0" w:type="dxa"/>
            <w:left w:w="0" w:type="dxa"/>
            <w:bottom w:w="0" w:type="dxa"/>
            <w:right w:w="0" w:type="dxa"/>
          </w:tblCellMar>
        </w:tblPrEx>
        <w:trPr>
          <w:jc w:val="center"/>
        </w:trPr>
        <w:tc>
          <w:tcPr>
            <w:tcW w:w="3348" w:type="dxa"/>
            <w:tcMar>
              <w:top w:w="0" w:type="dxa"/>
              <w:left w:w="108" w:type="dxa"/>
              <w:bottom w:w="0" w:type="dxa"/>
              <w:right w:w="108" w:type="dxa"/>
            </w:tcMar>
          </w:tcPr>
          <w:p w14:paraId="168DBC8B">
            <w:pPr>
              <w:spacing w:before="120"/>
              <w:jc w:val="center"/>
            </w:pPr>
            <w:r>
              <w:rPr>
                <w:sz w:val="26"/>
                <w:szCs w:val="26"/>
              </w:rPr>
              <w:t xml:space="preserve">Số:        /2025/NQ-HĐND </w:t>
            </w:r>
          </w:p>
        </w:tc>
        <w:tc>
          <w:tcPr>
            <w:tcW w:w="5508" w:type="dxa"/>
            <w:tcMar>
              <w:top w:w="0" w:type="dxa"/>
              <w:left w:w="108" w:type="dxa"/>
              <w:bottom w:w="0" w:type="dxa"/>
              <w:right w:w="108" w:type="dxa"/>
            </w:tcMar>
          </w:tcPr>
          <w:p w14:paraId="2F1208DF">
            <w:pPr>
              <w:spacing w:before="120"/>
              <w:jc w:val="center"/>
              <w:rPr>
                <w:sz w:val="26"/>
                <w:szCs w:val="26"/>
              </w:rPr>
            </w:pPr>
            <w:r>
              <w:rPr>
                <w:i/>
                <w:iCs/>
                <w:sz w:val="28"/>
                <w:szCs w:val="26"/>
              </w:rPr>
              <w:t>Đồng Tháp, ngày 04 tháng 11 năm 2025</w:t>
            </w:r>
          </w:p>
        </w:tc>
      </w:tr>
    </w:tbl>
    <w:p w14:paraId="00AD0A1C">
      <w:pPr>
        <w:jc w:val="center"/>
        <w:rPr>
          <w:b/>
          <w:bCs/>
          <w:sz w:val="28"/>
          <w:szCs w:val="28"/>
        </w:rPr>
      </w:pPr>
    </w:p>
    <w:p w14:paraId="67AB72EB">
      <w:pPr>
        <w:jc w:val="center"/>
        <w:rPr>
          <w:b/>
          <w:bCs/>
          <w:szCs w:val="28"/>
        </w:rPr>
      </w:pPr>
    </w:p>
    <w:p w14:paraId="6B5C37E2">
      <w:pPr>
        <w:spacing w:after="60"/>
        <w:jc w:val="center"/>
        <w:rPr>
          <w:sz w:val="28"/>
          <w:szCs w:val="28"/>
        </w:rPr>
      </w:pPr>
      <w:r>
        <w:rPr>
          <w:b/>
          <w:bCs/>
          <w:sz w:val="28"/>
          <w:szCs w:val="28"/>
        </w:rPr>
        <w:t>NGHỊ QUYẾT</w:t>
      </w:r>
    </w:p>
    <w:p w14:paraId="43D5B201">
      <w:pPr>
        <w:jc w:val="center"/>
        <w:rPr>
          <w:b/>
          <w:bCs/>
        </w:rPr>
      </w:pPr>
      <w:r>
        <w:rPr>
          <w:b/>
          <w:bCs/>
          <w:sz w:val="28"/>
          <w:szCs w:val="28"/>
        </w:rPr>
        <w:t xml:space="preserve">Quy định thẩm quyền quyết định thanh lý rừng trồng </w:t>
      </w:r>
      <w:r>
        <w:rPr>
          <w:b/>
          <w:bCs/>
          <w:sz w:val="28"/>
          <w:szCs w:val="28"/>
        </w:rPr>
        <w:br w:type="textWrapping"/>
      </w:r>
      <w:r>
        <w:rPr>
          <w:b/>
          <w:bCs/>
          <w:sz w:val="28"/>
          <w:szCs w:val="28"/>
        </w:rPr>
        <w:t>trên địa bàn tỉnh Đồng Tháp</w:t>
      </w:r>
    </w:p>
    <w:p w14:paraId="40238DB3">
      <w:pPr>
        <w:jc w:val="center"/>
        <w:rPr>
          <w:b/>
          <w:bCs/>
          <w:sz w:val="28"/>
          <w:szCs w:val="28"/>
        </w:rPr>
      </w:pPr>
      <w:r>
        <w:rPr>
          <w:b/>
          <w:bCs/>
          <w:lang w:val="en-US" w:eastAsia="en-US"/>
        </w:rPr>
        <mc:AlternateContent>
          <mc:Choice Requires="wps">
            <w:drawing>
              <wp:anchor distT="0" distB="0" distL="114300" distR="114300" simplePos="0" relativeHeight="251661312" behindDoc="0" locked="0" layoutInCell="1" allowOverlap="1">
                <wp:simplePos x="0" y="0"/>
                <wp:positionH relativeFrom="column">
                  <wp:posOffset>2302510</wp:posOffset>
                </wp:positionH>
                <wp:positionV relativeFrom="paragraph">
                  <wp:posOffset>54610</wp:posOffset>
                </wp:positionV>
                <wp:extent cx="1111250" cy="0"/>
                <wp:effectExtent l="0" t="0" r="12700" b="19050"/>
                <wp:wrapNone/>
                <wp:docPr id="3" name="AutoShape 4"/>
                <wp:cNvGraphicFramePr/>
                <a:graphic xmlns:a="http://schemas.openxmlformats.org/drawingml/2006/main">
                  <a:graphicData uri="http://schemas.microsoft.com/office/word/2010/wordprocessingShape">
                    <wps:wsp>
                      <wps:cNvCnPr/>
                      <wps:spPr>
                        <a:xfrm>
                          <a:off x="0" y="0"/>
                          <a:ext cx="11112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181.3pt;margin-top:4.3pt;height:0pt;width:87.5pt;z-index:251661312;mso-width-relative:page;mso-height-relative:page;" filled="f" stroked="t" coordsize="21600,21600" o:gfxdata="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9MMxHSAAAABwEAAA8AAAAAAAAAAQAg&#10;AAAAIgAAAGRycy9kb3ducmV2LnhtbFBLAQIUABQAAAAIAIdO4kARiRhM2wEAAOEDAAAOAAAAAAAA&#10;AAEAIAAAACEBAABkcnMvZTJvRG9jLnhtbFBLBQYAAAAABgAGAFkBAABuBQAAAAA=&#10;">
                <v:fill on="f" focussize="0,0"/>
                <v:stroke weight="1pt" color="#000000" joinstyle="round"/>
                <v:imagedata o:title=""/>
                <o:lock v:ext="edit" aspectratio="f"/>
              </v:shape>
            </w:pict>
          </mc:Fallback>
        </mc:AlternateContent>
      </w:r>
    </w:p>
    <w:p w14:paraId="56F9787A">
      <w:pPr>
        <w:spacing w:line="360" w:lineRule="exact"/>
        <w:ind w:firstLine="720"/>
        <w:jc w:val="both"/>
        <w:rPr>
          <w:i/>
          <w:iCs/>
          <w:sz w:val="20"/>
          <w:szCs w:val="28"/>
        </w:rPr>
      </w:pPr>
    </w:p>
    <w:p w14:paraId="2C8A1860">
      <w:pPr>
        <w:spacing w:before="120" w:after="120" w:line="360" w:lineRule="exact"/>
        <w:ind w:firstLine="720"/>
        <w:jc w:val="both"/>
        <w:rPr>
          <w:i/>
          <w:iCs/>
          <w:sz w:val="28"/>
          <w:szCs w:val="28"/>
        </w:rPr>
      </w:pPr>
      <w:r>
        <w:rPr>
          <w:i/>
          <w:iCs/>
          <w:sz w:val="28"/>
          <w:szCs w:val="28"/>
        </w:rPr>
        <w:t>Căn cứ Luật Tổ chức chính quyền địa phương số 72/2025/QH15;</w:t>
      </w:r>
    </w:p>
    <w:p w14:paraId="5E166AE4">
      <w:pPr>
        <w:spacing w:before="120" w:after="120" w:line="360" w:lineRule="exact"/>
        <w:ind w:firstLine="720"/>
        <w:jc w:val="both"/>
        <w:rPr>
          <w:i/>
          <w:iCs/>
          <w:sz w:val="28"/>
          <w:szCs w:val="28"/>
        </w:rPr>
      </w:pPr>
      <w:r>
        <w:rPr>
          <w:i/>
          <w:iCs/>
          <w:sz w:val="28"/>
          <w:szCs w:val="28"/>
        </w:rPr>
        <w:t>Căn cứ Luật Ban hành văn bản quy phạm pháp luật số 64/2025/QH15 được sửa đổi, bổ sung bởi Luật số 87/2025/QH15;</w:t>
      </w:r>
    </w:p>
    <w:p w14:paraId="320A78D8">
      <w:pPr>
        <w:spacing w:before="120" w:after="120" w:line="360" w:lineRule="exact"/>
        <w:ind w:firstLine="720"/>
        <w:jc w:val="both"/>
        <w:rPr>
          <w:i/>
          <w:iCs/>
          <w:sz w:val="28"/>
          <w:szCs w:val="28"/>
        </w:rPr>
      </w:pPr>
      <w:r>
        <w:rPr>
          <w:i/>
          <w:iCs/>
          <w:sz w:val="28"/>
          <w:szCs w:val="28"/>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14:paraId="3B0ED780">
      <w:pPr>
        <w:spacing w:before="120" w:after="120" w:line="360" w:lineRule="exact"/>
        <w:ind w:firstLine="720"/>
        <w:jc w:val="both"/>
        <w:rPr>
          <w:i/>
          <w:iCs/>
          <w:sz w:val="28"/>
          <w:szCs w:val="28"/>
        </w:rPr>
      </w:pPr>
      <w:r>
        <w:rPr>
          <w:i/>
          <w:iCs/>
          <w:sz w:val="28"/>
          <w:szCs w:val="28"/>
        </w:rPr>
        <w:t>Căn cứ Luật Lâm nghiệp số 16/2017/QH14 được sửa đổi, bổ sung bởi Luật số 16/2023/QH15 và Luật số 31/2024/QH15;</w:t>
      </w:r>
    </w:p>
    <w:p w14:paraId="51AF0609">
      <w:pPr>
        <w:spacing w:before="120" w:after="120" w:line="360" w:lineRule="exact"/>
        <w:ind w:firstLine="720"/>
        <w:jc w:val="both"/>
        <w:rPr>
          <w:i/>
          <w:iCs/>
          <w:sz w:val="28"/>
          <w:szCs w:val="28"/>
        </w:rPr>
      </w:pPr>
      <w:r>
        <w:rPr>
          <w:i/>
          <w:iCs/>
          <w:sz w:val="28"/>
          <w:szCs w:val="28"/>
        </w:rPr>
        <w:t>Căn cứ Nghị định số 140/2024/NĐ-CP của Chính phủ quy định về thanh lý rừng trồng;</w:t>
      </w:r>
    </w:p>
    <w:p w14:paraId="0B9F06CA">
      <w:pPr>
        <w:spacing w:before="120" w:after="120" w:line="360" w:lineRule="exact"/>
        <w:ind w:firstLine="720"/>
        <w:jc w:val="both"/>
        <w:rPr>
          <w:i/>
          <w:iCs/>
          <w:sz w:val="28"/>
          <w:szCs w:val="28"/>
        </w:rPr>
      </w:pPr>
      <w:r>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CDFFB00">
      <w:pPr>
        <w:spacing w:before="120" w:after="120" w:line="360" w:lineRule="exact"/>
        <w:ind w:firstLine="720"/>
        <w:jc w:val="both"/>
        <w:rPr>
          <w:i/>
          <w:iCs/>
          <w:sz w:val="28"/>
          <w:szCs w:val="28"/>
        </w:rPr>
      </w:pPr>
      <w:r>
        <w:rPr>
          <w:i/>
          <w:iCs/>
          <w:sz w:val="28"/>
          <w:szCs w:val="28"/>
        </w:rPr>
        <w:t>Căn cứ Nghị định số 131/2025/NĐ-CP của Chính phủ quy định phân định thẩm quyền của chính quyền địa phương 02 cấp trong lĩnh vực quản lý nhà nước của Bộ Nông nghiệp và Môi trường;</w:t>
      </w:r>
    </w:p>
    <w:p w14:paraId="7F1EAF05">
      <w:pPr>
        <w:spacing w:before="120" w:after="120" w:line="360" w:lineRule="exact"/>
        <w:ind w:firstLine="720"/>
        <w:jc w:val="both"/>
        <w:rPr>
          <w:i/>
          <w:iCs/>
          <w:sz w:val="28"/>
          <w:szCs w:val="28"/>
        </w:rPr>
      </w:pPr>
      <w:r>
        <w:rPr>
          <w:i/>
          <w:iCs/>
          <w:sz w:val="28"/>
          <w:szCs w:val="28"/>
        </w:rPr>
        <w:t xml:space="preserve">Xét Tờ trình số 394/TTr-UBND ngày 22 tháng 10 năm 2025 </w:t>
      </w:r>
      <w:r>
        <w:rPr>
          <w:i/>
          <w:sz w:val="28"/>
          <w:szCs w:val="28"/>
        </w:rPr>
        <w:t>của Ủy ban nhân dân tỉnh</w:t>
      </w:r>
      <w:r>
        <w:rPr>
          <w:i/>
          <w:iCs/>
          <w:sz w:val="28"/>
          <w:szCs w:val="28"/>
        </w:rPr>
        <w:t xml:space="preserve"> về việc đề nghị Hội đồng nhân dân tỉnh ban hành Nghị quyết quy định thẩm quyền quyết định thanh lý rừng trồng trên địa bàn tỉnh Đồng Tháp; Báo cáo thẩm tra số 286/BC-HĐND ngày 28 tháng 10 năm 2025 của Ban Kinh tế - Ngân sách Hội đồng nhân dân tỉnh; ý kiến thảo luận của đại biểu Hội đồng nhân dân tại kỳ họp;</w:t>
      </w:r>
    </w:p>
    <w:p w14:paraId="79551AEA">
      <w:pPr>
        <w:spacing w:before="120" w:after="120" w:line="360" w:lineRule="exact"/>
        <w:ind w:firstLine="720"/>
        <w:jc w:val="both"/>
        <w:rPr>
          <w:i/>
          <w:spacing w:val="-2"/>
          <w:sz w:val="28"/>
          <w:szCs w:val="28"/>
        </w:rPr>
      </w:pPr>
      <w:r>
        <w:rPr>
          <w:i/>
          <w:spacing w:val="-2"/>
          <w:sz w:val="28"/>
          <w:szCs w:val="28"/>
        </w:rPr>
        <w:t xml:space="preserve">Hội đồng nhân dân ban hành Nghị quyết quy định </w:t>
      </w:r>
      <w:r>
        <w:rPr>
          <w:i/>
          <w:iCs/>
          <w:sz w:val="28"/>
          <w:szCs w:val="28"/>
        </w:rPr>
        <w:t>thẩm quyền quyết định thanh lý rừng trồng trên địa bàn tỉnh Đồng Tháp</w:t>
      </w:r>
      <w:r>
        <w:rPr>
          <w:i/>
          <w:spacing w:val="-2"/>
          <w:sz w:val="28"/>
          <w:szCs w:val="28"/>
        </w:rPr>
        <w:t>.</w:t>
      </w:r>
    </w:p>
    <w:p w14:paraId="65FB6769">
      <w:pPr>
        <w:spacing w:before="120" w:after="120" w:line="276" w:lineRule="auto"/>
        <w:ind w:firstLine="720"/>
        <w:jc w:val="both"/>
        <w:rPr>
          <w:sz w:val="28"/>
          <w:szCs w:val="28"/>
        </w:rPr>
      </w:pPr>
      <w:r>
        <w:rPr>
          <w:b/>
          <w:bCs/>
          <w:sz w:val="28"/>
          <w:szCs w:val="28"/>
        </w:rPr>
        <w:t>Điều 1. Phạm vi điều chỉnh</w:t>
      </w:r>
    </w:p>
    <w:p w14:paraId="033ED567">
      <w:pPr>
        <w:spacing w:before="120" w:after="120" w:line="276" w:lineRule="auto"/>
        <w:ind w:firstLine="720"/>
        <w:jc w:val="both"/>
        <w:rPr>
          <w:sz w:val="28"/>
          <w:szCs w:val="28"/>
        </w:rPr>
      </w:pPr>
      <w:r>
        <w:rPr>
          <w:sz w:val="28"/>
          <w:szCs w:val="28"/>
        </w:rPr>
        <w:t>Nghị quyết này quy định thẩm quyền quyết định thanh lý rừng trồng thuộc sở hữu toàn dân theo quy định tại khoản 2 Điều 6 Nghị định số 140/2024/NĐ-CP quy định về thanh lý rừng trồng và xử lý chi phí thanh lý rừng trồng trong trường hợp không có nguồn thu từ bán lâm sản hoặc nguồn thu từ bán lâm sản nhỏ hơn chi phí thực hiện thanh lý rừng trồng thuộc sở hữu toàn dân theo quy định tại điểm a khoản 3 Điều 12 Nghị định số 140/2024/NĐ-CP trên địa bàn tỉnh Đồng Tháp.</w:t>
      </w:r>
    </w:p>
    <w:p w14:paraId="24D57D3B">
      <w:pPr>
        <w:spacing w:before="120" w:after="120" w:line="276" w:lineRule="auto"/>
        <w:ind w:firstLine="720"/>
        <w:jc w:val="both"/>
        <w:rPr>
          <w:sz w:val="28"/>
          <w:szCs w:val="28"/>
        </w:rPr>
      </w:pPr>
      <w:r>
        <w:rPr>
          <w:b/>
          <w:bCs/>
          <w:sz w:val="28"/>
          <w:szCs w:val="28"/>
        </w:rPr>
        <w:t>Điều 2. Đối tượng áp dụng</w:t>
      </w:r>
    </w:p>
    <w:p w14:paraId="455941D7">
      <w:pPr>
        <w:spacing w:before="120" w:after="120" w:line="276" w:lineRule="auto"/>
        <w:ind w:firstLine="720"/>
        <w:jc w:val="both"/>
        <w:rPr>
          <w:sz w:val="28"/>
          <w:szCs w:val="28"/>
        </w:rPr>
      </w:pPr>
      <w:r>
        <w:rPr>
          <w:sz w:val="28"/>
          <w:szCs w:val="28"/>
        </w:rPr>
        <w:t>1. Cơ quan nhà nước, tổ chức, hộ gia đình, cá nhân, cộng đồng dân cư có liên quan đến các hoạt động thanh lý rừng trồng, xử lý chi phí thanh lý rừng trồng trong trường hợp không có nguồn thu từ bán lâm sản hoặc nguồn thu từ bán lâm sản nhỏ hơn chi phí thực hiện thanh lý rừng trồng thuộc sở hữu toàn dân trên địa bàn tỉnh Đồng Tháp.</w:t>
      </w:r>
    </w:p>
    <w:p w14:paraId="5170731B">
      <w:pPr>
        <w:spacing w:before="120" w:after="120" w:line="276" w:lineRule="auto"/>
        <w:ind w:firstLine="720"/>
        <w:jc w:val="both"/>
        <w:rPr>
          <w:sz w:val="28"/>
          <w:szCs w:val="28"/>
        </w:rPr>
      </w:pPr>
      <w:r>
        <w:rPr>
          <w:sz w:val="28"/>
          <w:szCs w:val="28"/>
        </w:rPr>
        <w:t>2. Tổ chức, hộ gia đình, cá nhân, cộng đồng dân cư sở hữu rừng sản xuất là rừng trồng trên địa bàn tỉnh Đồng Tháp.</w:t>
      </w:r>
    </w:p>
    <w:p w14:paraId="48AB32D4">
      <w:pPr>
        <w:spacing w:before="120" w:after="120" w:line="276" w:lineRule="auto"/>
        <w:ind w:firstLine="720"/>
        <w:jc w:val="both"/>
        <w:rPr>
          <w:b/>
          <w:bCs/>
          <w:sz w:val="28"/>
          <w:szCs w:val="28"/>
        </w:rPr>
      </w:pPr>
      <w:r>
        <w:rPr>
          <w:b/>
          <w:bCs/>
          <w:sz w:val="28"/>
          <w:szCs w:val="28"/>
        </w:rPr>
        <w:t xml:space="preserve">Điều 3. Thẩm quyền quyết định thanh lý rừng trồng </w:t>
      </w:r>
    </w:p>
    <w:p w14:paraId="62E2FB6C">
      <w:pPr>
        <w:spacing w:before="120" w:after="120" w:line="276" w:lineRule="auto"/>
        <w:ind w:firstLine="720"/>
        <w:jc w:val="both"/>
        <w:rPr>
          <w:sz w:val="28"/>
          <w:szCs w:val="28"/>
        </w:rPr>
      </w:pPr>
      <w:r>
        <w:rPr>
          <w:sz w:val="28"/>
          <w:szCs w:val="28"/>
        </w:rPr>
        <w:t>Ủy ban nhân dân cấp xã quyết định thanh lý rừng trồng thuộc sở hữu toàn dân trên địa bàn, phạm vi, trách nhiệm quản lý theo phân cấp.</w:t>
      </w:r>
    </w:p>
    <w:p w14:paraId="2CBA2344">
      <w:pPr>
        <w:spacing w:before="120" w:after="120" w:line="276" w:lineRule="auto"/>
        <w:ind w:firstLine="720"/>
        <w:jc w:val="both"/>
        <w:rPr>
          <w:b/>
          <w:bCs/>
          <w:sz w:val="28"/>
          <w:szCs w:val="28"/>
        </w:rPr>
      </w:pPr>
      <w:r>
        <w:rPr>
          <w:b/>
          <w:bCs/>
          <w:sz w:val="28"/>
          <w:szCs w:val="28"/>
        </w:rPr>
        <w:t>Điều 4. Xử lý chi phí thanh lý rừng trồng trong trường hợp không có nguồn thu từ bán lâm sản hoặc nguồn thu từ bán lâm sản nhỏ hơn chi phí thực hiện thanh lý rừng trồng thuộc sở hữu toàn dân</w:t>
      </w:r>
    </w:p>
    <w:p w14:paraId="624C7D22">
      <w:pPr>
        <w:spacing w:before="120" w:after="120" w:line="276" w:lineRule="auto"/>
        <w:ind w:firstLine="720"/>
        <w:jc w:val="both"/>
        <w:rPr>
          <w:sz w:val="28"/>
          <w:szCs w:val="28"/>
        </w:rPr>
      </w:pPr>
      <w:r>
        <w:rPr>
          <w:sz w:val="28"/>
          <w:szCs w:val="28"/>
        </w:rPr>
        <w:t xml:space="preserve">Trường hợp thanh lý rừng trồng thuộc sở hữu toàn dân nhưng không có nguồn thu từ bán lâm sản hoặc nguồn thu từ bán lâm sản nhỏ hơn chi phí thực hiện thanh lý rừng trồng được bố trí từ nguồn ngân sách của địa phương theo quy định của pháp luật về ngân sách nhà nước. </w:t>
      </w:r>
    </w:p>
    <w:p w14:paraId="3FF14EBE">
      <w:pPr>
        <w:spacing w:before="120" w:after="120" w:line="276" w:lineRule="auto"/>
        <w:ind w:firstLine="720"/>
        <w:jc w:val="both"/>
        <w:rPr>
          <w:b/>
          <w:bCs/>
          <w:sz w:val="28"/>
          <w:szCs w:val="28"/>
        </w:rPr>
      </w:pPr>
      <w:r>
        <w:rPr>
          <w:b/>
          <w:bCs/>
          <w:sz w:val="28"/>
          <w:szCs w:val="28"/>
        </w:rPr>
        <w:t>Điều 5. Tổ chức thực hiện</w:t>
      </w:r>
    </w:p>
    <w:p w14:paraId="6F9A1A77">
      <w:pPr>
        <w:tabs>
          <w:tab w:val="right" w:pos="7980"/>
        </w:tabs>
        <w:spacing w:before="120" w:after="120" w:line="276" w:lineRule="auto"/>
        <w:ind w:firstLine="720"/>
        <w:jc w:val="both"/>
        <w:rPr>
          <w:sz w:val="28"/>
          <w:szCs w:val="28"/>
          <w:lang w:val="nb-NO"/>
        </w:rPr>
      </w:pPr>
      <w:r>
        <w:rPr>
          <w:sz w:val="28"/>
          <w:szCs w:val="28"/>
          <w:lang w:val="nb-NO"/>
        </w:rPr>
        <w:t>1. Giao Ủy ban nhân dân tỉnh tổ chức triển khai, thực hiện Nghị quyết.</w:t>
      </w:r>
    </w:p>
    <w:p w14:paraId="6AC9EC0D">
      <w:pPr>
        <w:tabs>
          <w:tab w:val="right" w:pos="7980"/>
        </w:tabs>
        <w:spacing w:before="120" w:after="120" w:line="276" w:lineRule="auto"/>
        <w:ind w:firstLine="720"/>
        <w:jc w:val="both"/>
        <w:rPr>
          <w:sz w:val="28"/>
          <w:szCs w:val="28"/>
          <w:lang w:val="nb-NO"/>
        </w:rPr>
      </w:pPr>
      <w:r>
        <w:rPr>
          <w:sz w:val="28"/>
          <w:szCs w:val="28"/>
          <w:lang w:val="nb-NO"/>
        </w:rPr>
        <w:t>2. Giao Thường trực Hội đồng nhân dân tỉnh, các Ban của Hội đồng nhân dân tỉnh, Tổ đại biểu Hội đồng nhân dân tỉnh và đại biểu Hội đồng nhân dân tỉnh giám sát việc thực hiện Nghị quyết.</w:t>
      </w:r>
    </w:p>
    <w:p w14:paraId="00C40141">
      <w:pPr>
        <w:spacing w:before="120" w:after="120" w:line="276" w:lineRule="auto"/>
        <w:ind w:firstLine="720"/>
        <w:jc w:val="both"/>
        <w:rPr>
          <w:b/>
          <w:bCs/>
          <w:sz w:val="28"/>
          <w:szCs w:val="28"/>
          <w:lang w:val="nb-NO"/>
        </w:rPr>
      </w:pPr>
      <w:bookmarkStart w:id="0" w:name="_GoBack"/>
      <w:bookmarkEnd w:id="0"/>
      <w:r>
        <w:rPr>
          <w:b/>
          <w:bCs/>
          <w:sz w:val="28"/>
          <w:szCs w:val="28"/>
          <w:lang w:val="nb-NO"/>
        </w:rPr>
        <w:t>Điều 6. Hiệu lực thi hành</w:t>
      </w:r>
    </w:p>
    <w:p w14:paraId="2485646C">
      <w:pPr>
        <w:spacing w:before="120" w:after="120" w:line="276" w:lineRule="auto"/>
        <w:ind w:firstLine="720"/>
        <w:jc w:val="both"/>
        <w:rPr>
          <w:b/>
          <w:bCs/>
          <w:sz w:val="28"/>
          <w:szCs w:val="28"/>
          <w:lang w:val="nb-NO"/>
        </w:rPr>
      </w:pPr>
      <w:r>
        <w:rPr>
          <w:sz w:val="28"/>
          <w:szCs w:val="28"/>
          <w:lang w:val="nb-NO"/>
        </w:rPr>
        <w:t>Nghị quyết này có hiệu lực thi hành từ ngày 04 tháng 11 năm 2025.</w:t>
      </w:r>
    </w:p>
    <w:p w14:paraId="269878CD">
      <w:pPr>
        <w:spacing w:before="120" w:after="120" w:line="360" w:lineRule="exact"/>
        <w:ind w:firstLine="720"/>
        <w:jc w:val="both"/>
        <w:rPr>
          <w:i/>
          <w:spacing w:val="-2"/>
          <w:sz w:val="28"/>
          <w:szCs w:val="28"/>
          <w:lang w:val="sv-SE"/>
        </w:rPr>
      </w:pPr>
    </w:p>
    <w:p w14:paraId="6A9511E2">
      <w:pPr>
        <w:spacing w:before="120" w:after="120" w:line="360" w:lineRule="exact"/>
        <w:ind w:firstLine="720"/>
        <w:jc w:val="both"/>
        <w:rPr>
          <w:sz w:val="28"/>
          <w:szCs w:val="28"/>
          <w:lang w:val="nb-NO"/>
        </w:rPr>
      </w:pPr>
      <w:r>
        <w:rPr>
          <w:i/>
          <w:spacing w:val="-2"/>
          <w:sz w:val="28"/>
          <w:szCs w:val="28"/>
          <w:lang w:val="sv-SE"/>
        </w:rPr>
        <w:t>Nghị quyết này đã được Hội đồng nhân dân tỉnh Đồng Tháp khóa X, Kỳ họp thứ 3 thông qua ngày 04 tháng 11 năm 2025</w:t>
      </w:r>
      <w:r>
        <w:rPr>
          <w:sz w:val="28"/>
          <w:szCs w:val="28"/>
          <w:lang w:val="nb-NO"/>
        </w:rPr>
        <w:t>./.</w:t>
      </w:r>
    </w:p>
    <w:tbl>
      <w:tblPr>
        <w:tblStyle w:val="3"/>
        <w:tblW w:w="9356" w:type="dxa"/>
        <w:tblInd w:w="108" w:type="dxa"/>
        <w:tblLayout w:type="autofit"/>
        <w:tblCellMar>
          <w:top w:w="0" w:type="dxa"/>
          <w:left w:w="108" w:type="dxa"/>
          <w:bottom w:w="0" w:type="dxa"/>
          <w:right w:w="108" w:type="dxa"/>
        </w:tblCellMar>
      </w:tblPr>
      <w:tblGrid>
        <w:gridCol w:w="5103"/>
        <w:gridCol w:w="4253"/>
      </w:tblGrid>
      <w:tr w14:paraId="0C7ED13F">
        <w:tblPrEx>
          <w:tblCellMar>
            <w:top w:w="0" w:type="dxa"/>
            <w:left w:w="108" w:type="dxa"/>
            <w:bottom w:w="0" w:type="dxa"/>
            <w:right w:w="108" w:type="dxa"/>
          </w:tblCellMar>
        </w:tblPrEx>
        <w:tc>
          <w:tcPr>
            <w:tcW w:w="5103" w:type="dxa"/>
          </w:tcPr>
          <w:p w14:paraId="20BE9686">
            <w:pPr>
              <w:spacing w:before="120"/>
              <w:ind w:right="-108"/>
              <w:jc w:val="both"/>
              <w:rPr>
                <w:b/>
                <w:i/>
                <w:lang w:val="nl-NL"/>
              </w:rPr>
            </w:pPr>
            <w:r>
              <w:rPr>
                <w:b/>
                <w:i/>
                <w:lang w:val="nl-NL"/>
              </w:rPr>
              <w:t>Nơi nhận:</w:t>
            </w:r>
          </w:p>
        </w:tc>
        <w:tc>
          <w:tcPr>
            <w:tcW w:w="4253" w:type="dxa"/>
          </w:tcPr>
          <w:p w14:paraId="7B0B80F7">
            <w:pPr>
              <w:spacing w:before="120"/>
              <w:jc w:val="center"/>
              <w:rPr>
                <w:b/>
                <w:sz w:val="26"/>
                <w:szCs w:val="26"/>
                <w:lang w:val="en-GB"/>
              </w:rPr>
            </w:pPr>
            <w:r>
              <w:rPr>
                <w:b/>
                <w:sz w:val="26"/>
                <w:szCs w:val="26"/>
                <w:lang w:val="en-GB"/>
              </w:rPr>
              <w:t>CHỦ TỊCH</w:t>
            </w:r>
          </w:p>
        </w:tc>
      </w:tr>
      <w:tr w14:paraId="3998AE3C">
        <w:tblPrEx>
          <w:tblCellMar>
            <w:top w:w="0" w:type="dxa"/>
            <w:left w:w="108" w:type="dxa"/>
            <w:bottom w:w="0" w:type="dxa"/>
            <w:right w:w="108" w:type="dxa"/>
          </w:tblCellMar>
        </w:tblPrEx>
        <w:tc>
          <w:tcPr>
            <w:tcW w:w="5103" w:type="dxa"/>
          </w:tcPr>
          <w:p w14:paraId="60A55B9F">
            <w:pPr>
              <w:jc w:val="both"/>
              <w:rPr>
                <w:spacing w:val="-10"/>
                <w:sz w:val="22"/>
                <w:szCs w:val="22"/>
                <w:lang w:val="nl-NL"/>
              </w:rPr>
            </w:pPr>
            <w:r>
              <w:rPr>
                <w:spacing w:val="-10"/>
                <w:sz w:val="22"/>
                <w:szCs w:val="22"/>
                <w:lang w:val="nl-NL"/>
              </w:rPr>
              <w:t>- Ủy ban Thường vụ Quốc hội;</w:t>
            </w:r>
          </w:p>
          <w:p w14:paraId="680959A7">
            <w:pPr>
              <w:jc w:val="both"/>
              <w:rPr>
                <w:spacing w:val="-10"/>
                <w:sz w:val="22"/>
                <w:szCs w:val="22"/>
                <w:lang w:val="nl-NL"/>
              </w:rPr>
            </w:pPr>
            <w:r>
              <w:rPr>
                <w:spacing w:val="-10"/>
                <w:sz w:val="22"/>
                <w:szCs w:val="22"/>
                <w:lang w:val="nl-NL"/>
              </w:rPr>
              <w:t xml:space="preserve">- Văn phòng Chính phủ; </w:t>
            </w:r>
          </w:p>
          <w:p w14:paraId="2272246C">
            <w:pPr>
              <w:jc w:val="both"/>
              <w:rPr>
                <w:spacing w:val="-10"/>
                <w:sz w:val="22"/>
                <w:szCs w:val="22"/>
                <w:lang w:val="nl-NL"/>
              </w:rPr>
            </w:pPr>
            <w:r>
              <w:rPr>
                <w:spacing w:val="-10"/>
                <w:sz w:val="22"/>
                <w:szCs w:val="22"/>
                <w:lang w:val="nl-NL"/>
              </w:rPr>
              <w:t xml:space="preserve">- </w:t>
            </w:r>
            <w:r>
              <w:rPr>
                <w:spacing w:val="-10"/>
                <w:sz w:val="22"/>
                <w:szCs w:val="22"/>
                <w:lang w:val="vi-VN"/>
              </w:rPr>
              <w:t xml:space="preserve">Các Bộ: </w:t>
            </w:r>
            <w:r>
              <w:rPr>
                <w:spacing w:val="-10"/>
                <w:sz w:val="22"/>
                <w:szCs w:val="22"/>
                <w:lang w:val="nl-NL"/>
              </w:rPr>
              <w:t>Nông nghiệp và Môi trường, Tài chính</w:t>
            </w:r>
            <w:r>
              <w:rPr>
                <w:rFonts w:hint="default"/>
                <w:spacing w:val="-10"/>
                <w:sz w:val="22"/>
                <w:szCs w:val="22"/>
                <w:lang w:val="en-US"/>
              </w:rPr>
              <w:t>,</w:t>
            </w:r>
            <w:r>
              <w:rPr>
                <w:spacing w:val="-10"/>
                <w:sz w:val="22"/>
                <w:szCs w:val="22"/>
                <w:lang w:val="nl-NL"/>
              </w:rPr>
              <w:t>Tư pháp;</w:t>
            </w:r>
          </w:p>
          <w:p w14:paraId="1ECA82EE">
            <w:pPr>
              <w:jc w:val="both"/>
              <w:rPr>
                <w:spacing w:val="-10"/>
                <w:sz w:val="22"/>
                <w:szCs w:val="22"/>
                <w:lang w:val="nl-NL"/>
              </w:rPr>
            </w:pPr>
            <w:r>
              <w:rPr>
                <w:spacing w:val="-10"/>
                <w:sz w:val="22"/>
                <w:szCs w:val="22"/>
                <w:lang w:val="nl-NL"/>
              </w:rPr>
              <w:t>- Cục Kiểm tra VB và QLXLVPHC (Bộ Tư pháp);</w:t>
            </w:r>
          </w:p>
          <w:p w14:paraId="2860D465">
            <w:pPr>
              <w:jc w:val="both"/>
              <w:rPr>
                <w:spacing w:val="-10"/>
                <w:sz w:val="22"/>
                <w:szCs w:val="22"/>
                <w:lang w:val="nl-NL"/>
              </w:rPr>
            </w:pPr>
            <w:r>
              <w:rPr>
                <w:spacing w:val="-10"/>
                <w:sz w:val="22"/>
                <w:szCs w:val="22"/>
                <w:lang w:val="nl-NL"/>
              </w:rPr>
              <w:t>- Kiểm toán Nhà nước khu vực IX;</w:t>
            </w:r>
          </w:p>
          <w:p w14:paraId="0DEFAC36">
            <w:pPr>
              <w:jc w:val="both"/>
              <w:rPr>
                <w:spacing w:val="-10"/>
                <w:sz w:val="22"/>
                <w:szCs w:val="22"/>
                <w:lang w:val="nl-NL"/>
              </w:rPr>
            </w:pPr>
            <w:r>
              <w:rPr>
                <w:spacing w:val="-10"/>
                <w:sz w:val="22"/>
                <w:szCs w:val="22"/>
                <w:lang w:val="nl-NL"/>
              </w:rPr>
              <w:t>- Đoàn đại biểu Quốc hội tỉnh;</w:t>
            </w:r>
          </w:p>
          <w:p w14:paraId="72B44387">
            <w:pPr>
              <w:jc w:val="both"/>
              <w:rPr>
                <w:spacing w:val="-10"/>
                <w:sz w:val="22"/>
                <w:szCs w:val="22"/>
                <w:lang w:val="nl-NL"/>
              </w:rPr>
            </w:pPr>
            <w:r>
              <w:rPr>
                <w:spacing w:val="-10"/>
                <w:sz w:val="22"/>
                <w:szCs w:val="22"/>
                <w:lang w:val="nl-NL"/>
              </w:rPr>
              <w:t>- Thường trực HĐND tỉnh;</w:t>
            </w:r>
          </w:p>
          <w:p w14:paraId="5E9BF95C">
            <w:pPr>
              <w:jc w:val="both"/>
              <w:rPr>
                <w:spacing w:val="-10"/>
                <w:sz w:val="22"/>
                <w:szCs w:val="22"/>
                <w:lang w:val="nl-NL"/>
              </w:rPr>
            </w:pPr>
            <w:r>
              <w:rPr>
                <w:spacing w:val="-10"/>
                <w:sz w:val="22"/>
                <w:szCs w:val="22"/>
                <w:lang w:val="nl-NL"/>
              </w:rPr>
              <w:t>- UBND tỉnh, UBMTTQVN tỉnh;</w:t>
            </w:r>
          </w:p>
          <w:p w14:paraId="1A775A1E">
            <w:pPr>
              <w:jc w:val="both"/>
              <w:rPr>
                <w:spacing w:val="-10"/>
                <w:sz w:val="22"/>
                <w:szCs w:val="22"/>
                <w:lang w:val="nl-NL"/>
              </w:rPr>
            </w:pPr>
            <w:r>
              <w:rPr>
                <w:spacing w:val="-10"/>
                <w:sz w:val="22"/>
                <w:szCs w:val="22"/>
                <w:lang w:val="nl-NL"/>
              </w:rPr>
              <w:t>- Đại biểu HĐND tỉnh;</w:t>
            </w:r>
          </w:p>
          <w:p w14:paraId="21CF29B2">
            <w:pPr>
              <w:jc w:val="both"/>
              <w:rPr>
                <w:spacing w:val="-10"/>
                <w:sz w:val="22"/>
                <w:szCs w:val="22"/>
                <w:lang w:val="nl-NL"/>
              </w:rPr>
            </w:pPr>
            <w:r>
              <w:rPr>
                <w:spacing w:val="-10"/>
                <w:sz w:val="22"/>
                <w:szCs w:val="22"/>
                <w:lang w:val="nl-NL"/>
              </w:rPr>
              <w:t>- Các sở, ban, ngành, đoàn thể tỉnh;</w:t>
            </w:r>
          </w:p>
          <w:p w14:paraId="1489B114">
            <w:pPr>
              <w:jc w:val="both"/>
              <w:rPr>
                <w:spacing w:val="-10"/>
                <w:sz w:val="22"/>
                <w:szCs w:val="22"/>
                <w:lang w:val="nl-NL"/>
              </w:rPr>
            </w:pPr>
            <w:r>
              <w:rPr>
                <w:spacing w:val="-10"/>
                <w:sz w:val="22"/>
                <w:szCs w:val="22"/>
                <w:lang w:val="nl-NL"/>
              </w:rPr>
              <w:t>- Văn phòng: Đoàn ĐBQH và HĐND tỉnh, UBND tỉnh;</w:t>
            </w:r>
          </w:p>
          <w:p w14:paraId="35129BFA">
            <w:pPr>
              <w:jc w:val="both"/>
              <w:rPr>
                <w:spacing w:val="-10"/>
                <w:sz w:val="22"/>
                <w:szCs w:val="22"/>
                <w:lang w:val="nl-NL"/>
              </w:rPr>
            </w:pPr>
            <w:r>
              <w:rPr>
                <w:spacing w:val="-10"/>
                <w:sz w:val="22"/>
                <w:szCs w:val="22"/>
                <w:lang w:val="nl-NL"/>
              </w:rPr>
              <w:t>- TT. HĐND, UBND, UBMTTQVN các xã, phường;</w:t>
            </w:r>
          </w:p>
          <w:p w14:paraId="14F07787">
            <w:pPr>
              <w:jc w:val="both"/>
              <w:rPr>
                <w:spacing w:val="-10"/>
                <w:sz w:val="22"/>
                <w:szCs w:val="22"/>
                <w:lang w:val="nl-NL"/>
              </w:rPr>
            </w:pPr>
            <w:r>
              <w:rPr>
                <w:spacing w:val="-10"/>
                <w:sz w:val="22"/>
                <w:szCs w:val="22"/>
                <w:lang w:val="nl-NL"/>
              </w:rPr>
              <w:t xml:space="preserve">- Trung tâm Tin học - Công báo tỉnh;                                                                          </w:t>
            </w:r>
          </w:p>
          <w:p w14:paraId="0C77A9E4">
            <w:pPr>
              <w:jc w:val="both"/>
              <w:rPr>
                <w:sz w:val="22"/>
                <w:szCs w:val="22"/>
                <w:lang w:val="nl-NL"/>
              </w:rPr>
            </w:pPr>
            <w:r>
              <w:rPr>
                <w:spacing w:val="-10"/>
                <w:sz w:val="22"/>
                <w:szCs w:val="22"/>
                <w:lang w:val="nl-NL"/>
              </w:rPr>
              <w:t>- Lưu: VT.</w:t>
            </w:r>
          </w:p>
        </w:tc>
        <w:tc>
          <w:tcPr>
            <w:tcW w:w="4253" w:type="dxa"/>
          </w:tcPr>
          <w:p w14:paraId="417A1F58">
            <w:pPr>
              <w:rPr>
                <w:szCs w:val="20"/>
                <w:lang w:val="en-GB"/>
              </w:rPr>
            </w:pPr>
          </w:p>
          <w:p w14:paraId="719C942B">
            <w:pPr>
              <w:rPr>
                <w:szCs w:val="20"/>
                <w:lang w:val="en-GB"/>
              </w:rPr>
            </w:pPr>
          </w:p>
          <w:p w14:paraId="6821E2FD">
            <w:pPr>
              <w:rPr>
                <w:szCs w:val="20"/>
                <w:lang w:val="en-GB"/>
              </w:rPr>
            </w:pPr>
          </w:p>
          <w:p w14:paraId="5E9171B0">
            <w:pPr>
              <w:rPr>
                <w:szCs w:val="20"/>
                <w:lang w:val="en-GB"/>
              </w:rPr>
            </w:pPr>
          </w:p>
          <w:p w14:paraId="112F3CA6">
            <w:pPr>
              <w:rPr>
                <w:szCs w:val="20"/>
                <w:lang w:val="en-GB"/>
              </w:rPr>
            </w:pPr>
          </w:p>
          <w:p w14:paraId="26C129D0">
            <w:pPr>
              <w:rPr>
                <w:szCs w:val="20"/>
                <w:lang w:val="en-GB"/>
              </w:rPr>
            </w:pPr>
          </w:p>
          <w:p w14:paraId="5D072300">
            <w:pPr>
              <w:rPr>
                <w:szCs w:val="20"/>
                <w:lang w:val="en-GB"/>
              </w:rPr>
            </w:pPr>
          </w:p>
          <w:p w14:paraId="4590FAD7">
            <w:pPr>
              <w:jc w:val="center"/>
              <w:rPr>
                <w:b/>
                <w:sz w:val="28"/>
                <w:szCs w:val="28"/>
                <w:lang w:val="en-GB"/>
              </w:rPr>
            </w:pPr>
            <w:r>
              <w:rPr>
                <w:b/>
                <w:sz w:val="28"/>
                <w:szCs w:val="28"/>
                <w:lang w:val="en-GB"/>
              </w:rPr>
              <w:t>Châu Thị Mỹ Phương</w:t>
            </w:r>
          </w:p>
        </w:tc>
      </w:tr>
    </w:tbl>
    <w:p w14:paraId="5E9EB7CB">
      <w:pPr>
        <w:spacing w:before="120" w:after="280" w:afterAutospacing="1"/>
        <w:ind w:firstLine="720"/>
        <w:jc w:val="both"/>
        <w:rPr>
          <w:b/>
          <w:bCs/>
          <w:sz w:val="28"/>
          <w:szCs w:val="28"/>
        </w:rPr>
      </w:pPr>
    </w:p>
    <w:p w14:paraId="26540FFD">
      <w:pPr>
        <w:spacing w:before="120" w:after="280" w:afterAutospacing="1"/>
      </w:pPr>
      <w:r>
        <w:t> </w:t>
      </w:r>
    </w:p>
    <w:sectPr>
      <w:headerReference r:id="rId3" w:type="default"/>
      <w:pgSz w:w="11907" w:h="16840"/>
      <w:pgMar w:top="1418" w:right="1134" w:bottom="1134" w:left="1701" w:header="737" w:footer="567"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4D089">
    <w:pPr>
      <w:pStyle w:val="9"/>
      <w:jc w:val="center"/>
    </w:pPr>
    <w:r>
      <w:fldChar w:fldCharType="begin"/>
    </w:r>
    <w:r>
      <w:instrText xml:space="preserve"> PAGE   \* MERGEFORMAT </w:instrText>
    </w:r>
    <w:r>
      <w:fldChar w:fldCharType="separate"/>
    </w:r>
    <w:r>
      <w:t>3</w:t>
    </w:r>
    <w:r>
      <w:fldChar w:fldCharType="end"/>
    </w:r>
  </w:p>
  <w:p w14:paraId="1EB216FF">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137"/>
    <w:rsid w:val="0003111B"/>
    <w:rsid w:val="00032228"/>
    <w:rsid w:val="0004474C"/>
    <w:rsid w:val="00057137"/>
    <w:rsid w:val="0006456D"/>
    <w:rsid w:val="000739FE"/>
    <w:rsid w:val="000831DA"/>
    <w:rsid w:val="00087DB7"/>
    <w:rsid w:val="00090EDF"/>
    <w:rsid w:val="00092076"/>
    <w:rsid w:val="000A410A"/>
    <w:rsid w:val="000A7084"/>
    <w:rsid w:val="000B2952"/>
    <w:rsid w:val="000B65F7"/>
    <w:rsid w:val="000D79E0"/>
    <w:rsid w:val="000D7B22"/>
    <w:rsid w:val="000F2F77"/>
    <w:rsid w:val="00102C8B"/>
    <w:rsid w:val="0012061A"/>
    <w:rsid w:val="001326E5"/>
    <w:rsid w:val="00133292"/>
    <w:rsid w:val="00140AF6"/>
    <w:rsid w:val="001505AE"/>
    <w:rsid w:val="001740EF"/>
    <w:rsid w:val="001856FA"/>
    <w:rsid w:val="00191F5A"/>
    <w:rsid w:val="001A2AFF"/>
    <w:rsid w:val="001A7D6A"/>
    <w:rsid w:val="001B23EC"/>
    <w:rsid w:val="001B6EC6"/>
    <w:rsid w:val="001C10A4"/>
    <w:rsid w:val="001C1CCB"/>
    <w:rsid w:val="001D359B"/>
    <w:rsid w:val="001E023B"/>
    <w:rsid w:val="001F6550"/>
    <w:rsid w:val="002026AB"/>
    <w:rsid w:val="00207D06"/>
    <w:rsid w:val="00216863"/>
    <w:rsid w:val="00217371"/>
    <w:rsid w:val="00231CC5"/>
    <w:rsid w:val="00233091"/>
    <w:rsid w:val="00234030"/>
    <w:rsid w:val="0024157D"/>
    <w:rsid w:val="00262A35"/>
    <w:rsid w:val="002637EC"/>
    <w:rsid w:val="00264739"/>
    <w:rsid w:val="00282917"/>
    <w:rsid w:val="00283222"/>
    <w:rsid w:val="00285215"/>
    <w:rsid w:val="0029393C"/>
    <w:rsid w:val="002A6626"/>
    <w:rsid w:val="002D7202"/>
    <w:rsid w:val="002E06D3"/>
    <w:rsid w:val="002E0803"/>
    <w:rsid w:val="002F79B2"/>
    <w:rsid w:val="002F7A6A"/>
    <w:rsid w:val="00317AA2"/>
    <w:rsid w:val="003246BD"/>
    <w:rsid w:val="00324882"/>
    <w:rsid w:val="0035487D"/>
    <w:rsid w:val="0036699E"/>
    <w:rsid w:val="00390988"/>
    <w:rsid w:val="00392940"/>
    <w:rsid w:val="00392DF7"/>
    <w:rsid w:val="00394577"/>
    <w:rsid w:val="003B50E7"/>
    <w:rsid w:val="003B5A91"/>
    <w:rsid w:val="003D25A2"/>
    <w:rsid w:val="003E4A79"/>
    <w:rsid w:val="003F03D7"/>
    <w:rsid w:val="00403024"/>
    <w:rsid w:val="00432CDD"/>
    <w:rsid w:val="00435675"/>
    <w:rsid w:val="00446FD5"/>
    <w:rsid w:val="00451774"/>
    <w:rsid w:val="004558BC"/>
    <w:rsid w:val="00462882"/>
    <w:rsid w:val="00486F2A"/>
    <w:rsid w:val="004A0BFD"/>
    <w:rsid w:val="004A2821"/>
    <w:rsid w:val="004A6BE2"/>
    <w:rsid w:val="004D3C82"/>
    <w:rsid w:val="004D6B85"/>
    <w:rsid w:val="004D752F"/>
    <w:rsid w:val="004E2BFF"/>
    <w:rsid w:val="004E649A"/>
    <w:rsid w:val="00500B95"/>
    <w:rsid w:val="00507221"/>
    <w:rsid w:val="00514A06"/>
    <w:rsid w:val="0055774F"/>
    <w:rsid w:val="00581519"/>
    <w:rsid w:val="00583923"/>
    <w:rsid w:val="005848BC"/>
    <w:rsid w:val="005B0EF5"/>
    <w:rsid w:val="005B3653"/>
    <w:rsid w:val="005B52B9"/>
    <w:rsid w:val="00605736"/>
    <w:rsid w:val="00613A64"/>
    <w:rsid w:val="00617C12"/>
    <w:rsid w:val="00634787"/>
    <w:rsid w:val="006646D7"/>
    <w:rsid w:val="00665E49"/>
    <w:rsid w:val="006721EA"/>
    <w:rsid w:val="00690CB6"/>
    <w:rsid w:val="00692A9F"/>
    <w:rsid w:val="006A4496"/>
    <w:rsid w:val="006A66C5"/>
    <w:rsid w:val="006A716E"/>
    <w:rsid w:val="006C18EA"/>
    <w:rsid w:val="006E0CA9"/>
    <w:rsid w:val="006E301E"/>
    <w:rsid w:val="0070227A"/>
    <w:rsid w:val="00703C9E"/>
    <w:rsid w:val="007068FD"/>
    <w:rsid w:val="00711B55"/>
    <w:rsid w:val="00713062"/>
    <w:rsid w:val="00722B21"/>
    <w:rsid w:val="00723FC8"/>
    <w:rsid w:val="00725097"/>
    <w:rsid w:val="00740C1B"/>
    <w:rsid w:val="00742E9B"/>
    <w:rsid w:val="007435F7"/>
    <w:rsid w:val="00751F60"/>
    <w:rsid w:val="00757CCB"/>
    <w:rsid w:val="007758AC"/>
    <w:rsid w:val="00781AC1"/>
    <w:rsid w:val="007A2CC6"/>
    <w:rsid w:val="008014DF"/>
    <w:rsid w:val="00801BED"/>
    <w:rsid w:val="00806E43"/>
    <w:rsid w:val="00810ECE"/>
    <w:rsid w:val="00817FC4"/>
    <w:rsid w:val="008274F3"/>
    <w:rsid w:val="00830437"/>
    <w:rsid w:val="00834DCF"/>
    <w:rsid w:val="00840090"/>
    <w:rsid w:val="008456EB"/>
    <w:rsid w:val="00853145"/>
    <w:rsid w:val="00857F05"/>
    <w:rsid w:val="00873272"/>
    <w:rsid w:val="008861D8"/>
    <w:rsid w:val="008918E2"/>
    <w:rsid w:val="00891927"/>
    <w:rsid w:val="008B0A43"/>
    <w:rsid w:val="008B1E51"/>
    <w:rsid w:val="008C3CC1"/>
    <w:rsid w:val="008D1240"/>
    <w:rsid w:val="008E0D52"/>
    <w:rsid w:val="008E1515"/>
    <w:rsid w:val="009047AD"/>
    <w:rsid w:val="009112EA"/>
    <w:rsid w:val="00913511"/>
    <w:rsid w:val="00937924"/>
    <w:rsid w:val="0094756E"/>
    <w:rsid w:val="009605A8"/>
    <w:rsid w:val="00984802"/>
    <w:rsid w:val="0098701B"/>
    <w:rsid w:val="00991FEC"/>
    <w:rsid w:val="00995139"/>
    <w:rsid w:val="009A12A7"/>
    <w:rsid w:val="009C7C10"/>
    <w:rsid w:val="009E0B22"/>
    <w:rsid w:val="00A5188B"/>
    <w:rsid w:val="00A60C92"/>
    <w:rsid w:val="00A6635A"/>
    <w:rsid w:val="00A772D7"/>
    <w:rsid w:val="00A8094D"/>
    <w:rsid w:val="00A97152"/>
    <w:rsid w:val="00AA3C79"/>
    <w:rsid w:val="00AA46BD"/>
    <w:rsid w:val="00AA579C"/>
    <w:rsid w:val="00AB2A9C"/>
    <w:rsid w:val="00AD203B"/>
    <w:rsid w:val="00AE092D"/>
    <w:rsid w:val="00AE62DD"/>
    <w:rsid w:val="00AE6E38"/>
    <w:rsid w:val="00B061B6"/>
    <w:rsid w:val="00B12A40"/>
    <w:rsid w:val="00B27A3E"/>
    <w:rsid w:val="00B413FF"/>
    <w:rsid w:val="00B42882"/>
    <w:rsid w:val="00B8245C"/>
    <w:rsid w:val="00B9028E"/>
    <w:rsid w:val="00B97A14"/>
    <w:rsid w:val="00BA2B34"/>
    <w:rsid w:val="00BA6CE8"/>
    <w:rsid w:val="00BB3489"/>
    <w:rsid w:val="00BC0536"/>
    <w:rsid w:val="00C0176D"/>
    <w:rsid w:val="00C03A3B"/>
    <w:rsid w:val="00C07CF9"/>
    <w:rsid w:val="00C14A5E"/>
    <w:rsid w:val="00C16D70"/>
    <w:rsid w:val="00C33F14"/>
    <w:rsid w:val="00C6218E"/>
    <w:rsid w:val="00C622FC"/>
    <w:rsid w:val="00C75E46"/>
    <w:rsid w:val="00C83CBB"/>
    <w:rsid w:val="00C87888"/>
    <w:rsid w:val="00C91ACA"/>
    <w:rsid w:val="00CC2F74"/>
    <w:rsid w:val="00CC5A77"/>
    <w:rsid w:val="00CD6389"/>
    <w:rsid w:val="00CE1B47"/>
    <w:rsid w:val="00CF086C"/>
    <w:rsid w:val="00D05B33"/>
    <w:rsid w:val="00D05DFA"/>
    <w:rsid w:val="00D12FBB"/>
    <w:rsid w:val="00D2242B"/>
    <w:rsid w:val="00D4375E"/>
    <w:rsid w:val="00D53866"/>
    <w:rsid w:val="00D60693"/>
    <w:rsid w:val="00D732C1"/>
    <w:rsid w:val="00D73AC2"/>
    <w:rsid w:val="00D74177"/>
    <w:rsid w:val="00D8356B"/>
    <w:rsid w:val="00D854F7"/>
    <w:rsid w:val="00DA4FA7"/>
    <w:rsid w:val="00DA667C"/>
    <w:rsid w:val="00DC0DCE"/>
    <w:rsid w:val="00DD3D3B"/>
    <w:rsid w:val="00DE249B"/>
    <w:rsid w:val="00E00334"/>
    <w:rsid w:val="00E0142E"/>
    <w:rsid w:val="00E13CF1"/>
    <w:rsid w:val="00E26730"/>
    <w:rsid w:val="00E319F0"/>
    <w:rsid w:val="00E37258"/>
    <w:rsid w:val="00E52CDD"/>
    <w:rsid w:val="00E61A26"/>
    <w:rsid w:val="00E6789D"/>
    <w:rsid w:val="00E74AF8"/>
    <w:rsid w:val="00E77214"/>
    <w:rsid w:val="00E81844"/>
    <w:rsid w:val="00E81CAE"/>
    <w:rsid w:val="00EA00BD"/>
    <w:rsid w:val="00EA1904"/>
    <w:rsid w:val="00EB2673"/>
    <w:rsid w:val="00EB3CD5"/>
    <w:rsid w:val="00EE12D9"/>
    <w:rsid w:val="00F029D2"/>
    <w:rsid w:val="00F17E8F"/>
    <w:rsid w:val="00F23B2D"/>
    <w:rsid w:val="00F36EEC"/>
    <w:rsid w:val="00F43EA8"/>
    <w:rsid w:val="00F54869"/>
    <w:rsid w:val="00F57A6A"/>
    <w:rsid w:val="00F628DA"/>
    <w:rsid w:val="00F810E8"/>
    <w:rsid w:val="00F831A0"/>
    <w:rsid w:val="00F92AF8"/>
    <w:rsid w:val="00F948A9"/>
    <w:rsid w:val="00F95F90"/>
    <w:rsid w:val="00F97798"/>
    <w:rsid w:val="00FA3667"/>
    <w:rsid w:val="00FC243B"/>
    <w:rsid w:val="00FD10C6"/>
    <w:rsid w:val="022D1B39"/>
    <w:rsid w:val="1A412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SG" w:eastAsia="en-SG"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rFonts w:ascii="Segoe UI" w:hAnsi="Segoe UI" w:cs="Segoe UI"/>
      <w:sz w:val="18"/>
      <w:szCs w:val="18"/>
    </w:rPr>
  </w:style>
  <w:style w:type="character" w:styleId="5">
    <w:name w:val="annotation reference"/>
    <w:semiHidden/>
    <w:unhideWhenUsed/>
    <w:uiPriority w:val="99"/>
    <w:rPr>
      <w:sz w:val="16"/>
      <w:szCs w:val="16"/>
    </w:rPr>
  </w:style>
  <w:style w:type="paragraph" w:styleId="6">
    <w:name w:val="annotation text"/>
    <w:basedOn w:val="1"/>
    <w:link w:val="12"/>
    <w:semiHidden/>
    <w:unhideWhenUsed/>
    <w:uiPriority w:val="99"/>
    <w:rPr>
      <w:sz w:val="20"/>
      <w:szCs w:val="20"/>
    </w:rPr>
  </w:style>
  <w:style w:type="paragraph" w:styleId="7">
    <w:name w:val="annotation subject"/>
    <w:basedOn w:val="6"/>
    <w:next w:val="6"/>
    <w:link w:val="13"/>
    <w:semiHidden/>
    <w:unhideWhenUsed/>
    <w:uiPriority w:val="99"/>
    <w:rPr>
      <w:b/>
      <w:bCs/>
    </w:rPr>
  </w:style>
  <w:style w:type="paragraph" w:styleId="8">
    <w:name w:val="footer"/>
    <w:basedOn w:val="1"/>
    <w:link w:val="11"/>
    <w:unhideWhenUsed/>
    <w:uiPriority w:val="99"/>
    <w:pPr>
      <w:tabs>
        <w:tab w:val="center" w:pos="4513"/>
        <w:tab w:val="right" w:pos="9026"/>
      </w:tabs>
    </w:pPr>
  </w:style>
  <w:style w:type="paragraph" w:styleId="9">
    <w:name w:val="header"/>
    <w:basedOn w:val="1"/>
    <w:link w:val="10"/>
    <w:unhideWhenUsed/>
    <w:uiPriority w:val="99"/>
    <w:pPr>
      <w:tabs>
        <w:tab w:val="center" w:pos="4513"/>
        <w:tab w:val="right" w:pos="9026"/>
      </w:tabs>
    </w:pPr>
  </w:style>
  <w:style w:type="character" w:customStyle="1" w:styleId="10">
    <w:name w:val="Header Char"/>
    <w:link w:val="9"/>
    <w:uiPriority w:val="99"/>
    <w:rPr>
      <w:sz w:val="24"/>
      <w:szCs w:val="24"/>
    </w:rPr>
  </w:style>
  <w:style w:type="character" w:customStyle="1" w:styleId="11">
    <w:name w:val="Footer Char"/>
    <w:link w:val="8"/>
    <w:uiPriority w:val="99"/>
    <w:rPr>
      <w:sz w:val="24"/>
      <w:szCs w:val="24"/>
    </w:rPr>
  </w:style>
  <w:style w:type="character" w:customStyle="1" w:styleId="12">
    <w:name w:val="Comment Text Char"/>
    <w:link w:val="6"/>
    <w:semiHidden/>
    <w:uiPriority w:val="99"/>
    <w:rPr>
      <w:lang w:val="en-SG" w:eastAsia="en-SG"/>
    </w:rPr>
  </w:style>
  <w:style w:type="character" w:customStyle="1" w:styleId="13">
    <w:name w:val="Comment Subject Char"/>
    <w:link w:val="7"/>
    <w:semiHidden/>
    <w:uiPriority w:val="99"/>
    <w:rPr>
      <w:b/>
      <w:bCs/>
      <w:lang w:val="en-SG" w:eastAsia="en-SG"/>
    </w:rPr>
  </w:style>
  <w:style w:type="character" w:customStyle="1" w:styleId="14">
    <w:name w:val="Balloon Text Char"/>
    <w:link w:val="4"/>
    <w:semiHidden/>
    <w:uiPriority w:val="99"/>
    <w:rPr>
      <w:rFonts w:ascii="Segoe UI" w:hAnsi="Segoe UI" w:cs="Segoe UI"/>
      <w:sz w:val="18"/>
      <w:szCs w:val="18"/>
      <w:lang w:val="en-SG" w:eastAsia="en-SG"/>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customXml" Target="../customXml/item1.xml"/><Relationship Id="rId4" Type="http://schemas.openxmlformats.org/officeDocument/2006/relationships/theme" Target="theme/theme1.xml"/><Relationship Id="rId9"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0B191C-DE6B-48E9-AA96-389E362DFD17}"/>
</file>

<file path=customXml/itemProps3.xml><?xml version="1.0" encoding="utf-8"?>
<ds:datastoreItem xmlns:ds="http://schemas.openxmlformats.org/officeDocument/2006/customXml" ds:itemID="{8400AC67-D990-499C-B4ED-B107FE247644}"/>
</file>

<file path=customXml/itemProps4.xml><?xml version="1.0" encoding="utf-8"?>
<ds:datastoreItem xmlns:ds="http://schemas.openxmlformats.org/officeDocument/2006/customXml" ds:itemID="{EF018440-C5A8-46DF-B14B-F92B56CABC62}"/>
</file>

<file path=docProps/app.xml><?xml version="1.0" encoding="utf-8"?>
<Properties xmlns="http://schemas.openxmlformats.org/officeDocument/2006/extended-properties" xmlns:vt="http://schemas.openxmlformats.org/officeDocument/2006/docPropsVTypes">
  <Template>Normal</Template>
  <Pages>3</Pages>
  <Words>666</Words>
  <Characters>3799</Characters>
  <Lines>31</Lines>
  <Paragraphs>8</Paragraphs>
  <TotalTime>1</TotalTime>
  <ScaleCrop>false</ScaleCrop>
  <LinksUpToDate>false</LinksUpToDate>
  <CharactersWithSpaces>4457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Giang Nam - SDPTR</dc:creator>
  <cp:lastModifiedBy>Thi Minh Nguyet Tran</cp:lastModifiedBy>
  <cp:revision>2</cp:revision>
  <cp:lastPrinted>2025-11-05T08:12:00Z</cp:lastPrinted>
  <dcterms:created xsi:type="dcterms:W3CDTF">2025-11-13T09:27:00Z</dcterms:created>
  <dcterms:modified xsi:type="dcterms:W3CDTF">2025-11-13T13:16:19Z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4EF0AD0CFF2A4D1DB67C870A9F3C8E7C_13</vt:lpwstr>
  </property>
</Properties>
</file>