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89" w:type="dxa"/>
        <w:tblBorders>
          <w:top w:val="nil"/>
          <w:bottom w:val="nil"/>
          <w:insideH w:val="nil"/>
          <w:insideV w:val="nil"/>
        </w:tblBorders>
        <w:tblCellMar>
          <w:left w:w="0" w:type="dxa"/>
          <w:right w:w="0" w:type="dxa"/>
        </w:tblCellMar>
        <w:tblLook w:val="04A0" w:firstRow="1" w:lastRow="0" w:firstColumn="1" w:lastColumn="0" w:noHBand="0" w:noVBand="1"/>
      </w:tblPr>
      <w:tblGrid>
        <w:gridCol w:w="3794"/>
        <w:gridCol w:w="6095"/>
      </w:tblGrid>
      <w:tr w:rsidR="00200771" w:rsidTr="00200771">
        <w:trPr>
          <w:trHeight w:val="708"/>
        </w:trPr>
        <w:tc>
          <w:tcPr>
            <w:tcW w:w="3794" w:type="dxa"/>
            <w:tcBorders>
              <w:top w:val="nil"/>
              <w:left w:val="nil"/>
              <w:bottom w:val="nil"/>
              <w:right w:val="nil"/>
              <w:tl2br w:val="nil"/>
              <w:tr2bl w:val="nil"/>
            </w:tcBorders>
            <w:shd w:val="clear" w:color="auto" w:fill="auto"/>
            <w:tcMar>
              <w:top w:w="0" w:type="dxa"/>
              <w:left w:w="108" w:type="dxa"/>
              <w:bottom w:w="0" w:type="dxa"/>
              <w:right w:w="108" w:type="dxa"/>
            </w:tcMar>
          </w:tcPr>
          <w:p w:rsidR="00200771" w:rsidRPr="00C6312A" w:rsidRDefault="00200771" w:rsidP="002933A6">
            <w:pPr>
              <w:spacing w:before="120"/>
              <w:jc w:val="center"/>
              <w:rPr>
                <w:sz w:val="26"/>
                <w:szCs w:val="26"/>
              </w:rPr>
            </w:pPr>
            <w:r>
              <w:rPr>
                <w:b/>
                <w:bCs/>
                <w:noProof/>
              </w:rPr>
              <mc:AlternateContent>
                <mc:Choice Requires="wps">
                  <w:drawing>
                    <wp:anchor distT="0" distB="0" distL="114300" distR="114300" simplePos="0" relativeHeight="251661312" behindDoc="0" locked="0" layoutInCell="1" allowOverlap="1" wp14:anchorId="77114936" wp14:editId="6D32945A">
                      <wp:simplePos x="0" y="0"/>
                      <wp:positionH relativeFrom="column">
                        <wp:posOffset>565785</wp:posOffset>
                      </wp:positionH>
                      <wp:positionV relativeFrom="paragraph">
                        <wp:posOffset>480695</wp:posOffset>
                      </wp:positionV>
                      <wp:extent cx="691515" cy="0"/>
                      <wp:effectExtent l="13335" t="13970" r="9525" b="508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44.55pt;margin-top:37.85pt;width:54.4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nvSIwIAAEkEAAAOAAAAZHJzL2Uyb0RvYy54bWysVMGO2jAQvVfqP1i+QwgEChFhtUqgl20X&#10;ie0HGNshVh2PZRsCqvrvtQ1BbHupqubgjDOeN29mnrN8OrcSnbixAlSB0+EII64oMKEOBf72thnM&#10;MbKOKEYkKF7gC7f4afXxw7LTOR9DA5JxgzyIsnmnC9w4p/MksbThLbFD0Fx5Zw2mJc5vzSFhhnQe&#10;vZXJeDSaJR0Ypg1Qbq3/Wl2deBXx65pT91rXljskC+y5ubiauO7DmqyWJD8YohtBbzTIP7BoiVA+&#10;6R2qIo6goxF/QLWCGrBQuyGFNoG6FpTHGnw16ei3anYN0TzW4ptj9b1N9v/B0q+nrUGCFXiCkSKt&#10;H9HOGSIOjUPPxkCHSlDKtxEMmoRuddrmPqhUWxPqpWe10y9Av1ukoGyIOvDI+u2iPVQaIpJ3IWFj&#10;tc+5774A82fI0UFs3bk2bYD0TUHnOKHLfUL87BD1H2eLdJpOMaK9KyF5H6eNdZ85tCgYBba3Mu78&#10;05iFnF6sC6xI3geEpAo2QsqoBqlQV+DFdDyNARakYMEZjllz2JfSoBMJeopPLNF7Ho8ZOCoWwRpO&#10;2PpmOyLk1fbJpQp4vi5P52ZdBfNjMVqs5+t5NsjGs/UgG1XV4HlTZoPZJv00rSZVWVbpz0AtzfJG&#10;MMZVYNeLN83+Thy3a3SV3V2+9zYk79FjvzzZ/h1Jx8GGWV5VsQd22Zp+4F6v8fDtboUL8bj39uMf&#10;YPULAAD//wMAUEsDBBQABgAIAAAAIQBCn7I43QAAAAgBAAAPAAAAZHJzL2Rvd25yZXYueG1sTI/B&#10;bsIwEETvlfgHa5F6qYoTJEqSxkEIiUOPBaRel3ibpI3XUeyQlK+vUQ/luDOj2Tf5ZjKtuFDvGssK&#10;4kUEgri0uuFKwem4f05AOI+ssbVMCn7IwaaYPeSYaTvyO10OvhKhhF2GCmrvu0xKV9Zk0C1sRxy8&#10;T9sb9OHsK6l7HEO5aeUyil6kwYbDhxo72tVUfh8Go4DcsIqjbWqq09t1fPpYXr/G7qjU43zavoLw&#10;NPn/MNzwAzoUgelsB9ZOtAqSNA5JBevVGsTNT5Ow7fwnyCKX9wOKXwAAAP//AwBQSwECLQAUAAYA&#10;CAAAACEAtoM4kv4AAADhAQAAEwAAAAAAAAAAAAAAAAAAAAAAW0NvbnRlbnRfVHlwZXNdLnhtbFBL&#10;AQItABQABgAIAAAAIQA4/SH/1gAAAJQBAAALAAAAAAAAAAAAAAAAAC8BAABfcmVscy8ucmVsc1BL&#10;AQItABQABgAIAAAAIQBjYnvSIwIAAEkEAAAOAAAAAAAAAAAAAAAAAC4CAABkcnMvZTJvRG9jLnht&#10;bFBLAQItABQABgAIAAAAIQBCn7I43QAAAAgBAAAPAAAAAAAAAAAAAAAAAH0EAABkcnMvZG93bnJl&#10;di54bWxQSwUGAAAAAAQABADzAAAAhwUAAAAA&#10;"/>
                  </w:pict>
                </mc:Fallback>
              </mc:AlternateContent>
            </w:r>
            <w:r w:rsidRPr="00C6312A">
              <w:rPr>
                <w:b/>
                <w:bCs/>
                <w:sz w:val="26"/>
                <w:szCs w:val="26"/>
                <w:lang w:val="vi-VN"/>
              </w:rPr>
              <w:t xml:space="preserve">ỦY BAN NHÂN DÂN </w:t>
            </w:r>
            <w:r w:rsidRPr="00C6312A">
              <w:rPr>
                <w:b/>
                <w:bCs/>
                <w:sz w:val="26"/>
                <w:szCs w:val="26"/>
              </w:rPr>
              <w:br/>
            </w:r>
            <w:r w:rsidRPr="00C6312A">
              <w:rPr>
                <w:b/>
                <w:bCs/>
                <w:sz w:val="26"/>
                <w:szCs w:val="26"/>
                <w:lang w:val="vi-VN"/>
              </w:rPr>
              <w:t>TỈNH BÌNH PHƯỚC</w:t>
            </w:r>
            <w:r w:rsidRPr="00C6312A">
              <w:rPr>
                <w:b/>
                <w:bCs/>
                <w:sz w:val="26"/>
                <w:szCs w:val="26"/>
              </w:rPr>
              <w:br/>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rsidR="00200771" w:rsidRDefault="00200771" w:rsidP="002933A6">
            <w:pPr>
              <w:spacing w:before="120"/>
              <w:jc w:val="center"/>
            </w:pPr>
            <w:r>
              <w:rPr>
                <w:b/>
                <w:bCs/>
                <w:noProof/>
                <w:sz w:val="26"/>
                <w:szCs w:val="26"/>
              </w:rPr>
              <mc:AlternateContent>
                <mc:Choice Requires="wps">
                  <w:drawing>
                    <wp:anchor distT="0" distB="0" distL="114300" distR="114300" simplePos="0" relativeHeight="251662336" behindDoc="0" locked="0" layoutInCell="1" allowOverlap="1" wp14:anchorId="487224B9" wp14:editId="5DF7B9ED">
                      <wp:simplePos x="0" y="0"/>
                      <wp:positionH relativeFrom="column">
                        <wp:posOffset>761365</wp:posOffset>
                      </wp:positionH>
                      <wp:positionV relativeFrom="paragraph">
                        <wp:posOffset>480695</wp:posOffset>
                      </wp:positionV>
                      <wp:extent cx="2091690" cy="635"/>
                      <wp:effectExtent l="8890" t="13970" r="13970" b="1397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6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59.95pt;margin-top:37.85pt;width:164.7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Q4OJwIAAEwEAAAOAAAAZHJzL2Uyb0RvYy54bWysVE1v2zAMvQ/YfxB0T/3RJGuMOEVhJ7t0&#10;a4F2P0CR5FiYLQqSEicY9t9HKU7QbpdhmA8yZYqPj+STl/fHviMHaZ0CXdLsJqVEag5C6V1Jv71u&#10;JneUOM+0YB1oWdKTdPR+9fHDcjCFzKGFTkhLEES7YjAlbb03RZI43sqeuRswUqOzAdszj1u7S4Rl&#10;A6L3XZKn6TwZwApjgUvn8Gt9dtJVxG8ayf1T0zjpSVdS5ObjauO6DWuyWrJiZ5lpFR9psH9g0TOl&#10;MekVqmaekb1Vf0D1iltw0PgbDn0CTaO4jDVgNVn6WzUvLTMy1oLNcebaJvf/YPnXw7MlSpQ0p0Sz&#10;Hkf04i1Tu9aTB2thIBVojW0ES/LQrcG4AoMq/WxDvfyoX8wj8O+OaKhapncysn49GYTKQkTyLiRs&#10;nMGc2+ELCDzD9h5i646N7QMkNoUc44RO1wnJoyccP+bpIpsvcJAcffPbWcRnxSXUWOc/S+hJMErq&#10;xkquJWQxETs8Oh+IseISEPJq2Kiui4LoNBlKupjlsxjgoFMiOMMxZ3fbqrPkwIKk4jOyeHfMwl6L&#10;CNZKJtaj7ZnqzjYm73TAw9KQzmidNfNjkS7Wd+u76WSaz9eTaVrXk4dNNZ3MN9mnWX1bV1Wd/QzU&#10;smnRKiGkDuwu+s2mf6eP8SadlXdV8LUNyXv02C8ke3lH0nG2YZxnYWxBnJ7tZeYo2Xh4vF7hTrzd&#10;o/32J7D6BQAA//8DAFBLAwQUAAYACAAAACEAK1Bctt8AAAAJAQAADwAAAGRycy9kb3ducmV2Lnht&#10;bEyPTW/CMAyG75P2HyJP4jKNtAwG7ZoihLQDRz6kXUPjtd0ap2pS2vHrZ07s+NqPXj/O1qNtxAU7&#10;XztSEE8jEEiFMzWVCk7Hj5cVCB80Gd04QgW/6GGdPz5kOjVuoD1eDqEUXEI+1QqqENpUSl9UaLWf&#10;uhaJd1+uszpw7EppOj1wuW3kLIrepNU18YVKt7itsPg59FYB+n4RR5vElqfddXj+nF2/h/ao1ORp&#10;3LyDCDiGOww3fVaHnJ3OrifjRcM5ThJGFSwXSxAMzOfJK4jzbbACmWfy/wf5HwAAAP//AwBQSwEC&#10;LQAUAAYACAAAACEAtoM4kv4AAADhAQAAEwAAAAAAAAAAAAAAAAAAAAAAW0NvbnRlbnRfVHlwZXNd&#10;LnhtbFBLAQItABQABgAIAAAAIQA4/SH/1gAAAJQBAAALAAAAAAAAAAAAAAAAAC8BAABfcmVscy8u&#10;cmVsc1BLAQItABQABgAIAAAAIQC7YQ4OJwIAAEwEAAAOAAAAAAAAAAAAAAAAAC4CAABkcnMvZTJv&#10;RG9jLnhtbFBLAQItABQABgAIAAAAIQArUFy23wAAAAkBAAAPAAAAAAAAAAAAAAAAAIEEAABkcnMv&#10;ZG93bnJldi54bWxQSwUGAAAAAAQABADzAAAAjQUAAAAA&#10;"/>
                  </w:pict>
                </mc:Fallback>
              </mc:AlternateContent>
            </w:r>
            <w:r w:rsidRPr="00C6312A">
              <w:rPr>
                <w:b/>
                <w:bCs/>
                <w:sz w:val="26"/>
                <w:szCs w:val="26"/>
                <w:lang w:val="vi-VN"/>
              </w:rPr>
              <w:t>CỘNG HÒA XÃ HỘI CHỦ NGHĨA VIỆT NAM</w:t>
            </w:r>
            <w:r>
              <w:rPr>
                <w:b/>
                <w:bCs/>
                <w:lang w:val="vi-VN"/>
              </w:rPr>
              <w:br/>
            </w:r>
            <w:r w:rsidRPr="00C6312A">
              <w:rPr>
                <w:b/>
                <w:bCs/>
                <w:sz w:val="28"/>
                <w:szCs w:val="28"/>
                <w:lang w:val="vi-VN"/>
              </w:rPr>
              <w:t>Độc lập - Tự do - Hạnh phúc</w:t>
            </w:r>
            <w:r>
              <w:rPr>
                <w:b/>
                <w:bCs/>
                <w:lang w:val="vi-VN"/>
              </w:rPr>
              <w:t xml:space="preserve"> </w:t>
            </w:r>
            <w:r>
              <w:rPr>
                <w:b/>
                <w:bCs/>
                <w:lang w:val="vi-VN"/>
              </w:rPr>
              <w:br/>
            </w:r>
          </w:p>
        </w:tc>
      </w:tr>
    </w:tbl>
    <w:p w:rsidR="00200771" w:rsidRDefault="00200771" w:rsidP="00200771">
      <w:pPr>
        <w:spacing w:before="120"/>
        <w:jc w:val="center"/>
        <w:rPr>
          <w:b/>
          <w:bCs/>
        </w:rPr>
      </w:pPr>
    </w:p>
    <w:p w:rsidR="00200771" w:rsidRPr="00200771" w:rsidRDefault="00200771" w:rsidP="00200771">
      <w:pPr>
        <w:spacing w:before="120"/>
        <w:jc w:val="center"/>
        <w:rPr>
          <w:sz w:val="28"/>
          <w:szCs w:val="28"/>
        </w:rPr>
      </w:pPr>
      <w:r w:rsidRPr="00200771">
        <w:rPr>
          <w:b/>
          <w:bCs/>
          <w:sz w:val="28"/>
          <w:szCs w:val="28"/>
          <w:lang w:val="vi-VN"/>
        </w:rPr>
        <w:t>QUY ĐỊNH</w:t>
      </w:r>
    </w:p>
    <w:p w:rsidR="00200771" w:rsidRPr="00200771" w:rsidRDefault="00200771" w:rsidP="00200771">
      <w:pPr>
        <w:spacing w:before="120"/>
        <w:jc w:val="center"/>
        <w:rPr>
          <w:sz w:val="28"/>
          <w:szCs w:val="28"/>
        </w:rPr>
      </w:pPr>
      <w:bookmarkStart w:id="0" w:name="loai_2_name"/>
      <w:r w:rsidRPr="00200771">
        <w:rPr>
          <w:b/>
          <w:sz w:val="28"/>
          <w:szCs w:val="28"/>
        </w:rPr>
        <w:t>T</w:t>
      </w:r>
      <w:r w:rsidRPr="00200771">
        <w:rPr>
          <w:b/>
          <w:sz w:val="28"/>
          <w:szCs w:val="28"/>
          <w:lang w:val="vi-VN"/>
        </w:rPr>
        <w:t xml:space="preserve">hời hạn lập, xét duyệt, gửi, thẩm định, thông báo kết quả thẩm định báo cáo quyết toán vốn đầu tư công nguồn ngân sách nhà nước hằng năm và trình tự, thời hạn lập, gửi, thẩm định, thông báo kết quả thẩm định báo cáo quyết toán vốn đầu tư công nguồn ngân sách nhà nước hằng năm do cấp xã quản lý trên địa bàn tỉnh </w:t>
      </w:r>
      <w:r w:rsidRPr="00200771">
        <w:rPr>
          <w:b/>
          <w:sz w:val="28"/>
          <w:szCs w:val="28"/>
        </w:rPr>
        <w:t>B</w:t>
      </w:r>
      <w:r w:rsidRPr="00200771">
        <w:rPr>
          <w:b/>
          <w:sz w:val="28"/>
          <w:szCs w:val="28"/>
          <w:lang w:val="vi-VN"/>
        </w:rPr>
        <w:t xml:space="preserve">ình </w:t>
      </w:r>
      <w:r w:rsidRPr="00200771">
        <w:rPr>
          <w:b/>
          <w:sz w:val="28"/>
          <w:szCs w:val="28"/>
        </w:rPr>
        <w:t>P</w:t>
      </w:r>
      <w:r w:rsidRPr="00200771">
        <w:rPr>
          <w:b/>
          <w:sz w:val="28"/>
          <w:szCs w:val="28"/>
          <w:lang w:val="vi-VN"/>
        </w:rPr>
        <w:t>hước</w:t>
      </w:r>
      <w:bookmarkEnd w:id="0"/>
      <w:r w:rsidRPr="00200771">
        <w:rPr>
          <w:sz w:val="28"/>
          <w:szCs w:val="28"/>
          <w:lang w:val="vi-VN"/>
        </w:rPr>
        <w:br/>
      </w:r>
      <w:r w:rsidRPr="00200771">
        <w:rPr>
          <w:i/>
          <w:iCs/>
          <w:sz w:val="28"/>
          <w:szCs w:val="28"/>
          <w:lang w:val="vi-VN"/>
        </w:rPr>
        <w:t>(Kèm theo Quyết định số 17/2022/QĐ-UBND ngày 15 tháng 8 năm 2022 của Ủy ban nhân dân tỉnh Bình Phước)</w:t>
      </w:r>
    </w:p>
    <w:p w:rsidR="00200771" w:rsidRPr="00200771" w:rsidRDefault="00200771" w:rsidP="00200771">
      <w:pPr>
        <w:spacing w:before="240"/>
        <w:jc w:val="center"/>
        <w:rPr>
          <w:sz w:val="28"/>
          <w:szCs w:val="28"/>
        </w:rPr>
      </w:pPr>
      <w:bookmarkStart w:id="1" w:name="chuong_1"/>
      <w:r w:rsidRPr="00200771">
        <w:rPr>
          <w:b/>
          <w:bCs/>
          <w:noProof/>
          <w:sz w:val="28"/>
          <w:szCs w:val="28"/>
        </w:rPr>
        <mc:AlternateContent>
          <mc:Choice Requires="wps">
            <w:drawing>
              <wp:anchor distT="0" distB="0" distL="114300" distR="114300" simplePos="0" relativeHeight="251659264" behindDoc="0" locked="0" layoutInCell="1" allowOverlap="1" wp14:anchorId="05852116" wp14:editId="5F530F80">
                <wp:simplePos x="0" y="0"/>
                <wp:positionH relativeFrom="column">
                  <wp:posOffset>2631882</wp:posOffset>
                </wp:positionH>
                <wp:positionV relativeFrom="paragraph">
                  <wp:posOffset>4307</wp:posOffset>
                </wp:positionV>
                <wp:extent cx="787179" cy="0"/>
                <wp:effectExtent l="0" t="0" r="13335" b="19050"/>
                <wp:wrapNone/>
                <wp:docPr id="1" name="Straight Connector 1"/>
                <wp:cNvGraphicFramePr/>
                <a:graphic xmlns:a="http://schemas.openxmlformats.org/drawingml/2006/main">
                  <a:graphicData uri="http://schemas.microsoft.com/office/word/2010/wordprocessingShape">
                    <wps:wsp>
                      <wps:cNvCnPr/>
                      <wps:spPr>
                        <a:xfrm>
                          <a:off x="0" y="0"/>
                          <a:ext cx="7871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7.25pt,.35pt" to="269.2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oCatAEAALYDAAAOAAAAZHJzL2Uyb0RvYy54bWysU8GO0zAQvSPxD5bvNM0e6BI13UNXcEFQ&#10;sfABXmfcWGt7rLFp079n7LZZBAghtBfHY783M+95sr6bvBMHoGQx9LJdLKWAoHGwYd/Lb1/fv7mV&#10;ImUVBuUwQC9PkOTd5vWr9TF2cIMjugFIcJKQumPs5Zhz7Jom6RG8SguMEPjSIHmVOaR9M5A6cnbv&#10;mpvl8m1zRBoioYaU+PT+fCk3Nb8xoPNnYxJk4XrJveW6Ul0fy9ps1qrbk4qj1Zc21H904ZUNXHRO&#10;da+yEt/J/pbKW02Y0OSFRt+gMVZD1cBq2uUvah5GFaFqYXNSnG1KL5dWfzrsSNiB306KoDw/0UMm&#10;ZfdjFlsMgQ1EEm3x6RhTx/Bt2NElSnFHRfRkyJcvyxFT9fY0ewtTFpoPV7erdvVOCn29ap55kVL+&#10;AOhF2fTS2VBUq04dPqbMtRh6hXBQ+jhXrrt8clDALnwBw0q4VlvZdYZg60gcFL/+8FRVcK6KLBRj&#10;nZtJy7+TLthCgzpX/0qc0bUihjwTvQ1If6qap2ur5oy/qj5rLbIfcTjVd6h28HBUly6DXKbv57jS&#10;n3+3zQ8AAAD//wMAUEsDBBQABgAIAAAAIQAZfbHz2gAAAAUBAAAPAAAAZHJzL2Rvd25yZXYueG1s&#10;TI5NT8MwEETvSP0P1lbqjTqlLY1CnArxcSqHEDhwdOMliRqvo9hNAr++2xMcRzN689L9ZFsxYO8b&#10;RwpWywgEUulMQ5WCz4/X2xiED5qMbh2hgh/0sM9mN6lOjBvpHYciVIIh5BOtoA6hS6T0ZY1W+6Xr&#10;kLj7dr3VgWNfSdPrkeG2lXdRdC+tbogfat3hU43lqThbBbuXQ5F34/Pbby53Ms8HF+LTl1KL+fT4&#10;ACLgFP7GcNVndcjY6ejOZLxoFWxWmy1PGQaC6+065ni8Rpml8r99dgEAAP//AwBQSwECLQAUAAYA&#10;CAAAACEAtoM4kv4AAADhAQAAEwAAAAAAAAAAAAAAAAAAAAAAW0NvbnRlbnRfVHlwZXNdLnhtbFBL&#10;AQItABQABgAIAAAAIQA4/SH/1gAAAJQBAAALAAAAAAAAAAAAAAAAAC8BAABfcmVscy8ucmVsc1BL&#10;AQItABQABgAIAAAAIQAKUoCatAEAALYDAAAOAAAAAAAAAAAAAAAAAC4CAABkcnMvZTJvRG9jLnht&#10;bFBLAQItABQABgAIAAAAIQAZfbHz2gAAAAUBAAAPAAAAAAAAAAAAAAAAAA4EAABkcnMvZG93bnJl&#10;di54bWxQSwUGAAAAAAQABADzAAAAFQUAAAAA&#10;" strokecolor="black [3040]"/>
            </w:pict>
          </mc:Fallback>
        </mc:AlternateContent>
      </w:r>
      <w:r w:rsidRPr="00200771">
        <w:rPr>
          <w:b/>
          <w:bCs/>
          <w:sz w:val="28"/>
          <w:szCs w:val="28"/>
          <w:lang w:val="vi-VN"/>
        </w:rPr>
        <w:t>Chương I</w:t>
      </w:r>
      <w:bookmarkEnd w:id="1"/>
    </w:p>
    <w:p w:rsidR="00200771" w:rsidRPr="00200771" w:rsidRDefault="00200771" w:rsidP="00200771">
      <w:pPr>
        <w:spacing w:after="100" w:afterAutospacing="1"/>
        <w:jc w:val="center"/>
        <w:rPr>
          <w:sz w:val="28"/>
          <w:szCs w:val="28"/>
        </w:rPr>
      </w:pPr>
      <w:bookmarkStart w:id="2" w:name="chuong_1_name"/>
      <w:r w:rsidRPr="00200771">
        <w:rPr>
          <w:b/>
          <w:bCs/>
          <w:sz w:val="28"/>
          <w:szCs w:val="28"/>
          <w:lang w:val="vi-VN"/>
        </w:rPr>
        <w:t>QUY ĐỊNH CHUNG</w:t>
      </w:r>
      <w:bookmarkEnd w:id="2"/>
    </w:p>
    <w:p w:rsidR="00200771" w:rsidRPr="00200771" w:rsidRDefault="00200771" w:rsidP="00200771">
      <w:pPr>
        <w:spacing w:before="120"/>
        <w:jc w:val="both"/>
        <w:rPr>
          <w:sz w:val="28"/>
          <w:szCs w:val="28"/>
        </w:rPr>
      </w:pPr>
      <w:bookmarkStart w:id="3" w:name="dieu_1_1"/>
      <w:r>
        <w:rPr>
          <w:b/>
          <w:bCs/>
          <w:sz w:val="28"/>
          <w:szCs w:val="28"/>
        </w:rPr>
        <w:tab/>
      </w:r>
      <w:r w:rsidRPr="00200771">
        <w:rPr>
          <w:b/>
          <w:bCs/>
          <w:sz w:val="28"/>
          <w:szCs w:val="28"/>
          <w:lang w:val="vi-VN"/>
        </w:rPr>
        <w:t>Điều 1. Phạm vi điều chỉnh</w:t>
      </w:r>
      <w:bookmarkEnd w:id="3"/>
    </w:p>
    <w:p w:rsidR="00200771" w:rsidRPr="00200771" w:rsidRDefault="00200771" w:rsidP="00200771">
      <w:pPr>
        <w:spacing w:before="120"/>
        <w:jc w:val="both"/>
        <w:rPr>
          <w:sz w:val="28"/>
          <w:szCs w:val="28"/>
        </w:rPr>
      </w:pPr>
      <w:r>
        <w:rPr>
          <w:sz w:val="28"/>
          <w:szCs w:val="28"/>
        </w:rPr>
        <w:tab/>
      </w:r>
      <w:r w:rsidRPr="00200771">
        <w:rPr>
          <w:sz w:val="28"/>
          <w:szCs w:val="28"/>
          <w:lang w:val="vi-VN"/>
        </w:rPr>
        <w:t>Quyết định này quy định thời hạn lập, xét duyệt, gửi, thẩm định, thông báo kết quả thẩm định báo cáo quyết toán vốn đầu tư công nguồn ngân sách nhà nước hằng năm và trình tự, thời hạn lập, gửi, thẩm định, thông báo kết quả thẩm định báo cáo quyết toán vốn đầu tư công nguồn ngân sách nhà nước hằng năm do cấp xã quản lý trên địa bàn tỉnh Bình Phước theo quy định của Luật Ngân sách nhà nước, Luật Đầu tư công và các văn bản hướng dẫn.</w:t>
      </w:r>
    </w:p>
    <w:p w:rsidR="00200771" w:rsidRPr="00200771" w:rsidRDefault="00200771" w:rsidP="00200771">
      <w:pPr>
        <w:spacing w:before="120"/>
        <w:jc w:val="both"/>
        <w:rPr>
          <w:sz w:val="28"/>
          <w:szCs w:val="28"/>
        </w:rPr>
      </w:pPr>
      <w:bookmarkStart w:id="4" w:name="dieu_2_1"/>
      <w:r>
        <w:rPr>
          <w:b/>
          <w:bCs/>
          <w:sz w:val="28"/>
          <w:szCs w:val="28"/>
        </w:rPr>
        <w:tab/>
      </w:r>
      <w:r w:rsidRPr="00200771">
        <w:rPr>
          <w:b/>
          <w:bCs/>
          <w:sz w:val="28"/>
          <w:szCs w:val="28"/>
          <w:lang w:val="vi-VN"/>
        </w:rPr>
        <w:t>Điều 2. Đối tượng áp dụng</w:t>
      </w:r>
      <w:bookmarkEnd w:id="4"/>
    </w:p>
    <w:p w:rsidR="00200771" w:rsidRPr="00200771" w:rsidRDefault="00200771" w:rsidP="00200771">
      <w:pPr>
        <w:spacing w:before="120"/>
        <w:jc w:val="both"/>
        <w:rPr>
          <w:sz w:val="28"/>
          <w:szCs w:val="28"/>
        </w:rPr>
      </w:pPr>
      <w:r>
        <w:rPr>
          <w:sz w:val="28"/>
          <w:szCs w:val="28"/>
        </w:rPr>
        <w:tab/>
      </w:r>
      <w:r w:rsidRPr="00200771">
        <w:rPr>
          <w:sz w:val="28"/>
          <w:szCs w:val="28"/>
          <w:lang w:val="vi-VN"/>
        </w:rPr>
        <w:t>1. Sở Tài chính.</w:t>
      </w:r>
    </w:p>
    <w:p w:rsidR="00200771" w:rsidRPr="00200771" w:rsidRDefault="00200771" w:rsidP="00200771">
      <w:pPr>
        <w:spacing w:before="120"/>
        <w:jc w:val="both"/>
        <w:rPr>
          <w:sz w:val="28"/>
          <w:szCs w:val="28"/>
        </w:rPr>
      </w:pPr>
      <w:r>
        <w:rPr>
          <w:sz w:val="28"/>
          <w:szCs w:val="28"/>
        </w:rPr>
        <w:tab/>
      </w:r>
      <w:r w:rsidRPr="00200771">
        <w:rPr>
          <w:sz w:val="28"/>
          <w:szCs w:val="28"/>
          <w:lang w:val="vi-VN"/>
        </w:rPr>
        <w:t>2. Kho bạc Nhà nước Bình Phước.</w:t>
      </w:r>
    </w:p>
    <w:p w:rsidR="00200771" w:rsidRPr="00200771" w:rsidRDefault="00200771" w:rsidP="00200771">
      <w:pPr>
        <w:spacing w:before="120"/>
        <w:jc w:val="both"/>
        <w:rPr>
          <w:sz w:val="28"/>
          <w:szCs w:val="28"/>
        </w:rPr>
      </w:pPr>
      <w:r>
        <w:rPr>
          <w:sz w:val="28"/>
          <w:szCs w:val="28"/>
        </w:rPr>
        <w:tab/>
      </w:r>
      <w:r w:rsidRPr="00200771">
        <w:rPr>
          <w:sz w:val="28"/>
          <w:szCs w:val="28"/>
          <w:lang w:val="vi-VN"/>
        </w:rPr>
        <w:t>3. Ủy ban nhân dân các huyện, thị xã, thành phố (sau đây gọi tắt là Ủy ban nhân dân cấp huyện).</w:t>
      </w:r>
    </w:p>
    <w:p w:rsidR="00200771" w:rsidRPr="00200771" w:rsidRDefault="00200771" w:rsidP="00200771">
      <w:pPr>
        <w:spacing w:before="120"/>
        <w:jc w:val="both"/>
        <w:rPr>
          <w:sz w:val="28"/>
          <w:szCs w:val="28"/>
        </w:rPr>
      </w:pPr>
      <w:r>
        <w:rPr>
          <w:sz w:val="28"/>
          <w:szCs w:val="28"/>
        </w:rPr>
        <w:tab/>
      </w:r>
      <w:r w:rsidRPr="00200771">
        <w:rPr>
          <w:sz w:val="28"/>
          <w:szCs w:val="28"/>
          <w:lang w:val="vi-VN"/>
        </w:rPr>
        <w:t>4. Phòng Tài chính - Kế hoạch các huyện, thị xã, thành phố (sau đây gọi tắt là Phòng Tài chính - Kế hoạch huyện).</w:t>
      </w:r>
    </w:p>
    <w:p w:rsidR="00200771" w:rsidRPr="00200771" w:rsidRDefault="00200771" w:rsidP="00200771">
      <w:pPr>
        <w:spacing w:before="120"/>
        <w:jc w:val="both"/>
        <w:rPr>
          <w:sz w:val="28"/>
          <w:szCs w:val="28"/>
        </w:rPr>
      </w:pPr>
      <w:r>
        <w:rPr>
          <w:sz w:val="28"/>
          <w:szCs w:val="28"/>
        </w:rPr>
        <w:tab/>
      </w:r>
      <w:r w:rsidRPr="00200771">
        <w:rPr>
          <w:sz w:val="28"/>
          <w:szCs w:val="28"/>
          <w:lang w:val="vi-VN"/>
        </w:rPr>
        <w:t>5. Kho bạc Nhà nước các huyện, thị xã, thành phố (sau đây gọi tắt là Kho bạc Nhà nước huyện).</w:t>
      </w:r>
    </w:p>
    <w:p w:rsidR="00200771" w:rsidRPr="00200771" w:rsidRDefault="00200771" w:rsidP="00200771">
      <w:pPr>
        <w:spacing w:before="120"/>
        <w:jc w:val="both"/>
        <w:rPr>
          <w:sz w:val="28"/>
          <w:szCs w:val="28"/>
        </w:rPr>
      </w:pPr>
      <w:r>
        <w:rPr>
          <w:sz w:val="28"/>
          <w:szCs w:val="28"/>
        </w:rPr>
        <w:tab/>
      </w:r>
      <w:r w:rsidRPr="00200771">
        <w:rPr>
          <w:sz w:val="28"/>
          <w:szCs w:val="28"/>
          <w:lang w:val="vi-VN"/>
        </w:rPr>
        <w:t>6. Ủy ban nhân dân các xã, phường, thị trấn (sau đây gọi tắt là Ủy ban nhân dân cấp xã).</w:t>
      </w:r>
    </w:p>
    <w:p w:rsidR="00200771" w:rsidRPr="00200771" w:rsidRDefault="00200771" w:rsidP="00200771">
      <w:pPr>
        <w:spacing w:before="120"/>
        <w:jc w:val="both"/>
        <w:rPr>
          <w:sz w:val="28"/>
          <w:szCs w:val="28"/>
        </w:rPr>
      </w:pPr>
      <w:r>
        <w:rPr>
          <w:sz w:val="28"/>
          <w:szCs w:val="28"/>
        </w:rPr>
        <w:tab/>
      </w:r>
      <w:r w:rsidRPr="00200771">
        <w:rPr>
          <w:sz w:val="28"/>
          <w:szCs w:val="28"/>
          <w:lang w:val="vi-VN"/>
        </w:rPr>
        <w:t>7. Các chủ đầu tư.</w:t>
      </w:r>
    </w:p>
    <w:p w:rsidR="00200771" w:rsidRPr="00200771" w:rsidRDefault="00200771" w:rsidP="00200771">
      <w:pPr>
        <w:spacing w:before="120"/>
        <w:jc w:val="both"/>
        <w:rPr>
          <w:sz w:val="28"/>
          <w:szCs w:val="28"/>
        </w:rPr>
      </w:pPr>
      <w:r>
        <w:rPr>
          <w:sz w:val="28"/>
          <w:szCs w:val="28"/>
        </w:rPr>
        <w:tab/>
      </w:r>
      <w:r w:rsidRPr="00200771">
        <w:rPr>
          <w:sz w:val="28"/>
          <w:szCs w:val="28"/>
          <w:lang w:val="vi-VN"/>
        </w:rPr>
        <w:t>8. Các cơ quan và đơn vị khác có liên quan được giao quản lý vốn đầu tư công nguồn ngân sách nhà nước hằng năm trên địa bàn tỉnh.</w:t>
      </w:r>
    </w:p>
    <w:p w:rsidR="00200771" w:rsidRPr="00200771" w:rsidRDefault="00200771" w:rsidP="00200771">
      <w:pPr>
        <w:spacing w:before="120"/>
        <w:jc w:val="center"/>
        <w:rPr>
          <w:sz w:val="28"/>
          <w:szCs w:val="28"/>
        </w:rPr>
      </w:pPr>
      <w:bookmarkStart w:id="5" w:name="chuong_2"/>
      <w:r w:rsidRPr="00200771">
        <w:rPr>
          <w:b/>
          <w:bCs/>
          <w:sz w:val="28"/>
          <w:szCs w:val="28"/>
          <w:lang w:val="vi-VN"/>
        </w:rPr>
        <w:lastRenderedPageBreak/>
        <w:t>Chương II</w:t>
      </w:r>
      <w:bookmarkEnd w:id="5"/>
    </w:p>
    <w:p w:rsidR="00200771" w:rsidRPr="00200771" w:rsidRDefault="00200771" w:rsidP="00200771">
      <w:pPr>
        <w:spacing w:before="120"/>
        <w:jc w:val="center"/>
        <w:rPr>
          <w:sz w:val="28"/>
          <w:szCs w:val="28"/>
        </w:rPr>
      </w:pPr>
      <w:bookmarkStart w:id="6" w:name="chuong_2_name"/>
      <w:r w:rsidRPr="00200771">
        <w:rPr>
          <w:b/>
          <w:bCs/>
          <w:sz w:val="28"/>
          <w:szCs w:val="28"/>
          <w:lang w:val="vi-VN"/>
        </w:rPr>
        <w:t>QUY ĐỊNH CỤ THỂ</w:t>
      </w:r>
      <w:bookmarkEnd w:id="6"/>
    </w:p>
    <w:p w:rsidR="00200771" w:rsidRPr="00200771" w:rsidRDefault="00200771" w:rsidP="00200771">
      <w:pPr>
        <w:spacing w:before="120"/>
        <w:jc w:val="both"/>
        <w:rPr>
          <w:sz w:val="28"/>
          <w:szCs w:val="28"/>
        </w:rPr>
      </w:pPr>
      <w:bookmarkStart w:id="7" w:name="dieu_3"/>
      <w:r>
        <w:rPr>
          <w:b/>
          <w:bCs/>
          <w:sz w:val="28"/>
          <w:szCs w:val="28"/>
        </w:rPr>
        <w:tab/>
      </w:r>
      <w:r w:rsidRPr="00200771">
        <w:rPr>
          <w:b/>
          <w:bCs/>
          <w:sz w:val="28"/>
          <w:szCs w:val="28"/>
          <w:lang w:val="vi-VN"/>
        </w:rPr>
        <w:t>Điều 3. Thời hạn lập, xét duyệt, gửi, thẩm định, thông báo kết quả thẩm định báo cáo quyết toán vốn đầu tư công nguồn ngân sách nhà nước hằng năm</w:t>
      </w:r>
      <w:bookmarkEnd w:id="7"/>
    </w:p>
    <w:p w:rsidR="00200771" w:rsidRPr="00200771" w:rsidRDefault="00200771" w:rsidP="00200771">
      <w:pPr>
        <w:spacing w:before="120"/>
        <w:jc w:val="both"/>
        <w:rPr>
          <w:sz w:val="28"/>
          <w:szCs w:val="28"/>
        </w:rPr>
      </w:pPr>
      <w:r>
        <w:rPr>
          <w:sz w:val="28"/>
          <w:szCs w:val="28"/>
        </w:rPr>
        <w:tab/>
      </w:r>
      <w:r w:rsidRPr="00200771">
        <w:rPr>
          <w:sz w:val="28"/>
          <w:szCs w:val="28"/>
          <w:lang w:val="vi-VN"/>
        </w:rPr>
        <w:t>1. Đối với nguồn vốn đầu tư công thuộc ngân sách của Ủy ban nhân dân tỉnh quản lý:</w:t>
      </w:r>
    </w:p>
    <w:p w:rsidR="00200771" w:rsidRPr="00200771" w:rsidRDefault="00200771" w:rsidP="00200771">
      <w:pPr>
        <w:spacing w:before="120"/>
        <w:jc w:val="both"/>
        <w:rPr>
          <w:sz w:val="28"/>
          <w:szCs w:val="28"/>
        </w:rPr>
      </w:pPr>
      <w:r>
        <w:rPr>
          <w:sz w:val="28"/>
          <w:szCs w:val="28"/>
        </w:rPr>
        <w:tab/>
      </w:r>
      <w:r w:rsidRPr="00200771">
        <w:rPr>
          <w:sz w:val="28"/>
          <w:szCs w:val="28"/>
          <w:lang w:val="vi-VN"/>
        </w:rPr>
        <w:t>a) Các chủ đầu tư (hoặc Ban Quản lý dự án chuyên ngành, Ban Quản lý dự án khu vực) lập báo cáo quyết toán năm gửi các sở, ban, ngành thuộc Ủy ban nhân dân tỉnh; các phòng, ban thuộc Ủy ban nhân dân cấp huyện theo phân cấp quản lý lập báo cáo quyết toán năm gửi Ủy ban nhân dân cấp huyện trước ngày 25 tháng 3 năm sau năm quyết toán.</w:t>
      </w:r>
    </w:p>
    <w:p w:rsidR="00200771" w:rsidRPr="00200771" w:rsidRDefault="00200771" w:rsidP="00200771">
      <w:pPr>
        <w:spacing w:before="120"/>
        <w:jc w:val="both"/>
        <w:rPr>
          <w:sz w:val="28"/>
          <w:szCs w:val="28"/>
        </w:rPr>
      </w:pPr>
      <w:r>
        <w:rPr>
          <w:sz w:val="28"/>
          <w:szCs w:val="28"/>
        </w:rPr>
        <w:tab/>
      </w:r>
      <w:r w:rsidRPr="00200771">
        <w:rPr>
          <w:sz w:val="28"/>
          <w:szCs w:val="28"/>
          <w:lang w:val="vi-VN"/>
        </w:rPr>
        <w:t>b) Các sở, ban, ngành thuộc Ủy ban nhân dân tỉnh; Ủy ban nhân dân cấp huyện theo phân cấp quản lý xét duyệt quyết toán năm của các chủ đầu tư; tổng hợp, lập báo cáo quyết toán năm gửi Sở Tài chính trước ngày 15 tháng 4 năm sau năm quyết toán.</w:t>
      </w:r>
    </w:p>
    <w:p w:rsidR="00200771" w:rsidRPr="00200771" w:rsidRDefault="00200771" w:rsidP="00200771">
      <w:pPr>
        <w:spacing w:before="120"/>
        <w:jc w:val="both"/>
        <w:rPr>
          <w:sz w:val="28"/>
          <w:szCs w:val="28"/>
        </w:rPr>
      </w:pPr>
      <w:r>
        <w:rPr>
          <w:sz w:val="28"/>
          <w:szCs w:val="28"/>
        </w:rPr>
        <w:tab/>
      </w:r>
      <w:r w:rsidRPr="00200771">
        <w:rPr>
          <w:sz w:val="28"/>
          <w:szCs w:val="28"/>
          <w:lang w:val="vi-VN"/>
        </w:rPr>
        <w:t>c) Kho bạc Nhà nước Bình Phước tổng hợp số liệu quyết toán năm gửi Sở Tài chính và Kho bạc Nhà nước trước ngày 15 tháng 5 năm sau năm quyết toán.</w:t>
      </w:r>
    </w:p>
    <w:p w:rsidR="00200771" w:rsidRPr="00200771" w:rsidRDefault="00200771" w:rsidP="00200771">
      <w:pPr>
        <w:spacing w:before="120"/>
        <w:jc w:val="both"/>
        <w:rPr>
          <w:sz w:val="28"/>
          <w:szCs w:val="28"/>
        </w:rPr>
      </w:pPr>
      <w:r>
        <w:rPr>
          <w:sz w:val="28"/>
          <w:szCs w:val="28"/>
        </w:rPr>
        <w:tab/>
      </w:r>
      <w:r w:rsidRPr="00200771">
        <w:rPr>
          <w:sz w:val="28"/>
          <w:szCs w:val="28"/>
          <w:lang w:val="vi-VN"/>
        </w:rPr>
        <w:t>2. Đối với nguồn vốn đầu tư công thuộc ngân sách của Ủy ban nhân dân cấp huyện quản lý:</w:t>
      </w:r>
    </w:p>
    <w:p w:rsidR="00200771" w:rsidRPr="00200771" w:rsidRDefault="00200771" w:rsidP="00200771">
      <w:pPr>
        <w:spacing w:before="120"/>
        <w:jc w:val="both"/>
        <w:rPr>
          <w:sz w:val="28"/>
          <w:szCs w:val="28"/>
        </w:rPr>
      </w:pPr>
      <w:r>
        <w:rPr>
          <w:sz w:val="28"/>
          <w:szCs w:val="28"/>
        </w:rPr>
        <w:tab/>
      </w:r>
      <w:r w:rsidRPr="00200771">
        <w:rPr>
          <w:sz w:val="28"/>
          <w:szCs w:val="28"/>
          <w:lang w:val="vi-VN"/>
        </w:rPr>
        <w:t>a) Các chủ đầu tư (hoặc Ban Quản lý dự án chuyên ngành, Ban Quản lý dự án khu vực) lập báo cáo quyết toán năm gửi Phòng Tài chính - Kế hoạch huyện trước ngày 01 tháng 3 năm sau năm quyết toán.</w:t>
      </w:r>
    </w:p>
    <w:p w:rsidR="00200771" w:rsidRPr="00200771" w:rsidRDefault="00200771" w:rsidP="00200771">
      <w:pPr>
        <w:spacing w:before="120"/>
        <w:jc w:val="both"/>
        <w:rPr>
          <w:sz w:val="28"/>
          <w:szCs w:val="28"/>
        </w:rPr>
      </w:pPr>
      <w:r>
        <w:rPr>
          <w:sz w:val="28"/>
          <w:szCs w:val="28"/>
        </w:rPr>
        <w:tab/>
      </w:r>
      <w:r w:rsidRPr="00200771">
        <w:rPr>
          <w:sz w:val="28"/>
          <w:szCs w:val="28"/>
          <w:lang w:val="vi-VN"/>
        </w:rPr>
        <w:t>b) Kho bạc Nhà nước huyện tổng hợp số liệu quyết toán năm gửi Phòng Tài chính - Kế hoạch huyện và Kho bạc Nhà nước Bình Phước trước ngày 15 tháng 3 năm sau năm quyết toán.</w:t>
      </w:r>
    </w:p>
    <w:p w:rsidR="00200771" w:rsidRPr="00200771" w:rsidRDefault="00200771" w:rsidP="00200771">
      <w:pPr>
        <w:spacing w:before="120"/>
        <w:jc w:val="both"/>
        <w:rPr>
          <w:sz w:val="28"/>
          <w:szCs w:val="28"/>
        </w:rPr>
      </w:pPr>
      <w:r>
        <w:rPr>
          <w:sz w:val="28"/>
          <w:szCs w:val="28"/>
        </w:rPr>
        <w:tab/>
      </w:r>
      <w:r w:rsidRPr="00200771">
        <w:rPr>
          <w:sz w:val="28"/>
          <w:szCs w:val="28"/>
          <w:lang w:val="vi-VN"/>
        </w:rPr>
        <w:t>3. Thời gian thẩm định và thông báo kết quả thẩm định báo cáo quyết toán năm:</w:t>
      </w:r>
    </w:p>
    <w:p w:rsidR="00200771" w:rsidRPr="00200771" w:rsidRDefault="00200771" w:rsidP="00200771">
      <w:pPr>
        <w:spacing w:before="120"/>
        <w:jc w:val="both"/>
        <w:rPr>
          <w:sz w:val="28"/>
          <w:szCs w:val="28"/>
        </w:rPr>
      </w:pPr>
      <w:r>
        <w:rPr>
          <w:sz w:val="28"/>
          <w:szCs w:val="28"/>
        </w:rPr>
        <w:tab/>
      </w:r>
      <w:r w:rsidRPr="00200771">
        <w:rPr>
          <w:sz w:val="28"/>
          <w:szCs w:val="28"/>
          <w:lang w:val="vi-VN"/>
        </w:rPr>
        <w:t>Trong thời hạn 30 ngày kể từ ngày nhận đủ hồ sơ theo quy định tại Nghị định số 99/2021/NĐ-CP ngày 11/11/2021 của Chính phủ quy định về quản lý, thanh toán, quyết toán dự án sử dụng vốn đầu tư công: Sở Tài chính, Phòng Tài chính - Kế hoạch huyện thẩm định và ra thông báo thẩm định báo cáo quyết toán năm gửi từng sở, phòng, ban thuộc Ủy ban nhân dân tỉnh, Ủy ban nhân dân cấp huyện theo phân cấp quản lý, chủ đầu tư và Kho bạc Nhà nước cùng cấp; tổng hợp số liệu vào quyết toán ngân sách địa phương hàng năm báo cáo Ủy ban nhân dân cùng cấp để trình Hội đồng nhân dân cùng cấp phê chuẩn.</w:t>
      </w:r>
    </w:p>
    <w:p w:rsidR="00200771" w:rsidRPr="00200771" w:rsidRDefault="00200771" w:rsidP="00200771">
      <w:pPr>
        <w:spacing w:before="120"/>
        <w:jc w:val="both"/>
        <w:rPr>
          <w:sz w:val="28"/>
          <w:szCs w:val="28"/>
        </w:rPr>
      </w:pPr>
      <w:bookmarkStart w:id="8" w:name="dieu_4"/>
      <w:r>
        <w:rPr>
          <w:b/>
          <w:bCs/>
          <w:sz w:val="28"/>
          <w:szCs w:val="28"/>
        </w:rPr>
        <w:lastRenderedPageBreak/>
        <w:tab/>
      </w:r>
      <w:r w:rsidRPr="00200771">
        <w:rPr>
          <w:b/>
          <w:bCs/>
          <w:sz w:val="28"/>
          <w:szCs w:val="28"/>
          <w:lang w:val="vi-VN"/>
        </w:rPr>
        <w:t>Điều 4. Trình tự, thời hạn lập, gửi, thẩm định, thông báo kết quả thẩm định báo cáo quyết toán vốn đầu tư công nguồn ngân sách nhà nước hằng năm do cấp xã quản lý</w:t>
      </w:r>
      <w:bookmarkEnd w:id="8"/>
    </w:p>
    <w:p w:rsidR="00200771" w:rsidRPr="00200771" w:rsidRDefault="00200771" w:rsidP="00200771">
      <w:pPr>
        <w:spacing w:before="120"/>
        <w:jc w:val="both"/>
        <w:rPr>
          <w:sz w:val="28"/>
          <w:szCs w:val="28"/>
        </w:rPr>
      </w:pPr>
      <w:r>
        <w:rPr>
          <w:sz w:val="28"/>
          <w:szCs w:val="28"/>
        </w:rPr>
        <w:tab/>
      </w:r>
      <w:r w:rsidRPr="00200771">
        <w:rPr>
          <w:sz w:val="28"/>
          <w:szCs w:val="28"/>
          <w:lang w:val="vi-VN"/>
        </w:rPr>
        <w:t>1. Lập, gửi báo cáo quyết toán vốn đầu tư công</w:t>
      </w:r>
    </w:p>
    <w:p w:rsidR="00200771" w:rsidRPr="00200771" w:rsidRDefault="00200771" w:rsidP="00200771">
      <w:pPr>
        <w:spacing w:before="120"/>
        <w:jc w:val="both"/>
        <w:rPr>
          <w:sz w:val="28"/>
          <w:szCs w:val="28"/>
        </w:rPr>
      </w:pPr>
      <w:r>
        <w:rPr>
          <w:sz w:val="28"/>
          <w:szCs w:val="28"/>
        </w:rPr>
        <w:tab/>
      </w:r>
      <w:r w:rsidRPr="00200771">
        <w:rPr>
          <w:sz w:val="28"/>
          <w:szCs w:val="28"/>
          <w:lang w:val="vi-VN"/>
        </w:rPr>
        <w:t>a) Cơ quan lập báo cáo: Ủy ban nhân dân cấp xã.</w:t>
      </w:r>
    </w:p>
    <w:p w:rsidR="00200771" w:rsidRPr="00200771" w:rsidRDefault="00200771" w:rsidP="00200771">
      <w:pPr>
        <w:spacing w:before="120"/>
        <w:jc w:val="both"/>
        <w:rPr>
          <w:sz w:val="28"/>
          <w:szCs w:val="28"/>
        </w:rPr>
      </w:pPr>
      <w:r>
        <w:rPr>
          <w:sz w:val="28"/>
          <w:szCs w:val="28"/>
        </w:rPr>
        <w:tab/>
      </w:r>
      <w:r w:rsidRPr="00200771">
        <w:rPr>
          <w:sz w:val="28"/>
          <w:szCs w:val="28"/>
          <w:lang w:val="vi-VN"/>
        </w:rPr>
        <w:t>b) Nội dung báo cáo:</w:t>
      </w:r>
    </w:p>
    <w:p w:rsidR="00200771" w:rsidRPr="00200771" w:rsidRDefault="00200771" w:rsidP="00200771">
      <w:pPr>
        <w:spacing w:before="120"/>
        <w:jc w:val="both"/>
        <w:rPr>
          <w:sz w:val="28"/>
          <w:szCs w:val="28"/>
        </w:rPr>
      </w:pPr>
      <w:r>
        <w:rPr>
          <w:sz w:val="28"/>
          <w:szCs w:val="28"/>
        </w:rPr>
        <w:tab/>
      </w:r>
      <w:r w:rsidRPr="00200771">
        <w:rPr>
          <w:sz w:val="28"/>
          <w:szCs w:val="28"/>
          <w:lang w:val="vi-VN"/>
        </w:rPr>
        <w:t>- Phần số liệu: Ủy ban nhân dân cấp xã tổng hợp, lập báo cáo quyết toán năm, gửi Phòng Tài chính - Kế hoạch huyện (theo Biểu số 01/QTNĐ kèm theo Thông tư số 96/2021/TT-BTC ngày 11 tháng 11 năm 2021 của Bộ trưởng Bộ Tài chính quy định hệ thống mẫu biểu sử dụng trong công tác quyết toán).</w:t>
      </w:r>
    </w:p>
    <w:p w:rsidR="00200771" w:rsidRPr="00200771" w:rsidRDefault="00200771" w:rsidP="00200771">
      <w:pPr>
        <w:spacing w:before="120"/>
        <w:jc w:val="both"/>
        <w:rPr>
          <w:sz w:val="28"/>
          <w:szCs w:val="28"/>
        </w:rPr>
      </w:pPr>
      <w:r>
        <w:rPr>
          <w:sz w:val="28"/>
          <w:szCs w:val="28"/>
        </w:rPr>
        <w:tab/>
      </w:r>
      <w:r w:rsidRPr="00200771">
        <w:rPr>
          <w:sz w:val="28"/>
          <w:szCs w:val="28"/>
          <w:lang w:val="vi-VN"/>
        </w:rPr>
        <w:t>- Phần thuyết minh: Trong báo cáo, Ủy ban nhân dân cấp xã phải nêu rõ tình hình thực hiện kế hoạch, thanh toán, quyết toán vốn đầu tư nguồn ngân sách nhà nước được giao trong năm quyết toán; thuyết minh các tồn tại, vướng mắc, các yếu tố ảnh hưởng đến thực hiện kế hoạch, thanh toán, quyết toán vốn, tăng giảm vốn kế hoạch đầu tư công; đề xuất các biện pháp tháo gỡ.</w:t>
      </w:r>
    </w:p>
    <w:p w:rsidR="00200771" w:rsidRPr="00200771" w:rsidRDefault="00200771" w:rsidP="00200771">
      <w:pPr>
        <w:spacing w:before="120"/>
        <w:jc w:val="both"/>
        <w:rPr>
          <w:sz w:val="28"/>
          <w:szCs w:val="28"/>
        </w:rPr>
      </w:pPr>
      <w:r>
        <w:rPr>
          <w:sz w:val="28"/>
          <w:szCs w:val="28"/>
        </w:rPr>
        <w:tab/>
      </w:r>
      <w:r w:rsidRPr="00200771">
        <w:rPr>
          <w:sz w:val="28"/>
          <w:szCs w:val="28"/>
          <w:lang w:val="vi-VN"/>
        </w:rPr>
        <w:t>c) Thời hạn lập báo cáo: Sau thời gian chỉnh lý quyết toán ngân sách nhà nước kết thúc khi hết ngày 31 tháng 01 năm sau năm quyết toán;</w:t>
      </w:r>
    </w:p>
    <w:p w:rsidR="00200771" w:rsidRPr="00200771" w:rsidRDefault="00200771" w:rsidP="00200771">
      <w:pPr>
        <w:spacing w:before="120"/>
        <w:jc w:val="both"/>
        <w:rPr>
          <w:sz w:val="28"/>
          <w:szCs w:val="28"/>
        </w:rPr>
      </w:pPr>
      <w:r>
        <w:rPr>
          <w:sz w:val="28"/>
          <w:szCs w:val="28"/>
        </w:rPr>
        <w:tab/>
      </w:r>
      <w:r w:rsidRPr="00200771">
        <w:rPr>
          <w:sz w:val="28"/>
          <w:szCs w:val="28"/>
          <w:lang w:val="vi-VN"/>
        </w:rPr>
        <w:t>d) Thời hạn gửi báo cáo quyết toán năm: Trước ngày 15 tháng 3 năm sau năm quyết toán.</w:t>
      </w:r>
    </w:p>
    <w:p w:rsidR="00200771" w:rsidRPr="00200771" w:rsidRDefault="00200771" w:rsidP="00200771">
      <w:pPr>
        <w:spacing w:before="120"/>
        <w:jc w:val="both"/>
        <w:rPr>
          <w:sz w:val="28"/>
          <w:szCs w:val="28"/>
        </w:rPr>
      </w:pPr>
      <w:r>
        <w:rPr>
          <w:sz w:val="28"/>
          <w:szCs w:val="28"/>
        </w:rPr>
        <w:tab/>
      </w:r>
      <w:r w:rsidRPr="00200771">
        <w:rPr>
          <w:sz w:val="28"/>
          <w:szCs w:val="28"/>
          <w:lang w:val="vi-VN"/>
        </w:rPr>
        <w:t>2. Thẩm định và thông báo kết quả thẩm định báo cáo quyết toán vốn đầu tư</w:t>
      </w:r>
    </w:p>
    <w:p w:rsidR="00200771" w:rsidRPr="00200771" w:rsidRDefault="00200771" w:rsidP="00200771">
      <w:pPr>
        <w:spacing w:before="120"/>
        <w:jc w:val="both"/>
        <w:rPr>
          <w:sz w:val="28"/>
          <w:szCs w:val="28"/>
        </w:rPr>
      </w:pPr>
      <w:r>
        <w:rPr>
          <w:sz w:val="28"/>
          <w:szCs w:val="28"/>
        </w:rPr>
        <w:tab/>
      </w:r>
      <w:r w:rsidRPr="00200771">
        <w:rPr>
          <w:sz w:val="28"/>
          <w:szCs w:val="28"/>
          <w:lang w:val="vi-VN"/>
        </w:rPr>
        <w:t>a) Thời hạn thẩm định: Trong thời hạn 30 ngày kể từ ngày nhận đủ hồ sơ theo quy định, Phòng Tài chính - Kế hoạch huyện thẩm định và ra thông báo thẩm định báo cáo quyết toán năm cho Ủy ban nhân dân cấp xã.</w:t>
      </w:r>
    </w:p>
    <w:p w:rsidR="00200771" w:rsidRPr="00200771" w:rsidRDefault="00200771" w:rsidP="00200771">
      <w:pPr>
        <w:spacing w:before="120"/>
        <w:jc w:val="both"/>
        <w:rPr>
          <w:sz w:val="28"/>
          <w:szCs w:val="28"/>
        </w:rPr>
      </w:pPr>
      <w:r>
        <w:rPr>
          <w:sz w:val="28"/>
          <w:szCs w:val="28"/>
        </w:rPr>
        <w:tab/>
      </w:r>
      <w:r w:rsidRPr="00200771">
        <w:rPr>
          <w:sz w:val="28"/>
          <w:szCs w:val="28"/>
          <w:lang w:val="vi-VN"/>
        </w:rPr>
        <w:t>b) Cơ quan thẩm định: Phòng Tài chính - Kế hoạch huyện.</w:t>
      </w:r>
    </w:p>
    <w:p w:rsidR="00200771" w:rsidRPr="00200771" w:rsidRDefault="00200771" w:rsidP="00200771">
      <w:pPr>
        <w:spacing w:before="120"/>
        <w:jc w:val="both"/>
        <w:rPr>
          <w:sz w:val="28"/>
          <w:szCs w:val="28"/>
        </w:rPr>
      </w:pPr>
      <w:r>
        <w:rPr>
          <w:sz w:val="28"/>
          <w:szCs w:val="28"/>
        </w:rPr>
        <w:tab/>
      </w:r>
      <w:r w:rsidRPr="00200771">
        <w:rPr>
          <w:sz w:val="28"/>
          <w:szCs w:val="28"/>
          <w:lang w:val="vi-VN"/>
        </w:rPr>
        <w:t xml:space="preserve">c) Thông báo kết quả thẩm định báo cáo quyết toán năm: Phòng Tài chính - Kế hoạch huyện gửi Ủy ban nhân dân cấp xã và Kho bạc Nhà nước huyện thông báo kết quả thẩm định báo cáo quyết toán năm (theo Biểu số 09/QTNĐ kèm theo Thông tư số 96/2021/TT-BTC ngày 11 tháng 11 năm 2021 của Bộ trưởng Bộ Tài chính quy định quy định hệ thống mẫu biểu sử dụng trong công tác quyết toán). </w:t>
      </w:r>
    </w:p>
    <w:p w:rsidR="00200771" w:rsidRPr="00200771" w:rsidRDefault="00200771" w:rsidP="00200771">
      <w:pPr>
        <w:spacing w:before="120"/>
        <w:jc w:val="both"/>
        <w:rPr>
          <w:sz w:val="28"/>
          <w:szCs w:val="28"/>
        </w:rPr>
      </w:pPr>
      <w:r>
        <w:rPr>
          <w:sz w:val="28"/>
          <w:szCs w:val="28"/>
        </w:rPr>
        <w:tab/>
      </w:r>
      <w:r w:rsidRPr="00200771">
        <w:rPr>
          <w:sz w:val="28"/>
          <w:szCs w:val="28"/>
          <w:lang w:val="vi-VN"/>
        </w:rPr>
        <w:t xml:space="preserve">3. Nhiệm vụ của cơ quan có liên quan </w:t>
      </w:r>
    </w:p>
    <w:p w:rsidR="00200771" w:rsidRPr="00200771" w:rsidRDefault="00200771" w:rsidP="00200771">
      <w:pPr>
        <w:spacing w:before="120"/>
        <w:jc w:val="both"/>
        <w:rPr>
          <w:sz w:val="28"/>
          <w:szCs w:val="28"/>
        </w:rPr>
      </w:pPr>
      <w:r>
        <w:rPr>
          <w:sz w:val="28"/>
          <w:szCs w:val="28"/>
        </w:rPr>
        <w:tab/>
      </w:r>
      <w:r w:rsidRPr="00200771">
        <w:rPr>
          <w:sz w:val="28"/>
          <w:szCs w:val="28"/>
          <w:lang w:val="vi-VN"/>
        </w:rPr>
        <w:t>a) Nhiệm vụ của Ủy ban nhân dân cấp xã:</w:t>
      </w:r>
    </w:p>
    <w:p w:rsidR="00200771" w:rsidRPr="00200771" w:rsidRDefault="00200771" w:rsidP="00200771">
      <w:pPr>
        <w:spacing w:before="120"/>
        <w:jc w:val="both"/>
        <w:rPr>
          <w:sz w:val="28"/>
          <w:szCs w:val="28"/>
        </w:rPr>
      </w:pPr>
      <w:r>
        <w:rPr>
          <w:sz w:val="28"/>
          <w:szCs w:val="28"/>
        </w:rPr>
        <w:tab/>
      </w:r>
      <w:r w:rsidRPr="00200771">
        <w:rPr>
          <w:sz w:val="28"/>
          <w:szCs w:val="28"/>
          <w:lang w:val="vi-VN"/>
        </w:rPr>
        <w:t>- Chịu trách nhiệm về số liệu được đưa vào báo cáo quyết toán hằng năm; tổng hợp, lập, báo cáo quyết toán theo hướng dẫn của quy định này và Thông tư số 96/2021/TT-BTC ngày 11 tháng 11 năm 2021 của Bộ trưởng Bộ Tài chính quy định hệ thống mẫu biểu sử dụng trong công tác quyết toán; gửi phòng Tài chính - Kế hoạch huyện đúng thời hạn quy định.</w:t>
      </w:r>
    </w:p>
    <w:p w:rsidR="00200771" w:rsidRPr="00200771" w:rsidRDefault="00200771" w:rsidP="00200771">
      <w:pPr>
        <w:spacing w:before="120"/>
        <w:jc w:val="both"/>
        <w:rPr>
          <w:sz w:val="28"/>
          <w:szCs w:val="28"/>
        </w:rPr>
      </w:pPr>
      <w:r>
        <w:rPr>
          <w:sz w:val="28"/>
          <w:szCs w:val="28"/>
        </w:rPr>
        <w:lastRenderedPageBreak/>
        <w:tab/>
      </w:r>
      <w:r w:rsidRPr="00200771">
        <w:rPr>
          <w:sz w:val="28"/>
          <w:szCs w:val="28"/>
          <w:lang w:val="vi-VN"/>
        </w:rPr>
        <w:t>- Trong thời hạn 15 ngày kể từ khi nhận được thông báo kết quả thẩm định báo cáo quyết toán của Phòng Tài chính - Kế hoạch huyện, có trách nhiệm thực hiện và có văn bản giải trình về các kiến nghị (nếu có) trong thông báo thẩm định báo cáo quyết toán gửi Phòng Tài chính - Kế hoạch huyện.</w:t>
      </w:r>
    </w:p>
    <w:p w:rsidR="00200771" w:rsidRPr="00200771" w:rsidRDefault="00200771" w:rsidP="00200771">
      <w:pPr>
        <w:spacing w:before="120"/>
        <w:jc w:val="both"/>
        <w:rPr>
          <w:sz w:val="28"/>
          <w:szCs w:val="28"/>
        </w:rPr>
      </w:pPr>
      <w:r>
        <w:rPr>
          <w:sz w:val="28"/>
          <w:szCs w:val="28"/>
        </w:rPr>
        <w:tab/>
      </w:r>
      <w:r w:rsidRPr="00200771">
        <w:rPr>
          <w:sz w:val="28"/>
          <w:szCs w:val="28"/>
          <w:lang w:val="vi-VN"/>
        </w:rPr>
        <w:t>- Chịu trách nhiệm xử lý các số liệu chênh lệch của từng dự án (nếu có).</w:t>
      </w:r>
    </w:p>
    <w:p w:rsidR="00200771" w:rsidRPr="00200771" w:rsidRDefault="00200771" w:rsidP="00200771">
      <w:pPr>
        <w:spacing w:before="120"/>
        <w:jc w:val="both"/>
        <w:rPr>
          <w:sz w:val="28"/>
          <w:szCs w:val="28"/>
        </w:rPr>
      </w:pPr>
      <w:r>
        <w:rPr>
          <w:sz w:val="28"/>
          <w:szCs w:val="28"/>
        </w:rPr>
        <w:tab/>
      </w:r>
      <w:r w:rsidRPr="00200771">
        <w:rPr>
          <w:sz w:val="28"/>
          <w:szCs w:val="28"/>
          <w:lang w:val="vi-VN"/>
        </w:rPr>
        <w:t>b) Nhiệm vụ của Phòng Tài chính - Kế hoạch huyện:</w:t>
      </w:r>
    </w:p>
    <w:p w:rsidR="00200771" w:rsidRPr="00200771" w:rsidRDefault="00200771" w:rsidP="00200771">
      <w:pPr>
        <w:spacing w:before="120"/>
        <w:jc w:val="both"/>
        <w:rPr>
          <w:sz w:val="28"/>
          <w:szCs w:val="28"/>
        </w:rPr>
      </w:pPr>
      <w:r>
        <w:rPr>
          <w:sz w:val="28"/>
          <w:szCs w:val="28"/>
        </w:rPr>
        <w:tab/>
      </w:r>
      <w:r w:rsidRPr="00200771">
        <w:rPr>
          <w:sz w:val="28"/>
          <w:szCs w:val="28"/>
          <w:lang w:val="vi-VN"/>
        </w:rPr>
        <w:t>- Khi thẩm định báo cáo quyết toán, Phòng Tài chính - Kế hoạch huyện có quyền yêu cầu Ủy ban nhân dân cấp xã, Kho bạc Nhà nước huyện bổ sung thông tin, số liệu cần thiết cho việc thẩm định báo cáo quyết toán; yêu cầu cơ quan có trách nhiệm nộp các khoản phải nộp vào ngân sách nhà nước theo quy định, đồng thời yêu cầu cơ quan báo cáo quyết toán điều chỉnh lại số liệu quyết toán nếu có sai sót.</w:t>
      </w:r>
    </w:p>
    <w:p w:rsidR="00200771" w:rsidRPr="00200771" w:rsidRDefault="00200771" w:rsidP="00200771">
      <w:pPr>
        <w:spacing w:before="120"/>
        <w:jc w:val="both"/>
        <w:rPr>
          <w:sz w:val="28"/>
          <w:szCs w:val="28"/>
        </w:rPr>
      </w:pPr>
      <w:r>
        <w:rPr>
          <w:sz w:val="28"/>
          <w:szCs w:val="28"/>
        </w:rPr>
        <w:tab/>
      </w:r>
      <w:r w:rsidRPr="00200771">
        <w:rPr>
          <w:sz w:val="28"/>
          <w:szCs w:val="28"/>
          <w:lang w:val="vi-VN"/>
        </w:rPr>
        <w:t>- Trường hợp không nhận được đầy đủ các báo cáo quyết toán (kể cả báo cáo điều chỉnh, bổ sung, giải trình về các kiến nghị trong thông báo kết quả thẩm định báo cáo quyết toán năm) do Ủy ban nhân dân cấp xã không thực hiện đúng quy định về chế độ báo cáo quyết toán năm, Phòng Tài chính - Kế hoạch huyện có quyền yêu cầu Kho bạc Nhà nước huyện tạm đình chỉ việc thanh toán vốn đầu tư của đơn vị cho tới khi nhận được báo cáo quyết toán, đồng thời có văn bản thông báo để đơn vị biết và phối hợp thực hiện.</w:t>
      </w:r>
    </w:p>
    <w:p w:rsidR="00200771" w:rsidRPr="00200771" w:rsidRDefault="00200771" w:rsidP="00200771">
      <w:pPr>
        <w:spacing w:before="120"/>
        <w:jc w:val="center"/>
        <w:rPr>
          <w:sz w:val="28"/>
          <w:szCs w:val="28"/>
        </w:rPr>
      </w:pPr>
      <w:bookmarkStart w:id="9" w:name="chuong_3"/>
      <w:r w:rsidRPr="00200771">
        <w:rPr>
          <w:b/>
          <w:bCs/>
          <w:sz w:val="28"/>
          <w:szCs w:val="28"/>
          <w:lang w:val="vi-VN"/>
        </w:rPr>
        <w:t>Chương III</w:t>
      </w:r>
      <w:bookmarkEnd w:id="9"/>
    </w:p>
    <w:p w:rsidR="00200771" w:rsidRPr="00200771" w:rsidRDefault="00200771" w:rsidP="00200771">
      <w:pPr>
        <w:spacing w:before="120"/>
        <w:jc w:val="center"/>
        <w:rPr>
          <w:sz w:val="28"/>
          <w:szCs w:val="28"/>
        </w:rPr>
      </w:pPr>
      <w:bookmarkStart w:id="10" w:name="chuong_3_name"/>
      <w:r w:rsidRPr="00200771">
        <w:rPr>
          <w:b/>
          <w:bCs/>
          <w:sz w:val="28"/>
          <w:szCs w:val="28"/>
          <w:lang w:val="vi-VN"/>
        </w:rPr>
        <w:t>TỔ CHỨC THỰC HIỆN</w:t>
      </w:r>
      <w:bookmarkEnd w:id="10"/>
    </w:p>
    <w:p w:rsidR="00200771" w:rsidRPr="00200771" w:rsidRDefault="00200771" w:rsidP="00200771">
      <w:pPr>
        <w:spacing w:before="120"/>
        <w:jc w:val="both"/>
        <w:rPr>
          <w:sz w:val="28"/>
          <w:szCs w:val="28"/>
        </w:rPr>
      </w:pPr>
      <w:bookmarkStart w:id="11" w:name="dieu_5"/>
      <w:r>
        <w:rPr>
          <w:b/>
          <w:bCs/>
          <w:sz w:val="28"/>
          <w:szCs w:val="28"/>
        </w:rPr>
        <w:tab/>
      </w:r>
      <w:r w:rsidRPr="00200771">
        <w:rPr>
          <w:b/>
          <w:bCs/>
          <w:sz w:val="28"/>
          <w:szCs w:val="28"/>
          <w:lang w:val="vi-VN"/>
        </w:rPr>
        <w:t>Điều 5. Điều khoản thi hành</w:t>
      </w:r>
      <w:bookmarkEnd w:id="11"/>
    </w:p>
    <w:p w:rsidR="00200771" w:rsidRPr="00200771" w:rsidRDefault="00200771" w:rsidP="00200771">
      <w:pPr>
        <w:spacing w:before="120"/>
        <w:jc w:val="both"/>
        <w:rPr>
          <w:sz w:val="28"/>
          <w:szCs w:val="28"/>
        </w:rPr>
      </w:pPr>
      <w:r>
        <w:rPr>
          <w:sz w:val="28"/>
          <w:szCs w:val="28"/>
        </w:rPr>
        <w:tab/>
      </w:r>
      <w:r w:rsidRPr="00200771">
        <w:rPr>
          <w:sz w:val="28"/>
          <w:szCs w:val="28"/>
          <w:lang w:val="vi-VN"/>
        </w:rPr>
        <w:t>1. Những nội dung không quy định tại Quy định này thì thực hiện theo Nghị định số 99/2021/NĐ-CP ngày 11 tháng 11 năm 2021 của Chính phủ quy định về quản lý, thanh toán, quyết toán dự án sử dụng vốn đầu tư công.</w:t>
      </w:r>
    </w:p>
    <w:p w:rsidR="00D21FB8" w:rsidRPr="00200771" w:rsidRDefault="00200771" w:rsidP="00200771">
      <w:pPr>
        <w:jc w:val="both"/>
        <w:rPr>
          <w:sz w:val="28"/>
          <w:szCs w:val="28"/>
        </w:rPr>
      </w:pPr>
      <w:r>
        <w:rPr>
          <w:sz w:val="28"/>
          <w:szCs w:val="28"/>
        </w:rPr>
        <w:tab/>
      </w:r>
      <w:bookmarkStart w:id="12" w:name="_GoBack"/>
      <w:bookmarkEnd w:id="12"/>
      <w:r w:rsidRPr="00200771">
        <w:rPr>
          <w:sz w:val="28"/>
          <w:szCs w:val="28"/>
          <w:lang w:val="vi-VN"/>
        </w:rPr>
        <w:t>2. Trong quá trình thực hiện nếu có vướng mắc, phát sinh đề nghị các cơ quan, đơn vị, địa phương kịp thời phản ánh về Ủy ban nhân dân tỉnh (qua Sở Tài chính) nghiên cứu sửa đổi, bổ sung cho phù hợp./.</w:t>
      </w:r>
    </w:p>
    <w:sectPr w:rsidR="00D21FB8" w:rsidRPr="00200771" w:rsidSect="005E363E">
      <w:headerReference w:type="default" r:id="rId7"/>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20AA" w:rsidRDefault="00BA20AA" w:rsidP="005E363E">
      <w:r>
        <w:separator/>
      </w:r>
    </w:p>
  </w:endnote>
  <w:endnote w:type="continuationSeparator" w:id="0">
    <w:p w:rsidR="00BA20AA" w:rsidRDefault="00BA20AA" w:rsidP="005E3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20AA" w:rsidRDefault="00BA20AA" w:rsidP="005E363E">
      <w:r>
        <w:separator/>
      </w:r>
    </w:p>
  </w:footnote>
  <w:footnote w:type="continuationSeparator" w:id="0">
    <w:p w:rsidR="00BA20AA" w:rsidRDefault="00BA20AA" w:rsidP="005E36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0996494"/>
      <w:docPartObj>
        <w:docPartGallery w:val="Page Numbers (Top of Page)"/>
        <w:docPartUnique/>
      </w:docPartObj>
    </w:sdtPr>
    <w:sdtEndPr>
      <w:rPr>
        <w:noProof/>
      </w:rPr>
    </w:sdtEndPr>
    <w:sdtContent>
      <w:p w:rsidR="005E363E" w:rsidRDefault="005E363E">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rsidR="005E363E" w:rsidRDefault="005E363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771"/>
    <w:rsid w:val="00200771"/>
    <w:rsid w:val="005E363E"/>
    <w:rsid w:val="00BA20AA"/>
    <w:rsid w:val="00D21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0771"/>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363E"/>
    <w:pPr>
      <w:tabs>
        <w:tab w:val="center" w:pos="4680"/>
        <w:tab w:val="right" w:pos="9360"/>
      </w:tabs>
    </w:pPr>
  </w:style>
  <w:style w:type="character" w:customStyle="1" w:styleId="HeaderChar">
    <w:name w:val="Header Char"/>
    <w:basedOn w:val="DefaultParagraphFont"/>
    <w:link w:val="Header"/>
    <w:uiPriority w:val="99"/>
    <w:rsid w:val="005E363E"/>
    <w:rPr>
      <w:sz w:val="24"/>
      <w:szCs w:val="24"/>
    </w:rPr>
  </w:style>
  <w:style w:type="paragraph" w:styleId="Footer">
    <w:name w:val="footer"/>
    <w:basedOn w:val="Normal"/>
    <w:link w:val="FooterChar"/>
    <w:uiPriority w:val="99"/>
    <w:unhideWhenUsed/>
    <w:rsid w:val="005E363E"/>
    <w:pPr>
      <w:tabs>
        <w:tab w:val="center" w:pos="4680"/>
        <w:tab w:val="right" w:pos="9360"/>
      </w:tabs>
    </w:pPr>
  </w:style>
  <w:style w:type="character" w:customStyle="1" w:styleId="FooterChar">
    <w:name w:val="Footer Char"/>
    <w:basedOn w:val="DefaultParagraphFont"/>
    <w:link w:val="Footer"/>
    <w:uiPriority w:val="99"/>
    <w:rsid w:val="005E363E"/>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0771"/>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363E"/>
    <w:pPr>
      <w:tabs>
        <w:tab w:val="center" w:pos="4680"/>
        <w:tab w:val="right" w:pos="9360"/>
      </w:tabs>
    </w:pPr>
  </w:style>
  <w:style w:type="character" w:customStyle="1" w:styleId="HeaderChar">
    <w:name w:val="Header Char"/>
    <w:basedOn w:val="DefaultParagraphFont"/>
    <w:link w:val="Header"/>
    <w:uiPriority w:val="99"/>
    <w:rsid w:val="005E363E"/>
    <w:rPr>
      <w:sz w:val="24"/>
      <w:szCs w:val="24"/>
    </w:rPr>
  </w:style>
  <w:style w:type="paragraph" w:styleId="Footer">
    <w:name w:val="footer"/>
    <w:basedOn w:val="Normal"/>
    <w:link w:val="FooterChar"/>
    <w:uiPriority w:val="99"/>
    <w:unhideWhenUsed/>
    <w:rsid w:val="005E363E"/>
    <w:pPr>
      <w:tabs>
        <w:tab w:val="center" w:pos="4680"/>
        <w:tab w:val="right" w:pos="9360"/>
      </w:tabs>
    </w:pPr>
  </w:style>
  <w:style w:type="character" w:customStyle="1" w:styleId="FooterChar">
    <w:name w:val="Footer Char"/>
    <w:basedOn w:val="DefaultParagraphFont"/>
    <w:link w:val="Footer"/>
    <w:uiPriority w:val="99"/>
    <w:rsid w:val="005E363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D4685B-7AD9-4796-8223-D8BEBDD641D8}"/>
</file>

<file path=customXml/itemProps2.xml><?xml version="1.0" encoding="utf-8"?>
<ds:datastoreItem xmlns:ds="http://schemas.openxmlformats.org/officeDocument/2006/customXml" ds:itemID="{FE64FFBE-2328-43D4-AFBD-E69114FBD085}"/>
</file>

<file path=customXml/itemProps3.xml><?xml version="1.0" encoding="utf-8"?>
<ds:datastoreItem xmlns:ds="http://schemas.openxmlformats.org/officeDocument/2006/customXml" ds:itemID="{8BE8ED88-DADE-4346-9AA5-B0CE7863D3B4}"/>
</file>

<file path=docProps/app.xml><?xml version="1.0" encoding="utf-8"?>
<Properties xmlns="http://schemas.openxmlformats.org/officeDocument/2006/extended-properties" xmlns:vt="http://schemas.openxmlformats.org/officeDocument/2006/docPropsVTypes">
  <Template>Normal</Template>
  <TotalTime>6</TotalTime>
  <Pages>4</Pages>
  <Words>1172</Words>
  <Characters>6684</Characters>
  <Application>Microsoft Office Word</Application>
  <DocSecurity>0</DocSecurity>
  <Lines>55</Lines>
  <Paragraphs>15</Paragraphs>
  <ScaleCrop>false</ScaleCrop>
  <Company/>
  <LinksUpToDate>false</LinksUpToDate>
  <CharactersWithSpaces>7841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2</cp:revision>
  <dcterms:created xsi:type="dcterms:W3CDTF">2022-10-25T06:57:00Z</dcterms:created>
  <dcterms:modified xsi:type="dcterms:W3CDTF">2022-10-25T07:03:00Z</dcterms:modified>
</cp:coreProperties>
</file>