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17" w:type="dxa"/>
        <w:jc w:val="center"/>
        <w:tblLook w:val="0000" w:firstRow="0" w:lastRow="0" w:firstColumn="0" w:lastColumn="0" w:noHBand="0" w:noVBand="0"/>
      </w:tblPr>
      <w:tblGrid>
        <w:gridCol w:w="3284"/>
        <w:gridCol w:w="6233"/>
      </w:tblGrid>
      <w:tr w:rsidR="00E215FE">
        <w:trPr>
          <w:jc w:val="center"/>
        </w:trPr>
        <w:tc>
          <w:tcPr>
            <w:tcW w:w="3284" w:type="dxa"/>
          </w:tcPr>
          <w:p w:rsidR="00E215FE" w:rsidRDefault="001D3D22">
            <w:pPr>
              <w:widowControl w:val="0"/>
              <w:jc w:val="center"/>
              <w:rPr>
                <w:b/>
                <w:bCs/>
              </w:rPr>
            </w:pPr>
            <w:r>
              <w:rPr>
                <w:b/>
                <w:bCs/>
              </w:rPr>
              <w:t>ỦY BAN NHÂN DÂN</w:t>
            </w:r>
            <w:r>
              <w:rPr>
                <w:b/>
                <w:bCs/>
              </w:rPr>
              <w:br/>
              <w:t>TỈNH QUẢNG TRỊ</w:t>
            </w:r>
          </w:p>
          <w:p w:rsidR="00E215FE" w:rsidRDefault="001D3D22" w:rsidP="00DE6F7B">
            <w:pPr>
              <w:widowControl w:val="0"/>
              <w:spacing w:before="120" w:line="276" w:lineRule="auto"/>
              <w:jc w:val="center"/>
              <w:rPr>
                <w:b/>
                <w:bCs/>
              </w:rPr>
            </w:pPr>
            <w:r>
              <w:rPr>
                <w:b/>
                <w:bCs/>
                <w:noProof/>
              </w:rPr>
              <mc:AlternateContent>
                <mc:Choice Requires="wps">
                  <w:drawing>
                    <wp:anchor distT="4294967295" distB="4294967295" distL="114300" distR="114300" simplePos="0" relativeHeight="251663360" behindDoc="0" locked="0" layoutInCell="1" allowOverlap="1">
                      <wp:simplePos x="0" y="0"/>
                      <wp:positionH relativeFrom="column">
                        <wp:posOffset>601345</wp:posOffset>
                      </wp:positionH>
                      <wp:positionV relativeFrom="paragraph">
                        <wp:posOffset>15874</wp:posOffset>
                      </wp:positionV>
                      <wp:extent cx="762000" cy="0"/>
                      <wp:effectExtent l="0" t="0" r="0" b="0"/>
                      <wp:wrapNone/>
                      <wp:docPr id="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1F55E5C" id="Line 2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35pt,1.25pt" to="107.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OZ+EgIAACg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"/>
                  </w:pict>
                </mc:Fallback>
              </mc:AlternateContent>
            </w:r>
            <w:r>
              <w:t xml:space="preserve">Số: </w:t>
            </w:r>
            <w:r w:rsidR="00DE6F7B">
              <w:t>46</w:t>
            </w:r>
            <w:r>
              <w:t>/2026/QĐ-UBND</w:t>
            </w:r>
          </w:p>
        </w:tc>
        <w:tc>
          <w:tcPr>
            <w:tcW w:w="6233" w:type="dxa"/>
          </w:tcPr>
          <w:p w:rsidR="00E215FE" w:rsidRDefault="001D3D22">
            <w:pPr>
              <w:widowControl w:val="0"/>
              <w:jc w:val="center"/>
              <w:rPr>
                <w:b/>
                <w:bCs/>
              </w:rPr>
            </w:pPr>
            <w:r>
              <w:rPr>
                <w:b/>
                <w:bCs/>
              </w:rPr>
              <w:t>CỘNG HÒA XÃ HỘI CHỦ NGHĨA VIỆT NAM</w:t>
            </w:r>
          </w:p>
          <w:p w:rsidR="00E215FE" w:rsidRDefault="001D3D22">
            <w:pPr>
              <w:widowControl w:val="0"/>
              <w:jc w:val="center"/>
              <w:rPr>
                <w:b/>
                <w:bCs/>
              </w:rPr>
            </w:pPr>
            <w:r>
              <w:rPr>
                <w:b/>
                <w:bCs/>
              </w:rPr>
              <w:t>Độc lập - Tự do - Hạnh phúc</w:t>
            </w:r>
          </w:p>
          <w:p w:rsidR="00E215FE" w:rsidRDefault="001D3D22" w:rsidP="00DE6F7B">
            <w:pPr>
              <w:widowControl w:val="0"/>
              <w:spacing w:before="120" w:line="276" w:lineRule="auto"/>
              <w:jc w:val="center"/>
              <w:rPr>
                <w:i/>
                <w:iCs/>
              </w:rPr>
            </w:pPr>
            <w:r>
              <w:rPr>
                <w:b/>
                <w:bCs/>
                <w:noProof/>
              </w:rPr>
              <mc:AlternateContent>
                <mc:Choice Requires="wps">
                  <w:drawing>
                    <wp:anchor distT="4294967295" distB="4294967295" distL="114300" distR="114300" simplePos="0" relativeHeight="251664384" behindDoc="0" locked="0" layoutInCell="1" allowOverlap="1">
                      <wp:simplePos x="0" y="0"/>
                      <wp:positionH relativeFrom="column">
                        <wp:posOffset>836930</wp:posOffset>
                      </wp:positionH>
                      <wp:positionV relativeFrom="paragraph">
                        <wp:posOffset>29209</wp:posOffset>
                      </wp:positionV>
                      <wp:extent cx="2133600" cy="0"/>
                      <wp:effectExtent l="0" t="0" r="0" b="0"/>
                      <wp:wrapNone/>
                      <wp:docPr id="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EC806C8" id="Line 2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9pt,2.3pt" to="233.9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58r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"/>
                  </w:pict>
                </mc:Fallback>
              </mc:AlternateContent>
            </w:r>
            <w:r>
              <w:rPr>
                <w:i/>
                <w:iCs/>
              </w:rPr>
              <w:t>Quảng Trị, ngày</w:t>
            </w:r>
            <w:r w:rsidR="00DE6F7B">
              <w:rPr>
                <w:i/>
                <w:iCs/>
              </w:rPr>
              <w:t xml:space="preserve"> 01 </w:t>
            </w:r>
            <w:r>
              <w:rPr>
                <w:i/>
                <w:iCs/>
              </w:rPr>
              <w:t xml:space="preserve">tháng </w:t>
            </w:r>
            <w:r w:rsidR="00DE6F7B">
              <w:rPr>
                <w:i/>
                <w:iCs/>
              </w:rPr>
              <w:t xml:space="preserve">6 </w:t>
            </w:r>
            <w:r>
              <w:rPr>
                <w:i/>
                <w:iCs/>
              </w:rPr>
              <w:t>năm 2026</w:t>
            </w:r>
          </w:p>
        </w:tc>
      </w:tr>
    </w:tbl>
    <w:p w:rsidR="00E215FE" w:rsidRDefault="00E215FE">
      <w:pPr>
        <w:widowControl w:val="0"/>
        <w:spacing w:before="120"/>
        <w:jc w:val="center"/>
        <w:rPr>
          <w:b/>
          <w:spacing w:val="4"/>
          <w:sz w:val="30"/>
        </w:rPr>
      </w:pPr>
    </w:p>
    <w:p w:rsidR="00E215FE" w:rsidRDefault="001D3D22">
      <w:pPr>
        <w:widowControl w:val="0"/>
        <w:jc w:val="center"/>
        <w:rPr>
          <w:b/>
          <w:spacing w:val="4"/>
        </w:rPr>
      </w:pPr>
      <w:r>
        <w:rPr>
          <w:b/>
          <w:spacing w:val="4"/>
        </w:rPr>
        <w:t>QUYẾT ĐỊNH</w:t>
      </w:r>
    </w:p>
    <w:p w:rsidR="00E215FE" w:rsidRDefault="001D3D22">
      <w:pPr>
        <w:autoSpaceDE w:val="0"/>
        <w:autoSpaceDN w:val="0"/>
        <w:adjustRightInd w:val="0"/>
        <w:jc w:val="center"/>
        <w:rPr>
          <w:b/>
        </w:rPr>
      </w:pPr>
      <w:r>
        <w:rPr>
          <w:b/>
        </w:rPr>
        <w:t>Quy định tỷ lệ phần trăm (%) để tính đ</w:t>
      </w:r>
      <w:r>
        <w:rPr>
          <w:b/>
          <w:iCs/>
        </w:rPr>
        <w:t>ơn</w:t>
      </w:r>
      <w:r>
        <w:rPr>
          <w:b/>
        </w:rPr>
        <w:t xml:space="preserve"> giá thuê đất trả tiền thuê đất hằng năm, đơn giá thuê đất xây dựng công trình ngầm và đơn giá thuê đất có mặt nước trên địa bàn tỉnh Quảng Trị</w:t>
      </w:r>
    </w:p>
    <w:p w:rsidR="00E215FE" w:rsidRDefault="00E215FE">
      <w:pPr>
        <w:widowControl w:val="0"/>
        <w:jc w:val="center"/>
        <w:rPr>
          <w:rFonts w:ascii="Times New Roman Bold" w:hAnsi="Times New Roman Bold"/>
          <w:b/>
          <w:spacing w:val="4"/>
        </w:rPr>
      </w:pPr>
    </w:p>
    <w:p w:rsidR="00E215FE" w:rsidRDefault="001D3D22">
      <w:pPr>
        <w:widowControl w:val="0"/>
        <w:tabs>
          <w:tab w:val="center" w:pos="1430"/>
          <w:tab w:val="center" w:pos="6500"/>
        </w:tabs>
        <w:spacing w:after="120"/>
        <w:ind w:firstLine="567"/>
        <w:jc w:val="both"/>
        <w:rPr>
          <w:i/>
          <w:shd w:val="clear" w:color="auto" w:fill="FFFFFF"/>
        </w:rPr>
      </w:pPr>
      <w:r>
        <w:rPr>
          <w:i/>
          <w:spacing w:val="3"/>
          <w:shd w:val="clear" w:color="auto" w:fill="FFFFFF"/>
        </w:rPr>
        <w:t>Căn cứ Luật Tổ chức chính quyền địa phương số 72/2025/QH15</w:t>
      </w:r>
      <w:r>
        <w:rPr>
          <w:i/>
          <w:shd w:val="clear" w:color="auto" w:fill="FFFFFF"/>
        </w:rPr>
        <w:t>;</w:t>
      </w:r>
    </w:p>
    <w:p w:rsidR="00E215FE" w:rsidRDefault="001D3D22">
      <w:pPr>
        <w:widowControl w:val="0"/>
        <w:tabs>
          <w:tab w:val="center" w:pos="1430"/>
          <w:tab w:val="center" w:pos="6500"/>
        </w:tabs>
        <w:spacing w:after="120"/>
        <w:ind w:firstLine="567"/>
        <w:jc w:val="both"/>
        <w:rPr>
          <w:i/>
          <w:shd w:val="clear" w:color="auto" w:fill="FFFFFF"/>
        </w:rPr>
      </w:pPr>
      <w:r>
        <w:rPr>
          <w:i/>
          <w:spacing w:val="3"/>
          <w:shd w:val="clear" w:color="auto" w:fill="FFFFFF"/>
        </w:rPr>
        <w:t>Căn cứ Luật Ban hành văn bản quy phạm pháp luật số 64/2025/QH15 được sửa đổi, bổ sung bởi Luật số 87/2025/QH15</w:t>
      </w:r>
      <w:r>
        <w:rPr>
          <w:i/>
          <w:shd w:val="clear" w:color="auto" w:fill="FFFFFF"/>
        </w:rPr>
        <w:t>;</w:t>
      </w:r>
    </w:p>
    <w:p w:rsidR="00E215FE" w:rsidRDefault="001D3D22">
      <w:pPr>
        <w:spacing w:after="120"/>
        <w:ind w:firstLine="706"/>
        <w:jc w:val="both"/>
        <w:rPr>
          <w:i/>
          <w:iCs/>
        </w:rPr>
      </w:pPr>
      <w:bookmarkStart w:id="0" w:name="_Hlk216678366"/>
      <w:r>
        <w:rPr>
          <w:i/>
          <w:iCs/>
        </w:rPr>
        <w:t>Căn cứ Luật Đất đai số 31/2024/QH15 được sửa đổi, bổ sung bởi Luật số 43/2024/QH15;</w:t>
      </w:r>
      <w:bookmarkEnd w:id="0"/>
    </w:p>
    <w:p w:rsidR="00E215FE" w:rsidRDefault="001D3D22">
      <w:pPr>
        <w:pStyle w:val="NormalWeb"/>
        <w:shd w:val="clear" w:color="auto" w:fill="FFFFFF"/>
        <w:spacing w:before="0" w:beforeAutospacing="0" w:after="120" w:afterAutospacing="0"/>
        <w:ind w:firstLine="709"/>
        <w:jc w:val="both"/>
        <w:rPr>
          <w:i/>
          <w:sz w:val="28"/>
          <w:szCs w:val="28"/>
          <w:lang w:val="nl-NL"/>
        </w:rPr>
      </w:pPr>
      <w:r>
        <w:rPr>
          <w:i/>
          <w:sz w:val="28"/>
          <w:szCs w:val="28"/>
          <w:lang w:val="nl-NL"/>
        </w:rPr>
        <w:t>Căn cứ Nghị định số 103/2024/NĐ-CP của Chính phủ quy định về tiền sử dụng đất, tiền thuê đất được sửa đổi, bổ sung bởi Nghị định số 291/2025/NĐ-CP;</w:t>
      </w:r>
    </w:p>
    <w:p w:rsidR="00E215FE" w:rsidRDefault="001D3D22">
      <w:pPr>
        <w:pStyle w:val="NormalWeb"/>
        <w:shd w:val="clear" w:color="auto" w:fill="FFFFFF"/>
        <w:spacing w:before="0" w:beforeAutospacing="0" w:after="120" w:afterAutospacing="0"/>
        <w:ind w:firstLine="709"/>
        <w:jc w:val="both"/>
        <w:rPr>
          <w:i/>
          <w:sz w:val="28"/>
          <w:szCs w:val="28"/>
          <w:lang w:val="nl-NL"/>
        </w:rPr>
      </w:pPr>
      <w:r>
        <w:rPr>
          <w:i/>
          <w:sz w:val="28"/>
          <w:szCs w:val="28"/>
          <w:lang w:val="nl-NL"/>
        </w:rPr>
        <w:t xml:space="preserve">Căn cứ Nghị quyết số </w:t>
      </w:r>
      <w:r w:rsidR="00CF0F94">
        <w:rPr>
          <w:i/>
          <w:sz w:val="28"/>
          <w:szCs w:val="28"/>
          <w:lang w:val="nl-NL"/>
        </w:rPr>
        <w:t>14</w:t>
      </w:r>
      <w:r>
        <w:rPr>
          <w:i/>
          <w:sz w:val="28"/>
          <w:szCs w:val="28"/>
          <w:lang w:val="nl-NL"/>
        </w:rPr>
        <w:t>/NQ-H</w:t>
      </w:r>
      <w:r>
        <w:rPr>
          <w:rFonts w:hint="eastAsia"/>
          <w:i/>
          <w:sz w:val="28"/>
          <w:szCs w:val="28"/>
          <w:lang w:val="nl-NL"/>
        </w:rPr>
        <w:t>Đ</w:t>
      </w:r>
      <w:r w:rsidR="00CF0F94">
        <w:rPr>
          <w:i/>
          <w:sz w:val="28"/>
          <w:szCs w:val="28"/>
          <w:lang w:val="nl-NL"/>
        </w:rPr>
        <w:t>ND ngày 20</w:t>
      </w:r>
      <w:r>
        <w:rPr>
          <w:i/>
          <w:sz w:val="28"/>
          <w:szCs w:val="28"/>
          <w:lang w:val="nl-NL"/>
        </w:rPr>
        <w:t>/</w:t>
      </w:r>
      <w:r w:rsidR="00CF0F94">
        <w:rPr>
          <w:i/>
          <w:sz w:val="28"/>
          <w:szCs w:val="28"/>
          <w:lang w:val="nl-NL"/>
        </w:rPr>
        <w:t>5</w:t>
      </w:r>
      <w:r>
        <w:rPr>
          <w:i/>
          <w:sz w:val="28"/>
          <w:szCs w:val="28"/>
          <w:lang w:val="nl-NL"/>
        </w:rPr>
        <w:t>/2026 củ</w:t>
      </w:r>
      <w:r w:rsidR="00605466">
        <w:rPr>
          <w:i/>
          <w:sz w:val="28"/>
          <w:szCs w:val="28"/>
          <w:lang w:val="nl-NL"/>
        </w:rPr>
        <w:t>a</w:t>
      </w:r>
      <w:r>
        <w:rPr>
          <w:i/>
          <w:sz w:val="28"/>
          <w:szCs w:val="28"/>
          <w:lang w:val="nl-NL"/>
        </w:rPr>
        <w:t xml:space="preserve"> H</w:t>
      </w:r>
      <w:r>
        <w:rPr>
          <w:rFonts w:hint="eastAsia"/>
          <w:i/>
          <w:sz w:val="28"/>
          <w:szCs w:val="28"/>
          <w:lang w:val="nl-NL"/>
        </w:rPr>
        <w:t>Đ</w:t>
      </w:r>
      <w:r>
        <w:rPr>
          <w:i/>
          <w:sz w:val="28"/>
          <w:szCs w:val="28"/>
          <w:lang w:val="nl-NL"/>
        </w:rPr>
        <w:t>ND tỉnh về việc cho ý kiến về tỷ lệ phần trăm (%) để tính đơn giá thuê đất trả tiền thuê đất hằng năm, đơn giá thuê đất xây dựng công trình ngầm và đơn giá thuê đất có mặt nước trên địa bàn tỉnh Quảng Trị</w:t>
      </w:r>
    </w:p>
    <w:p w:rsidR="00E215FE" w:rsidRDefault="001D3D22">
      <w:pPr>
        <w:spacing w:after="120"/>
        <w:ind w:firstLine="720"/>
        <w:jc w:val="both"/>
        <w:rPr>
          <w:i/>
          <w:iCs/>
          <w:spacing w:val="-4"/>
          <w:position w:val="-2"/>
        </w:rPr>
      </w:pPr>
      <w:r>
        <w:rPr>
          <w:i/>
          <w:iCs/>
          <w:spacing w:val="-4"/>
          <w:position w:val="-2"/>
        </w:rPr>
        <w:t>Theo đề nghị của Giám đốc Sở Tài chính tại Tờ trình số 3</w:t>
      </w:r>
      <w:r w:rsidR="004758DF">
        <w:rPr>
          <w:i/>
          <w:iCs/>
          <w:spacing w:val="-4"/>
          <w:position w:val="-2"/>
        </w:rPr>
        <w:t>09</w:t>
      </w:r>
      <w:r>
        <w:rPr>
          <w:i/>
          <w:iCs/>
          <w:spacing w:val="-4"/>
          <w:position w:val="-2"/>
        </w:rPr>
        <w:t xml:space="preserve">5/TTr-STC ngày 28/4/2026; </w:t>
      </w:r>
    </w:p>
    <w:p w:rsidR="00E215FE" w:rsidRDefault="001D3D22">
      <w:pPr>
        <w:autoSpaceDE w:val="0"/>
        <w:autoSpaceDN w:val="0"/>
        <w:adjustRightInd w:val="0"/>
        <w:spacing w:after="120"/>
        <w:ind w:firstLine="567"/>
        <w:jc w:val="both"/>
        <w:rPr>
          <w:i/>
        </w:rPr>
      </w:pPr>
      <w:r>
        <w:rPr>
          <w:i/>
        </w:rPr>
        <w:t>Ủy ban nhân dân ban hành Quyết định Quy định tỷ lệ phần trăm (%) để tính đ</w:t>
      </w:r>
      <w:r>
        <w:rPr>
          <w:i/>
          <w:iCs/>
        </w:rPr>
        <w:t>ơn</w:t>
      </w:r>
      <w:r>
        <w:rPr>
          <w:i/>
        </w:rPr>
        <w:t xml:space="preserve"> giá thuê đất trả tiền thuê đất hằng năm, đơn giá thuê đất xây dựng công trình ngầm và đơn giá thuê đất có mặt nước trên địa bàn tỉnh Quảng Trị.</w:t>
      </w:r>
    </w:p>
    <w:p w:rsidR="00E215FE" w:rsidRDefault="00E215FE">
      <w:pPr>
        <w:widowControl w:val="0"/>
        <w:spacing w:after="120"/>
        <w:ind w:firstLine="567"/>
        <w:jc w:val="both"/>
        <w:rPr>
          <w:b/>
          <w:bCs/>
          <w:color w:val="000000"/>
          <w:sz w:val="2"/>
        </w:rPr>
      </w:pPr>
    </w:p>
    <w:p w:rsidR="00E215FE" w:rsidRDefault="001D3D22">
      <w:pPr>
        <w:autoSpaceDE w:val="0"/>
        <w:autoSpaceDN w:val="0"/>
        <w:adjustRightInd w:val="0"/>
        <w:spacing w:after="120"/>
        <w:ind w:firstLine="567"/>
        <w:jc w:val="both"/>
        <w:rPr>
          <w:b/>
          <w:bCs/>
          <w:color w:val="000000"/>
        </w:rPr>
      </w:pPr>
      <w:r>
        <w:rPr>
          <w:b/>
          <w:bCs/>
          <w:color w:val="000000"/>
        </w:rPr>
        <w:t xml:space="preserve">Điều 1. Phạm vi điều chỉnh </w:t>
      </w:r>
    </w:p>
    <w:p w:rsidR="00E215FE" w:rsidRDefault="001D3D22">
      <w:pPr>
        <w:autoSpaceDE w:val="0"/>
        <w:autoSpaceDN w:val="0"/>
        <w:adjustRightInd w:val="0"/>
        <w:spacing w:after="120"/>
        <w:ind w:firstLine="709"/>
        <w:jc w:val="both"/>
        <w:rPr>
          <w:lang w:val="pt-BR"/>
        </w:rPr>
      </w:pPr>
      <w:r>
        <w:t xml:space="preserve">Quyết định này quy định tỷ lệ phần trăm (%) để tính đơn giá thuê đất trả tiền thuê đất hằng năm, đơn giá thuê đất xây dựng công trình ngầm và đơn giá thuê đất có mặt nước trên địa bàn tỉnh Quảng Trị theo quy định tại điểm a khoản 1 Điều 26, điểm c khoản 2 Điều 27, khoản 3 Điều 28, khoản 1 Điều 44 </w:t>
      </w:r>
      <w:r>
        <w:rPr>
          <w:lang w:val="nl-NL"/>
        </w:rPr>
        <w:t>Nghị định số 103/2024/NĐ-CP của Chính phủ quy định về tiền sử dụng đất, tiền thuê đất được sửa đổi, bổ sung bởi Nghị định số 291/2025/NĐ-CP.</w:t>
      </w:r>
    </w:p>
    <w:p w:rsidR="00E215FE" w:rsidRDefault="001D3D22">
      <w:pPr>
        <w:autoSpaceDE w:val="0"/>
        <w:autoSpaceDN w:val="0"/>
        <w:adjustRightInd w:val="0"/>
        <w:spacing w:after="120"/>
        <w:ind w:firstLine="567"/>
        <w:jc w:val="both"/>
        <w:rPr>
          <w:b/>
          <w:bCs/>
        </w:rPr>
      </w:pPr>
      <w:r>
        <w:rPr>
          <w:b/>
          <w:bCs/>
        </w:rPr>
        <w:t>Điều 2. Đối tượng áp dụng</w:t>
      </w:r>
    </w:p>
    <w:p w:rsidR="00E215FE" w:rsidRDefault="001D3D22">
      <w:pPr>
        <w:shd w:val="clear" w:color="auto" w:fill="FFFFFF"/>
        <w:spacing w:after="120"/>
        <w:ind w:firstLine="709"/>
        <w:jc w:val="both"/>
        <w:rPr>
          <w:bCs/>
          <w:lang w:val="pt-BR"/>
        </w:rPr>
      </w:pPr>
      <w:r>
        <w:rPr>
          <w:bCs/>
          <w:lang w:val="pt-BR"/>
        </w:rPr>
        <w:t>1. Người sử dụng đất theo quy định tại </w:t>
      </w:r>
      <w:bookmarkStart w:id="1" w:name="dc_5"/>
      <w:r>
        <w:rPr>
          <w:bCs/>
          <w:lang w:val="pt-BR"/>
        </w:rPr>
        <w:t>Điều 4 Luật Đất đai</w:t>
      </w:r>
      <w:bookmarkEnd w:id="1"/>
      <w:r>
        <w:rPr>
          <w:bCs/>
          <w:lang w:val="pt-BR"/>
        </w:rPr>
        <w:t xml:space="preserve"> số 31/2024/QH15 được Nhà nước cho thuê đất mà thuộc trường hợp phải nộp tiền thuê đất theo quy định.</w:t>
      </w:r>
    </w:p>
    <w:p w:rsidR="00E215FE" w:rsidRDefault="001D3D22">
      <w:pPr>
        <w:shd w:val="clear" w:color="auto" w:fill="FFFFFF"/>
        <w:spacing w:after="120"/>
        <w:ind w:firstLine="709"/>
        <w:jc w:val="both"/>
        <w:rPr>
          <w:bCs/>
          <w:lang w:val="pt-BR"/>
        </w:rPr>
      </w:pPr>
      <w:r>
        <w:rPr>
          <w:bCs/>
          <w:lang w:val="pt-BR"/>
        </w:rPr>
        <w:t>2. Các cơ quan, tổ chức và đối tượng khác có liên quan trong việc tính, thu, nộp, quản lý tiền thuê đất.</w:t>
      </w:r>
    </w:p>
    <w:p w:rsidR="00E215FE" w:rsidRDefault="001D3D22">
      <w:pPr>
        <w:shd w:val="clear" w:color="auto" w:fill="FFFFFF"/>
        <w:spacing w:after="120"/>
        <w:ind w:firstLine="709"/>
        <w:jc w:val="both"/>
        <w:rPr>
          <w:b/>
          <w:lang w:val="pt-BR"/>
        </w:rPr>
      </w:pPr>
      <w:r>
        <w:rPr>
          <w:b/>
          <w:lang w:val="pt-BR"/>
        </w:rPr>
        <w:lastRenderedPageBreak/>
        <w:t>Điều 3.</w:t>
      </w:r>
      <w:r>
        <w:rPr>
          <w:lang w:val="pt-BR"/>
        </w:rPr>
        <w:t xml:space="preserve"> </w:t>
      </w:r>
      <w:r>
        <w:rPr>
          <w:b/>
          <w:lang w:val="pt-BR"/>
        </w:rPr>
        <w:t xml:space="preserve">Tỷ lệ phần trăm (%) để tính đơn giá thuê đất trả tiền hằng năm không thông qua hình thức đấu giá </w:t>
      </w:r>
    </w:p>
    <w:p w:rsidR="00E215FE" w:rsidRDefault="001D3D22" w:rsidP="00CC7123">
      <w:pPr>
        <w:spacing w:after="120"/>
        <w:ind w:firstLine="709"/>
        <w:jc w:val="both"/>
        <w:rPr>
          <w:lang w:val="nl-NL"/>
        </w:rPr>
      </w:pPr>
      <w:r>
        <w:rPr>
          <w:lang w:val="nl-NL"/>
        </w:rPr>
        <w:t xml:space="preserve">1) </w:t>
      </w:r>
      <w:r>
        <w:rPr>
          <w:lang w:val="pt-BR"/>
        </w:rPr>
        <w:t>Tỷ lệ 1,0</w:t>
      </w:r>
      <w:r>
        <w:rPr>
          <w:iCs/>
          <w:lang w:val="pt-BR"/>
        </w:rPr>
        <w:t>%</w:t>
      </w:r>
      <w:r>
        <w:rPr>
          <w:lang w:val="pt-BR"/>
        </w:rPr>
        <w:t xml:space="preserve"> đối với đất tại các phường: Đồng Hới, Đồng Thuận, Đồng Sơn, Ba Đồn, Bắc Gianh, Đông Hà, Nam Đông Hà, Quảng Trị.</w:t>
      </w:r>
    </w:p>
    <w:p w:rsidR="00E215FE" w:rsidRDefault="001D3D22" w:rsidP="00CC7123">
      <w:pPr>
        <w:autoSpaceDE w:val="0"/>
        <w:autoSpaceDN w:val="0"/>
        <w:adjustRightInd w:val="0"/>
        <w:spacing w:after="120"/>
        <w:ind w:firstLine="709"/>
        <w:jc w:val="both"/>
        <w:rPr>
          <w:lang w:val="pt-BR"/>
        </w:rPr>
      </w:pPr>
      <w:r>
        <w:rPr>
          <w:lang w:val="nl-NL"/>
        </w:rPr>
        <w:t xml:space="preserve">2) </w:t>
      </w:r>
      <w:r>
        <w:rPr>
          <w:lang w:val="pt-BR"/>
        </w:rPr>
        <w:t>Tỷ lệ 0,8% đối với đất tại các xã: Minh Hóa, Đồng Lê, Phú Trạch, Hòa Trạch, Trung Thuần, Quảng Trạch, Tân Gianh, Hoàn Lão, Nam Trạch, Phong Nha, Bắc Trạch, Bố Trạch, Đông Trạch, Quảng Ninh, Ninh Châu, Trường Ninh, Lệ Ninh, Lệ Thủy, Cam Hồng, Sen Ngư, Tân Mỹ, Trường Phú, Nam Ba Đồn, Nam Gianh, Vĩnh Linh, Bến Quan, Vĩnh Hoàng, Cửa Tùng, Vĩnh Thủy, Gio Linh, Cửa Việt, Bến Hải, Hiếu Giang, Triệu Phong, Nam Cửa Việt, Triệu Bình, Triệu Cơ, Ái Tử, Diên Sanh, Mỹ Thủy, Vĩnh Định, Hải Lăng, Nam Hải Lăng, Cồn Tiên, Cam Lộ.</w:t>
      </w:r>
    </w:p>
    <w:p w:rsidR="00E215FE" w:rsidRDefault="001D3D22" w:rsidP="00CC7123">
      <w:pPr>
        <w:autoSpaceDE w:val="0"/>
        <w:autoSpaceDN w:val="0"/>
        <w:adjustRightInd w:val="0"/>
        <w:spacing w:after="120"/>
        <w:ind w:firstLine="709"/>
        <w:jc w:val="both"/>
        <w:rPr>
          <w:lang w:val="pt-BR"/>
        </w:rPr>
      </w:pPr>
      <w:r>
        <w:rPr>
          <w:lang w:val="pt-BR"/>
        </w:rPr>
        <w:t>3) Tỷ lệ 0,6% đối với đất tại các xã, đặc khu: Dân Hóa, Tân Thành, Kim Điền, Kim Phú, Tuyên Sơn, Tuyên Lâm, Tuyên Phú, Tuyên Bình, Tuyên Hóa, Thượng Trạch, Trường Sơn, Kim Ngân, Khe Sanh, Lao Bảo, Hướng Lập, Hướng Phùng, Tân Lập, Lìa, A Dơi, Hướng Hiệp, Đakrông, Ba Lòng, Tà Rụt, La Lay, Đặc khu Cồn Cỏ.</w:t>
      </w:r>
    </w:p>
    <w:p w:rsidR="00E215FE" w:rsidRDefault="001D3D22" w:rsidP="00CC7123">
      <w:pPr>
        <w:autoSpaceDE w:val="0"/>
        <w:autoSpaceDN w:val="0"/>
        <w:adjustRightInd w:val="0"/>
        <w:spacing w:after="120"/>
        <w:ind w:firstLine="709"/>
        <w:jc w:val="both"/>
        <w:rPr>
          <w:lang w:val="pt-BR"/>
        </w:rPr>
      </w:pPr>
      <w:r>
        <w:rPr>
          <w:lang w:val="pt-BR"/>
        </w:rPr>
        <w:t>4) Tỷ lệ 0,5% đối với đất tại các địa bàn thuộc quy định tại khoản 1,2,3 Điều này sử dụng vào mục đích sản xuất nông nghiệp, lâm nghiệp, nuôi trồng thuỷ sản, làm muối.</w:t>
      </w:r>
    </w:p>
    <w:p w:rsidR="00E215FE" w:rsidRDefault="001D3D22" w:rsidP="00CC7123">
      <w:pPr>
        <w:autoSpaceDE w:val="0"/>
        <w:autoSpaceDN w:val="0"/>
        <w:adjustRightInd w:val="0"/>
        <w:spacing w:after="120"/>
        <w:ind w:firstLine="709"/>
        <w:jc w:val="both"/>
        <w:rPr>
          <w:lang w:val="pt-BR"/>
        </w:rPr>
      </w:pPr>
      <w:r>
        <w:rPr>
          <w:lang w:val="pt-BR"/>
        </w:rPr>
        <w:t>5) Trường hợp các đơn vị hành chính hợp nhất, sáp nhập, chia, tách áp dụng mức tỷ lệ cao nhất được quy định tại đơn vị hành chính cũ.</w:t>
      </w:r>
    </w:p>
    <w:p w:rsidR="00E215FE" w:rsidRDefault="001D3D22">
      <w:pPr>
        <w:shd w:val="clear" w:color="auto" w:fill="FFFFFF"/>
        <w:spacing w:after="120"/>
        <w:ind w:firstLine="567"/>
        <w:jc w:val="both"/>
        <w:rPr>
          <w:b/>
          <w:lang w:val="vi-VN"/>
        </w:rPr>
      </w:pPr>
      <w:r>
        <w:rPr>
          <w:b/>
          <w:lang w:val="pt-BR"/>
        </w:rPr>
        <w:t>Điều 4.</w:t>
      </w:r>
      <w:r>
        <w:rPr>
          <w:b/>
          <w:bCs/>
          <w:lang w:val="pt-BR"/>
        </w:rPr>
        <w:t xml:space="preserve"> Tỷ lệ phần trăm (%) tính đ</w:t>
      </w:r>
      <w:r>
        <w:rPr>
          <w:b/>
          <w:bCs/>
          <w:lang w:val="vi-VN"/>
        </w:rPr>
        <w:t>ơn giá thuê đất xây dựng công trình ngầm</w:t>
      </w:r>
    </w:p>
    <w:p w:rsidR="00E215FE" w:rsidRDefault="001D3D22">
      <w:pPr>
        <w:shd w:val="clear" w:color="auto" w:fill="FFFFFF"/>
        <w:spacing w:after="120"/>
        <w:ind w:firstLine="709"/>
        <w:jc w:val="both"/>
        <w:rPr>
          <w:lang w:val="pt-BR"/>
        </w:rPr>
      </w:pPr>
      <w:r>
        <w:rPr>
          <w:lang w:val="pt-BR"/>
        </w:rPr>
        <w:t>1. </w:t>
      </w:r>
      <w:r>
        <w:rPr>
          <w:lang w:val="vi-VN"/>
        </w:rPr>
        <w:t>Đối với đất được Nhà nước cho thuê để xây </w:t>
      </w:r>
      <w:r>
        <w:rPr>
          <w:lang w:val="pt-BR"/>
        </w:rPr>
        <w:t>d</w:t>
      </w:r>
      <w:r>
        <w:rPr>
          <w:lang w:val="vi-VN"/>
        </w:rPr>
        <w:t xml:space="preserve">ựng công trình ngầm (không phải là phần ngầm của công trình xây dựng trên mặt đất) theo quy định </w:t>
      </w:r>
      <w:r>
        <w:rPr>
          <w:lang w:val="pt-BR"/>
        </w:rPr>
        <w:t xml:space="preserve">tại khoản 1 Điều 120 </w:t>
      </w:r>
      <w:r>
        <w:rPr>
          <w:lang w:val="vi-VN"/>
        </w:rPr>
        <w:t>Luật Đất đai</w:t>
      </w:r>
      <w:r>
        <w:rPr>
          <w:lang w:val="pt-BR"/>
        </w:rPr>
        <w:t xml:space="preserve"> số 31/2024/QH15</w:t>
      </w:r>
      <w:r>
        <w:rPr>
          <w:lang w:val="vi-VN"/>
        </w:rPr>
        <w:t>, đơn giá thuê đất được xác định như sau:</w:t>
      </w:r>
    </w:p>
    <w:p w:rsidR="00E215FE" w:rsidRDefault="001D3D22">
      <w:pPr>
        <w:shd w:val="clear" w:color="auto" w:fill="FFFFFF"/>
        <w:spacing w:after="120"/>
        <w:ind w:firstLine="709"/>
        <w:jc w:val="both"/>
        <w:rPr>
          <w:lang w:val="pt-BR"/>
        </w:rPr>
      </w:pPr>
      <w:r>
        <w:rPr>
          <w:lang w:val="pt-BR"/>
        </w:rPr>
        <w:t>a) </w:t>
      </w:r>
      <w:r>
        <w:rPr>
          <w:lang w:val="vi-VN"/>
        </w:rPr>
        <w:t>Trường hợp thuê đất trả tiền thuê đất hằng năm</w:t>
      </w:r>
      <w:r>
        <w:rPr>
          <w:lang w:val="pt-BR"/>
        </w:rPr>
        <w:t>:</w:t>
      </w:r>
      <w:r>
        <w:rPr>
          <w:lang w:val="vi-VN"/>
        </w:rPr>
        <w:t xml:space="preserve"> </w:t>
      </w:r>
      <w:r>
        <w:rPr>
          <w:lang w:val="pt-BR"/>
        </w:rPr>
        <w:t>Đ</w:t>
      </w:r>
      <w:r>
        <w:rPr>
          <w:lang w:val="vi-VN"/>
        </w:rPr>
        <w:t xml:space="preserve">ơn giá thuê đất </w:t>
      </w:r>
      <w:r>
        <w:rPr>
          <w:lang w:val="pt-BR"/>
        </w:rPr>
        <w:t xml:space="preserve">được tính bằng </w:t>
      </w:r>
      <w:r>
        <w:rPr>
          <w:lang w:val="vi-VN"/>
        </w:rPr>
        <w:t>30% đơn giá thuê đất trên bề mặt với hình thức thuê đất trả tiền thuê đất hằng năm có cùng mục đích sử dụng</w:t>
      </w:r>
      <w:r>
        <w:rPr>
          <w:lang w:val="pt-BR"/>
        </w:rPr>
        <w:t xml:space="preserve"> đất</w:t>
      </w:r>
      <w:r>
        <w:rPr>
          <w:lang w:val="vi-VN"/>
        </w:rPr>
        <w:t>.</w:t>
      </w:r>
    </w:p>
    <w:p w:rsidR="00E215FE" w:rsidRDefault="001D3D22">
      <w:pPr>
        <w:shd w:val="clear" w:color="auto" w:fill="FFFFFF"/>
        <w:spacing w:after="120"/>
        <w:ind w:firstLine="709"/>
        <w:jc w:val="both"/>
        <w:rPr>
          <w:lang w:val="pt-BR"/>
        </w:rPr>
      </w:pPr>
      <w:r>
        <w:rPr>
          <w:lang w:val="pt-BR"/>
        </w:rPr>
        <w:t>b) </w:t>
      </w:r>
      <w:r>
        <w:rPr>
          <w:lang w:val="vi-VN"/>
        </w:rPr>
        <w:t>Trường hợp thuê đất trả tiền thuê đất</w:t>
      </w:r>
      <w:r>
        <w:rPr>
          <w:lang w:val="pt-BR"/>
        </w:rPr>
        <w:t xml:space="preserve"> </w:t>
      </w:r>
      <w:r>
        <w:rPr>
          <w:lang w:val="vi-VN"/>
        </w:rPr>
        <w:t>một lần cho cả thời gian thuê</w:t>
      </w:r>
      <w:r>
        <w:rPr>
          <w:lang w:val="pt-BR"/>
        </w:rPr>
        <w:t>: Đ</w:t>
      </w:r>
      <w:r>
        <w:rPr>
          <w:lang w:val="vi-VN"/>
        </w:rPr>
        <w:t>ơn giá thuê đất trả một lần cho cả thời gian thuê</w:t>
      </w:r>
      <w:r>
        <w:rPr>
          <w:lang w:val="pt-BR"/>
        </w:rPr>
        <w:t xml:space="preserve"> được tính</w:t>
      </w:r>
      <w:r>
        <w:rPr>
          <w:lang w:val="vi-VN"/>
        </w:rPr>
        <w:t xml:space="preserve"> bằng 30% đơn giá thuê đất trên bề mặt với hình thức thuê đất trả tiền thuê đất một lần cho cả thời gian thuê có cùng mục đích sử dụng và thời hạn sử dụng đ</w:t>
      </w:r>
      <w:r>
        <w:rPr>
          <w:lang w:val="pt-BR"/>
        </w:rPr>
        <w:t>ất.</w:t>
      </w:r>
    </w:p>
    <w:p w:rsidR="00536F04" w:rsidRDefault="001D3D22">
      <w:pPr>
        <w:shd w:val="clear" w:color="auto" w:fill="FFFFFF"/>
        <w:spacing w:after="120"/>
        <w:ind w:firstLine="709"/>
        <w:jc w:val="both"/>
        <w:rPr>
          <w:lang w:val="vi-VN"/>
        </w:rPr>
      </w:pPr>
      <w:r>
        <w:rPr>
          <w:lang w:val="pt-BR"/>
        </w:rPr>
        <w:t>2. </w:t>
      </w:r>
      <w:r>
        <w:rPr>
          <w:lang w:val="vi-VN"/>
        </w:rPr>
        <w:t>Đối với đất xây dựng cô</w:t>
      </w:r>
      <w:r>
        <w:rPr>
          <w:lang w:val="pt-BR"/>
        </w:rPr>
        <w:t>n</w:t>
      </w:r>
      <w:r>
        <w:rPr>
          <w:lang w:val="vi-VN"/>
        </w:rPr>
        <w:t>g tr</w:t>
      </w:r>
      <w:r>
        <w:rPr>
          <w:lang w:val="pt-BR"/>
        </w:rPr>
        <w:t>ì</w:t>
      </w:r>
      <w:r>
        <w:rPr>
          <w:lang w:val="vi-VN"/>
        </w:rPr>
        <w:t xml:space="preserve">nh ngầm gắn với phần ngầm công trình xây dựng trên mặt đất mà có phần diện tích xây dựng công trình ngầm vượt ra ngoài phần diện tích đất trên bề mặt </w:t>
      </w:r>
      <w:r>
        <w:rPr>
          <w:lang w:val="pt-BR"/>
        </w:rPr>
        <w:t>được Nhà nước cho</w:t>
      </w:r>
      <w:r>
        <w:rPr>
          <w:lang w:val="vi-VN"/>
        </w:rPr>
        <w:t xml:space="preserve"> thuê đất thì </w:t>
      </w:r>
      <w:r>
        <w:rPr>
          <w:lang w:val="pt-BR"/>
        </w:rPr>
        <w:t>đơn giá</w:t>
      </w:r>
      <w:r>
        <w:rPr>
          <w:lang w:val="vi-VN"/>
        </w:rPr>
        <w:t xml:space="preserve"> thuê đất phải nộp của phần </w:t>
      </w:r>
      <w:r>
        <w:rPr>
          <w:lang w:val="pt-BR"/>
        </w:rPr>
        <w:t>d</w:t>
      </w:r>
      <w:r>
        <w:rPr>
          <w:lang w:val="vi-VN"/>
        </w:rPr>
        <w:t xml:space="preserve">iện tích vượt thêm này được xác định theo quy định tại </w:t>
      </w:r>
      <w:r>
        <w:rPr>
          <w:lang w:val="pt-BR"/>
        </w:rPr>
        <w:t>khoản 1</w:t>
      </w:r>
      <w:r>
        <w:rPr>
          <w:lang w:val="vi-VN"/>
        </w:rPr>
        <w:t xml:space="preserve"> Đi</w:t>
      </w:r>
      <w:r>
        <w:rPr>
          <w:lang w:val="pt-BR"/>
        </w:rPr>
        <w:t>ề</w:t>
      </w:r>
      <w:r>
        <w:rPr>
          <w:lang w:val="vi-VN"/>
        </w:rPr>
        <w:t>u này.</w:t>
      </w:r>
    </w:p>
    <w:p w:rsidR="00536F04" w:rsidRDefault="00536F04">
      <w:pPr>
        <w:shd w:val="clear" w:color="auto" w:fill="FFFFFF"/>
        <w:spacing w:after="120"/>
        <w:ind w:firstLine="709"/>
        <w:jc w:val="both"/>
        <w:rPr>
          <w:lang w:val="vi-VN"/>
        </w:rPr>
      </w:pPr>
    </w:p>
    <w:p w:rsidR="00E215FE" w:rsidRDefault="001D3D22">
      <w:pPr>
        <w:shd w:val="clear" w:color="auto" w:fill="FFFFFF"/>
        <w:spacing w:after="120"/>
        <w:ind w:firstLine="709"/>
        <w:jc w:val="both"/>
        <w:rPr>
          <w:b/>
          <w:lang w:val="pt-BR"/>
        </w:rPr>
      </w:pPr>
      <w:r>
        <w:rPr>
          <w:b/>
          <w:lang w:val="pt-BR"/>
        </w:rPr>
        <w:lastRenderedPageBreak/>
        <w:t xml:space="preserve">Điều 5. </w:t>
      </w:r>
      <w:r>
        <w:rPr>
          <w:b/>
          <w:bCs/>
          <w:lang w:val="pt-BR"/>
        </w:rPr>
        <w:t>Tỷ lệ phần trăm (%) tính đ</w:t>
      </w:r>
      <w:r>
        <w:rPr>
          <w:b/>
          <w:bCs/>
          <w:lang w:val="vi-VN"/>
        </w:rPr>
        <w:t xml:space="preserve">ơn giá thuê đất </w:t>
      </w:r>
      <w:r>
        <w:rPr>
          <w:b/>
          <w:bCs/>
          <w:lang w:val="pt-BR"/>
        </w:rPr>
        <w:t>có mặt nước</w:t>
      </w:r>
    </w:p>
    <w:p w:rsidR="00E215FE" w:rsidRDefault="001D3D22">
      <w:pPr>
        <w:autoSpaceDE w:val="0"/>
        <w:autoSpaceDN w:val="0"/>
        <w:adjustRightInd w:val="0"/>
        <w:spacing w:after="120"/>
        <w:ind w:firstLine="709"/>
        <w:jc w:val="both"/>
        <w:rPr>
          <w:shd w:val="clear" w:color="auto" w:fill="FFFFFF"/>
          <w:lang w:val="pt-BR"/>
        </w:rPr>
      </w:pPr>
      <w:r>
        <w:rPr>
          <w:shd w:val="clear" w:color="auto" w:fill="FFFFFF"/>
          <w:lang w:val="pt-BR"/>
        </w:rPr>
        <w:t>Đối với phần diện tích đất có mặt nước, đơn giá thuê đất trả tiền thuê đất hằng năm, đơn giá thuê đất trả tiền thuê đất một lần cho cả thời gian thuê được tính bằng 70%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rsidR="00E215FE" w:rsidRDefault="001D3D22">
      <w:pPr>
        <w:autoSpaceDE w:val="0"/>
        <w:autoSpaceDN w:val="0"/>
        <w:adjustRightInd w:val="0"/>
        <w:spacing w:after="120"/>
        <w:ind w:firstLine="567"/>
        <w:jc w:val="both"/>
        <w:rPr>
          <w:b/>
          <w:bCs/>
        </w:rPr>
      </w:pPr>
      <w:r>
        <w:rPr>
          <w:b/>
          <w:bCs/>
        </w:rPr>
        <w:t>Điều 6. Điều khoản thi hành</w:t>
      </w:r>
    </w:p>
    <w:p w:rsidR="00E215FE" w:rsidRDefault="001D3D22">
      <w:pPr>
        <w:autoSpaceDE w:val="0"/>
        <w:autoSpaceDN w:val="0"/>
        <w:adjustRightInd w:val="0"/>
        <w:spacing w:after="120"/>
        <w:ind w:firstLine="567"/>
        <w:jc w:val="both"/>
      </w:pPr>
      <w:r>
        <w:t xml:space="preserve"> 1. Quyết định này có hiệu lực thi hành kể từ ngày </w:t>
      </w:r>
      <w:r w:rsidR="00DE6F7B">
        <w:t xml:space="preserve">10 </w:t>
      </w:r>
      <w:r>
        <w:t>tháng</w:t>
      </w:r>
      <w:r w:rsidR="00DE6F7B">
        <w:t xml:space="preserve"> 6 </w:t>
      </w:r>
      <w:bookmarkStart w:id="2" w:name="_GoBack"/>
      <w:bookmarkEnd w:id="2"/>
      <w:r>
        <w:t>năm 2026. Các quyết định sau đây hết hiệu lực kể từ ngày Quyết định này có hiệu lực thi hành:</w:t>
      </w:r>
    </w:p>
    <w:p w:rsidR="00E215FE" w:rsidRDefault="001D3D22">
      <w:pPr>
        <w:autoSpaceDE w:val="0"/>
        <w:autoSpaceDN w:val="0"/>
        <w:adjustRightInd w:val="0"/>
        <w:spacing w:after="120"/>
        <w:ind w:firstLine="709"/>
        <w:jc w:val="both"/>
        <w:rPr>
          <w:lang w:val="pt-BR"/>
        </w:rPr>
      </w:pPr>
      <w:r>
        <w:rPr>
          <w:lang w:val="pt-BR"/>
        </w:rPr>
        <w:t xml:space="preserve">a) Quyết định số 42/2024/QĐ-UBND ngày 06 tháng 11 năm 2024 của Ủy ban nhân dân tỉnh Quảng Bình quy định tỷ lệ phần trăm (%) để </w:t>
      </w:r>
      <w:r>
        <w:t>để tính đơn giá thuê đất trả tiền thuê đất hàng năm, đơn giá thuê đất xây dựng công trình ngầm và đơn giá thuê đất có mặt nước trên địa bàn tỉnh Quảng Bình.</w:t>
      </w:r>
    </w:p>
    <w:p w:rsidR="00E215FE" w:rsidRDefault="001D3D22">
      <w:pPr>
        <w:autoSpaceDE w:val="0"/>
        <w:autoSpaceDN w:val="0"/>
        <w:adjustRightInd w:val="0"/>
        <w:spacing w:after="120"/>
        <w:ind w:firstLine="709"/>
        <w:jc w:val="both"/>
        <w:rPr>
          <w:lang w:val="pt-BR"/>
        </w:rPr>
      </w:pPr>
      <w:r>
        <w:rPr>
          <w:lang w:val="pt-BR"/>
        </w:rPr>
        <w:t xml:space="preserve">b) Quyết định số 33/2025/QĐ-UBND ngày 29 tháng 4 năm 2025 của Ủy ban nhân dân tỉnh Quảng Trị (cũ) quy định tỷ lệ phần trăm (%) </w:t>
      </w:r>
      <w:r>
        <w:t>tính đơn giá thuê đất trả tiền thuê đất hàng năm không thông qua hình thức đấu giá, mức đơn giá thuê đất xây dựng công trình ngầm, mức đơn giá thuê đất đối với đất có mặt nước trên địa bàn tỉnh Quảng Trị.</w:t>
      </w:r>
    </w:p>
    <w:p w:rsidR="00E215FE" w:rsidRDefault="001D3D22">
      <w:pPr>
        <w:autoSpaceDE w:val="0"/>
        <w:autoSpaceDN w:val="0"/>
        <w:adjustRightInd w:val="0"/>
        <w:spacing w:after="120"/>
        <w:ind w:firstLine="567"/>
        <w:jc w:val="both"/>
        <w:rPr>
          <w:color w:val="000000"/>
        </w:rPr>
      </w:pPr>
      <w:r>
        <w:rPr>
          <w:color w:val="000000"/>
        </w:rPr>
        <w:t xml:space="preserve"> 2. Chánh Văn phòng UBND tỉnh; Giám đốc các Sở: Tài chính, Nông nghiệp và Môi trường; Trưởng Thuế tỉnh; Thủ trưởng các sở, ban, ngành cấp tỉnh; Chủ tịch UBND các xã, phường, đặc khu và các tổ chức, cá nhân có liên quan chịu trách nhiệm thi hành Quyết định này./. </w:t>
      </w:r>
    </w:p>
    <w:p w:rsidR="00E215FE" w:rsidRDefault="00E215FE">
      <w:pPr>
        <w:autoSpaceDE w:val="0"/>
        <w:autoSpaceDN w:val="0"/>
        <w:adjustRightInd w:val="0"/>
        <w:spacing w:line="288" w:lineRule="auto"/>
        <w:ind w:firstLine="567"/>
        <w:jc w:val="both"/>
        <w:rPr>
          <w:color w:val="000000"/>
          <w:sz w:val="24"/>
        </w:rPr>
      </w:pPr>
    </w:p>
    <w:p w:rsidR="00E215FE" w:rsidRDefault="00E215FE">
      <w:pPr>
        <w:widowControl w:val="0"/>
        <w:spacing w:before="120" w:line="276" w:lineRule="auto"/>
        <w:ind w:firstLine="567"/>
        <w:jc w:val="both"/>
        <w:rPr>
          <w:spacing w:val="4"/>
          <w:sz w:val="2"/>
        </w:rPr>
      </w:pPr>
    </w:p>
    <w:tbl>
      <w:tblPr>
        <w:tblW w:w="9189" w:type="dxa"/>
        <w:tblInd w:w="108" w:type="dxa"/>
        <w:tblLook w:val="01E0" w:firstRow="1" w:lastRow="1" w:firstColumn="1" w:lastColumn="1" w:noHBand="0" w:noVBand="0"/>
      </w:tblPr>
      <w:tblGrid>
        <w:gridCol w:w="4712"/>
        <w:gridCol w:w="4477"/>
      </w:tblGrid>
      <w:tr w:rsidR="00E215FE">
        <w:tc>
          <w:tcPr>
            <w:tcW w:w="4712" w:type="dxa"/>
            <w:shd w:val="clear" w:color="auto" w:fill="auto"/>
          </w:tcPr>
          <w:p w:rsidR="00E215FE" w:rsidRDefault="001D3D22">
            <w:pPr>
              <w:widowControl w:val="0"/>
              <w:tabs>
                <w:tab w:val="center" w:pos="7200"/>
              </w:tabs>
              <w:rPr>
                <w:i/>
                <w:iCs/>
                <w:sz w:val="24"/>
              </w:rPr>
            </w:pPr>
            <w:r>
              <w:rPr>
                <w:b/>
                <w:i/>
                <w:iCs/>
                <w:sz w:val="24"/>
              </w:rPr>
              <w:t>Nơi nhận</w:t>
            </w:r>
            <w:r>
              <w:rPr>
                <w:i/>
                <w:iCs/>
                <w:sz w:val="24"/>
              </w:rPr>
              <w:t>:</w:t>
            </w:r>
          </w:p>
          <w:p w:rsidR="00E215FE" w:rsidRDefault="001D3D22">
            <w:pPr>
              <w:widowControl w:val="0"/>
              <w:tabs>
                <w:tab w:val="center" w:pos="7200"/>
              </w:tabs>
              <w:rPr>
                <w:bCs/>
                <w:sz w:val="22"/>
              </w:rPr>
            </w:pPr>
            <w:r>
              <w:rPr>
                <w:bCs/>
                <w:sz w:val="22"/>
              </w:rPr>
              <w:t>- Như Điều 6;</w:t>
            </w:r>
          </w:p>
          <w:p w:rsidR="00E215FE" w:rsidRDefault="001D3D22">
            <w:pPr>
              <w:widowControl w:val="0"/>
              <w:tabs>
                <w:tab w:val="center" w:pos="7200"/>
              </w:tabs>
              <w:rPr>
                <w:bCs/>
                <w:sz w:val="22"/>
              </w:rPr>
            </w:pPr>
            <w:r>
              <w:rPr>
                <w:bCs/>
                <w:sz w:val="22"/>
              </w:rPr>
              <w:t>- Văn phòng Chính phủ;</w:t>
            </w:r>
          </w:p>
          <w:p w:rsidR="00E215FE" w:rsidRDefault="001D3D22">
            <w:pPr>
              <w:widowControl w:val="0"/>
              <w:tabs>
                <w:tab w:val="center" w:pos="7200"/>
              </w:tabs>
              <w:rPr>
                <w:bCs/>
                <w:sz w:val="22"/>
              </w:rPr>
            </w:pPr>
            <w:r>
              <w:rPr>
                <w:bCs/>
                <w:sz w:val="22"/>
              </w:rPr>
              <w:t>- Bộ Tài chính;</w:t>
            </w:r>
          </w:p>
          <w:p w:rsidR="00E215FE" w:rsidRDefault="001D3D22">
            <w:pPr>
              <w:widowControl w:val="0"/>
              <w:tabs>
                <w:tab w:val="center" w:pos="7200"/>
              </w:tabs>
              <w:rPr>
                <w:bCs/>
                <w:sz w:val="22"/>
              </w:rPr>
            </w:pPr>
            <w:r>
              <w:rPr>
                <w:bCs/>
                <w:sz w:val="22"/>
              </w:rPr>
              <w:t>- Bộ Nội vụ;</w:t>
            </w:r>
          </w:p>
          <w:p w:rsidR="00E215FE" w:rsidRDefault="001D3D22">
            <w:pPr>
              <w:widowControl w:val="0"/>
              <w:tabs>
                <w:tab w:val="center" w:pos="7200"/>
              </w:tabs>
              <w:rPr>
                <w:bCs/>
                <w:sz w:val="22"/>
              </w:rPr>
            </w:pPr>
            <w:r>
              <w:rPr>
                <w:bCs/>
                <w:sz w:val="22"/>
              </w:rPr>
              <w:t>- Bộ Tư pháp;</w:t>
            </w:r>
          </w:p>
          <w:p w:rsidR="00E215FE" w:rsidRDefault="001D3D22">
            <w:pPr>
              <w:widowControl w:val="0"/>
              <w:tabs>
                <w:tab w:val="center" w:pos="7200"/>
              </w:tabs>
              <w:rPr>
                <w:bCs/>
                <w:sz w:val="22"/>
              </w:rPr>
            </w:pPr>
            <w:r>
              <w:rPr>
                <w:bCs/>
                <w:sz w:val="22"/>
              </w:rPr>
              <w:t>- Cục KTVB và Quản lý xử lý VPHC-Bộ Tư pháp;</w:t>
            </w:r>
          </w:p>
          <w:p w:rsidR="00E215FE" w:rsidRDefault="001D3D22">
            <w:pPr>
              <w:widowControl w:val="0"/>
              <w:tabs>
                <w:tab w:val="center" w:pos="7200"/>
              </w:tabs>
              <w:rPr>
                <w:bCs/>
                <w:sz w:val="22"/>
              </w:rPr>
            </w:pPr>
            <w:r>
              <w:rPr>
                <w:bCs/>
                <w:sz w:val="22"/>
              </w:rPr>
              <w:t>- Vụ pháp chế - Bộ Tài chính;</w:t>
            </w:r>
          </w:p>
          <w:p w:rsidR="00E215FE" w:rsidRDefault="001D3D22">
            <w:pPr>
              <w:widowControl w:val="0"/>
              <w:tabs>
                <w:tab w:val="center" w:pos="7200"/>
              </w:tabs>
              <w:rPr>
                <w:bCs/>
                <w:sz w:val="22"/>
              </w:rPr>
            </w:pPr>
            <w:r>
              <w:rPr>
                <w:bCs/>
                <w:sz w:val="22"/>
              </w:rPr>
              <w:t xml:space="preserve">- Thường trực Tỉnh ủy; </w:t>
            </w:r>
          </w:p>
          <w:p w:rsidR="00E215FE" w:rsidRDefault="001D3D22">
            <w:pPr>
              <w:widowControl w:val="0"/>
              <w:tabs>
                <w:tab w:val="center" w:pos="7200"/>
              </w:tabs>
              <w:rPr>
                <w:rFonts w:cs=".VnTime"/>
                <w:sz w:val="22"/>
              </w:rPr>
            </w:pPr>
            <w:r>
              <w:rPr>
                <w:bCs/>
                <w:sz w:val="22"/>
              </w:rPr>
              <w:t xml:space="preserve">- </w:t>
            </w:r>
            <w:r>
              <w:rPr>
                <w:sz w:val="22"/>
              </w:rPr>
              <w:t>Th</w:t>
            </w:r>
            <w:r>
              <w:rPr>
                <w:rFonts w:cs="Arial"/>
                <w:sz w:val="22"/>
              </w:rPr>
              <w:t>ườ</w:t>
            </w:r>
            <w:r>
              <w:rPr>
                <w:rFonts w:cs=".VnTime"/>
                <w:sz w:val="22"/>
              </w:rPr>
              <w:t>ng tr</w:t>
            </w:r>
            <w:r>
              <w:rPr>
                <w:rFonts w:cs="Arial"/>
                <w:sz w:val="22"/>
              </w:rPr>
              <w:t>ự</w:t>
            </w:r>
            <w:r>
              <w:rPr>
                <w:rFonts w:cs=".VnTime"/>
                <w:sz w:val="22"/>
              </w:rPr>
              <w:t>c H</w:t>
            </w:r>
            <w:r>
              <w:rPr>
                <w:rFonts w:cs="Arial"/>
                <w:sz w:val="22"/>
              </w:rPr>
              <w:t>Đ</w:t>
            </w:r>
            <w:r>
              <w:rPr>
                <w:rFonts w:cs=".VnTime"/>
                <w:sz w:val="22"/>
              </w:rPr>
              <w:t>ND t</w:t>
            </w:r>
            <w:r>
              <w:rPr>
                <w:rFonts w:cs="Arial"/>
                <w:sz w:val="22"/>
              </w:rPr>
              <w:t>ỉ</w:t>
            </w:r>
            <w:r>
              <w:rPr>
                <w:rFonts w:cs=".VnTime"/>
                <w:sz w:val="22"/>
              </w:rPr>
              <w:t>nh;</w:t>
            </w:r>
          </w:p>
          <w:p w:rsidR="00E215FE" w:rsidRDefault="001D3D22">
            <w:pPr>
              <w:widowControl w:val="0"/>
              <w:jc w:val="both"/>
              <w:rPr>
                <w:sz w:val="22"/>
              </w:rPr>
            </w:pPr>
            <w:r>
              <w:rPr>
                <w:rFonts w:cs="Arial"/>
                <w:sz w:val="22"/>
              </w:rPr>
              <w:t>- Chủ</w:t>
            </w:r>
            <w:r>
              <w:rPr>
                <w:rFonts w:cs=".VnTime"/>
                <w:sz w:val="22"/>
              </w:rPr>
              <w:t xml:space="preserve"> t</w:t>
            </w:r>
            <w:r>
              <w:rPr>
                <w:rFonts w:cs="Arial"/>
                <w:sz w:val="22"/>
              </w:rPr>
              <w:t>ị</w:t>
            </w:r>
            <w:r>
              <w:rPr>
                <w:rFonts w:cs=".VnTime"/>
                <w:sz w:val="22"/>
              </w:rPr>
              <w:t>ch, các PCT UBND tỉnh</w:t>
            </w:r>
            <w:r>
              <w:rPr>
                <w:sz w:val="22"/>
              </w:rPr>
              <w:t>;</w:t>
            </w:r>
          </w:p>
          <w:p w:rsidR="00E215FE" w:rsidRDefault="001D3D22">
            <w:pPr>
              <w:widowControl w:val="0"/>
              <w:tabs>
                <w:tab w:val="center" w:pos="7200"/>
              </w:tabs>
              <w:rPr>
                <w:bCs/>
                <w:sz w:val="22"/>
              </w:rPr>
            </w:pPr>
            <w:r>
              <w:rPr>
                <w:sz w:val="22"/>
              </w:rPr>
              <w:t xml:space="preserve">- </w:t>
            </w:r>
            <w:r>
              <w:rPr>
                <w:bCs/>
                <w:sz w:val="22"/>
              </w:rPr>
              <w:t>Đoàn Đại biểu Quốc hội tỉnh;</w:t>
            </w:r>
          </w:p>
          <w:p w:rsidR="00E215FE" w:rsidRDefault="001D3D22">
            <w:pPr>
              <w:widowControl w:val="0"/>
              <w:tabs>
                <w:tab w:val="center" w:pos="7200"/>
              </w:tabs>
              <w:rPr>
                <w:bCs/>
                <w:sz w:val="22"/>
              </w:rPr>
            </w:pPr>
            <w:r>
              <w:rPr>
                <w:bCs/>
                <w:sz w:val="22"/>
              </w:rPr>
              <w:t>- UBMTTQ Việt Nam tỉnh;</w:t>
            </w:r>
          </w:p>
          <w:p w:rsidR="00E215FE" w:rsidRDefault="001D3D22">
            <w:pPr>
              <w:widowControl w:val="0"/>
              <w:jc w:val="both"/>
              <w:rPr>
                <w:sz w:val="22"/>
              </w:rPr>
            </w:pPr>
            <w:r>
              <w:rPr>
                <w:spacing w:val="-2"/>
                <w:sz w:val="22"/>
                <w:szCs w:val="22"/>
                <w:lang w:val="nl-NL"/>
              </w:rPr>
              <w:t xml:space="preserve">- </w:t>
            </w:r>
            <w:r>
              <w:rPr>
                <w:spacing w:val="-2"/>
                <w:sz w:val="22"/>
                <w:szCs w:val="22"/>
              </w:rPr>
              <w:t>Báo và Phát thanh, Truyền hình Quảng Trị</w:t>
            </w:r>
            <w:r>
              <w:rPr>
                <w:sz w:val="22"/>
              </w:rPr>
              <w:t>;</w:t>
            </w:r>
          </w:p>
          <w:p w:rsidR="00E215FE" w:rsidRDefault="001D3D22">
            <w:pPr>
              <w:widowControl w:val="0"/>
              <w:shd w:val="clear" w:color="auto" w:fill="FFFFFF" w:themeFill="background1"/>
              <w:rPr>
                <w:sz w:val="22"/>
              </w:rPr>
            </w:pPr>
            <w:r>
              <w:rPr>
                <w:sz w:val="22"/>
              </w:rPr>
              <w:t>- Trung tâm Điều hành Thông tin tỉnh;</w:t>
            </w:r>
          </w:p>
          <w:p w:rsidR="00E215FE" w:rsidRDefault="001D3D22">
            <w:pPr>
              <w:widowControl w:val="0"/>
              <w:jc w:val="both"/>
              <w:rPr>
                <w:sz w:val="22"/>
              </w:rPr>
            </w:pPr>
            <w:r>
              <w:rPr>
                <w:sz w:val="22"/>
              </w:rPr>
              <w:t>- L</w:t>
            </w:r>
            <w:r>
              <w:rPr>
                <w:rFonts w:cs="Arial"/>
                <w:sz w:val="22"/>
              </w:rPr>
              <w:t>ư</w:t>
            </w:r>
            <w:r>
              <w:rPr>
                <w:rFonts w:cs=".VnTime"/>
                <w:sz w:val="22"/>
              </w:rPr>
              <w:t>u: VT, TH</w:t>
            </w:r>
            <w:r>
              <w:rPr>
                <w:rFonts w:cs=".VnTime"/>
                <w:sz w:val="22"/>
                <w:vertAlign w:val="subscript"/>
              </w:rPr>
              <w:t>L</w:t>
            </w:r>
            <w:r>
              <w:rPr>
                <w:sz w:val="22"/>
              </w:rPr>
              <w:t>.</w:t>
            </w:r>
          </w:p>
        </w:tc>
        <w:tc>
          <w:tcPr>
            <w:tcW w:w="4477" w:type="dxa"/>
            <w:shd w:val="clear" w:color="auto" w:fill="auto"/>
          </w:tcPr>
          <w:p w:rsidR="00E215FE" w:rsidRDefault="001D3D22">
            <w:pPr>
              <w:widowControl w:val="0"/>
              <w:ind w:hanging="11"/>
              <w:jc w:val="center"/>
              <w:rPr>
                <w:b/>
                <w:spacing w:val="4"/>
              </w:rPr>
            </w:pPr>
            <w:r>
              <w:rPr>
                <w:b/>
                <w:spacing w:val="4"/>
              </w:rPr>
              <w:t>TM. ỦY BAN NHÂN DÂN</w:t>
            </w:r>
          </w:p>
          <w:p w:rsidR="00E215FE" w:rsidRDefault="001D3D22">
            <w:pPr>
              <w:widowControl w:val="0"/>
              <w:ind w:hanging="11"/>
              <w:jc w:val="center"/>
              <w:rPr>
                <w:b/>
                <w:spacing w:val="4"/>
              </w:rPr>
            </w:pPr>
            <w:r>
              <w:rPr>
                <w:b/>
                <w:spacing w:val="4"/>
              </w:rPr>
              <w:t>KT. CHỦ TỊCH</w:t>
            </w:r>
          </w:p>
          <w:p w:rsidR="00E215FE" w:rsidRDefault="001D3D22">
            <w:pPr>
              <w:widowControl w:val="0"/>
              <w:ind w:hanging="11"/>
              <w:jc w:val="center"/>
              <w:rPr>
                <w:b/>
                <w:spacing w:val="4"/>
              </w:rPr>
            </w:pPr>
            <w:r>
              <w:rPr>
                <w:b/>
                <w:spacing w:val="4"/>
              </w:rPr>
              <w:t>PHÓ CHỦ TỊCH</w:t>
            </w:r>
          </w:p>
          <w:p w:rsidR="00E215FE" w:rsidRDefault="00E215FE">
            <w:pPr>
              <w:widowControl w:val="0"/>
              <w:ind w:hanging="11"/>
              <w:jc w:val="center"/>
              <w:rPr>
                <w:b/>
                <w:spacing w:val="4"/>
              </w:rPr>
            </w:pPr>
          </w:p>
          <w:p w:rsidR="00E215FE" w:rsidRDefault="00E215FE">
            <w:pPr>
              <w:widowControl w:val="0"/>
              <w:ind w:hanging="11"/>
              <w:jc w:val="center"/>
              <w:rPr>
                <w:b/>
                <w:spacing w:val="4"/>
              </w:rPr>
            </w:pPr>
          </w:p>
          <w:p w:rsidR="00E215FE" w:rsidRDefault="00E215FE">
            <w:pPr>
              <w:widowControl w:val="0"/>
              <w:ind w:hanging="11"/>
              <w:jc w:val="center"/>
              <w:rPr>
                <w:b/>
                <w:spacing w:val="4"/>
              </w:rPr>
            </w:pPr>
          </w:p>
          <w:p w:rsidR="00E215FE" w:rsidRDefault="00E215FE">
            <w:pPr>
              <w:widowControl w:val="0"/>
              <w:ind w:hanging="11"/>
              <w:jc w:val="center"/>
              <w:rPr>
                <w:b/>
                <w:spacing w:val="4"/>
              </w:rPr>
            </w:pPr>
          </w:p>
          <w:p w:rsidR="00E215FE" w:rsidRDefault="00E215FE">
            <w:pPr>
              <w:widowControl w:val="0"/>
              <w:ind w:hanging="11"/>
              <w:jc w:val="center"/>
              <w:rPr>
                <w:b/>
                <w:spacing w:val="4"/>
              </w:rPr>
            </w:pPr>
          </w:p>
          <w:p w:rsidR="00E215FE" w:rsidRDefault="00E215FE">
            <w:pPr>
              <w:widowControl w:val="0"/>
              <w:ind w:hanging="11"/>
              <w:jc w:val="center"/>
              <w:rPr>
                <w:b/>
                <w:spacing w:val="4"/>
              </w:rPr>
            </w:pPr>
          </w:p>
          <w:p w:rsidR="00E215FE" w:rsidRDefault="001D3D22">
            <w:pPr>
              <w:widowControl w:val="0"/>
              <w:ind w:hanging="11"/>
              <w:jc w:val="center"/>
              <w:rPr>
                <w:b/>
                <w:spacing w:val="4"/>
              </w:rPr>
            </w:pPr>
            <w:r>
              <w:rPr>
                <w:b/>
                <w:spacing w:val="4"/>
              </w:rPr>
              <w:t>Hoàng Nam</w:t>
            </w:r>
          </w:p>
          <w:p w:rsidR="00E215FE" w:rsidRDefault="00E215FE">
            <w:pPr>
              <w:widowControl w:val="0"/>
              <w:spacing w:line="264" w:lineRule="auto"/>
              <w:ind w:hanging="14"/>
              <w:jc w:val="center"/>
              <w:rPr>
                <w:b/>
                <w:spacing w:val="4"/>
                <w:sz w:val="16"/>
                <w:szCs w:val="16"/>
              </w:rPr>
            </w:pPr>
          </w:p>
          <w:p w:rsidR="00E215FE" w:rsidRDefault="00E215FE">
            <w:pPr>
              <w:widowControl w:val="0"/>
              <w:spacing w:line="264" w:lineRule="auto"/>
              <w:ind w:hanging="12"/>
              <w:jc w:val="center"/>
              <w:rPr>
                <w:b/>
                <w:spacing w:val="4"/>
              </w:rPr>
            </w:pPr>
          </w:p>
          <w:p w:rsidR="00E215FE" w:rsidRDefault="00E215FE">
            <w:pPr>
              <w:widowControl w:val="0"/>
              <w:spacing w:line="264" w:lineRule="auto"/>
              <w:ind w:hanging="12"/>
              <w:jc w:val="center"/>
              <w:rPr>
                <w:b/>
                <w:spacing w:val="4"/>
                <w:sz w:val="16"/>
                <w:szCs w:val="16"/>
              </w:rPr>
            </w:pPr>
          </w:p>
          <w:p w:rsidR="00E215FE" w:rsidRDefault="00E215FE">
            <w:pPr>
              <w:widowControl w:val="0"/>
              <w:spacing w:line="264" w:lineRule="auto"/>
              <w:ind w:hanging="12"/>
              <w:jc w:val="center"/>
              <w:rPr>
                <w:b/>
                <w:spacing w:val="4"/>
                <w:sz w:val="16"/>
                <w:szCs w:val="16"/>
              </w:rPr>
            </w:pPr>
          </w:p>
          <w:p w:rsidR="00E215FE" w:rsidRDefault="00E215FE">
            <w:pPr>
              <w:widowControl w:val="0"/>
              <w:spacing w:line="264" w:lineRule="auto"/>
              <w:ind w:hanging="12"/>
              <w:jc w:val="center"/>
              <w:rPr>
                <w:b/>
                <w:spacing w:val="4"/>
                <w:sz w:val="16"/>
                <w:szCs w:val="16"/>
              </w:rPr>
            </w:pPr>
          </w:p>
          <w:p w:rsidR="00E215FE" w:rsidRDefault="00E215FE">
            <w:pPr>
              <w:widowControl w:val="0"/>
              <w:spacing w:line="264" w:lineRule="auto"/>
              <w:ind w:hanging="12"/>
              <w:jc w:val="center"/>
              <w:rPr>
                <w:b/>
                <w:spacing w:val="4"/>
                <w:sz w:val="16"/>
                <w:szCs w:val="16"/>
              </w:rPr>
            </w:pPr>
          </w:p>
          <w:p w:rsidR="00E215FE" w:rsidRDefault="00E215FE">
            <w:pPr>
              <w:widowControl w:val="0"/>
              <w:spacing w:line="264" w:lineRule="auto"/>
              <w:ind w:hanging="12"/>
              <w:jc w:val="center"/>
              <w:rPr>
                <w:b/>
                <w:spacing w:val="4"/>
                <w:sz w:val="16"/>
                <w:szCs w:val="16"/>
              </w:rPr>
            </w:pPr>
          </w:p>
          <w:p w:rsidR="00E215FE" w:rsidRDefault="00E215FE">
            <w:pPr>
              <w:widowControl w:val="0"/>
              <w:spacing w:line="264" w:lineRule="auto"/>
              <w:ind w:hanging="12"/>
              <w:jc w:val="center"/>
              <w:rPr>
                <w:b/>
                <w:spacing w:val="4"/>
                <w:sz w:val="16"/>
                <w:szCs w:val="16"/>
              </w:rPr>
            </w:pPr>
          </w:p>
          <w:p w:rsidR="00E215FE" w:rsidRDefault="00E215FE">
            <w:pPr>
              <w:widowControl w:val="0"/>
              <w:spacing w:line="264" w:lineRule="auto"/>
              <w:ind w:hanging="12"/>
              <w:jc w:val="center"/>
              <w:rPr>
                <w:b/>
              </w:rPr>
            </w:pPr>
          </w:p>
        </w:tc>
      </w:tr>
    </w:tbl>
    <w:p w:rsidR="00E215FE" w:rsidRDefault="00E215FE">
      <w:pPr>
        <w:pStyle w:val="Heading2"/>
        <w:keepNext w:val="0"/>
        <w:widowControl w:val="0"/>
        <w:tabs>
          <w:tab w:val="center" w:pos="1320"/>
          <w:tab w:val="center" w:pos="6600"/>
        </w:tabs>
        <w:spacing w:before="0" w:after="0"/>
        <w:ind w:firstLine="0"/>
        <w:jc w:val="center"/>
        <w:rPr>
          <w:rFonts w:ascii="Times New Roman" w:hAnsi="Times New Roman" w:cs="Times New Roman"/>
          <w:i w:val="0"/>
          <w:iCs w:val="0"/>
          <w:noProof/>
          <w:color w:val="auto"/>
          <w:spacing w:val="4"/>
        </w:rPr>
      </w:pPr>
    </w:p>
    <w:p w:rsidR="00E215FE" w:rsidRDefault="001D3D22">
      <w:pPr>
        <w:rPr>
          <w:b/>
          <w:bCs/>
          <w:noProof/>
          <w:spacing w:val="4"/>
        </w:rPr>
      </w:pPr>
      <w:r>
        <w:rPr>
          <w:i/>
          <w:iCs/>
          <w:noProof/>
          <w:spacing w:val="4"/>
        </w:rPr>
        <w:br w:type="page"/>
      </w:r>
    </w:p>
    <w:p w:rsidR="00E215FE" w:rsidRDefault="00E215FE">
      <w:pPr>
        <w:pStyle w:val="Heading2"/>
        <w:keepNext w:val="0"/>
        <w:widowControl w:val="0"/>
        <w:tabs>
          <w:tab w:val="center" w:pos="1320"/>
          <w:tab w:val="center" w:pos="6600"/>
        </w:tabs>
        <w:spacing w:before="0" w:after="0"/>
        <w:ind w:firstLine="0"/>
        <w:jc w:val="center"/>
        <w:rPr>
          <w:rFonts w:ascii="Times New Roman" w:hAnsi="Times New Roman" w:cs="Times New Roman"/>
          <w:i w:val="0"/>
          <w:iCs w:val="0"/>
          <w:noProof/>
          <w:color w:val="auto"/>
          <w:spacing w:val="4"/>
        </w:rPr>
        <w:sectPr w:rsidR="00E215FE" w:rsidSect="0042213A">
          <w:headerReference w:type="default" r:id="rId8"/>
          <w:footerReference w:type="even" r:id="rId9"/>
          <w:footerReference w:type="default" r:id="rId10"/>
          <w:headerReference w:type="first" r:id="rId11"/>
          <w:pgSz w:w="11909" w:h="16834" w:code="9"/>
          <w:pgMar w:top="1134" w:right="1134" w:bottom="1134" w:left="1701" w:header="567" w:footer="624" w:gutter="0"/>
          <w:pgNumType w:start="1"/>
          <w:cols w:space="720"/>
          <w:noEndnote/>
          <w:titlePg/>
          <w:docGrid w:linePitch="381"/>
        </w:sectPr>
      </w:pPr>
    </w:p>
    <w:p w:rsidR="00E215FE" w:rsidRDefault="00E215FE">
      <w:pPr>
        <w:widowControl w:val="0"/>
        <w:spacing w:before="100"/>
        <w:ind w:firstLine="567"/>
        <w:jc w:val="both"/>
      </w:pPr>
    </w:p>
    <w:sectPr w:rsidR="00E215FE">
      <w:pgSz w:w="11909" w:h="16834" w:code="9"/>
      <w:pgMar w:top="1134" w:right="1134" w:bottom="1134" w:left="1701" w:header="567" w:footer="624" w:gutter="0"/>
      <w:pgNumType w:start="1"/>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6300" w:rsidRDefault="00096300">
      <w:r>
        <w:separator/>
      </w:r>
    </w:p>
  </w:endnote>
  <w:endnote w:type="continuationSeparator" w:id="0">
    <w:p w:rsidR="00096300" w:rsidRDefault="00096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5FE" w:rsidRDefault="001D3D2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215FE" w:rsidRDefault="00E215F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5FE" w:rsidRDefault="00E215FE">
    <w:pPr>
      <w:pStyle w:val="Footer"/>
      <w:framePr w:wrap="around" w:vAnchor="text" w:hAnchor="margin" w:xAlign="right" w:y="1"/>
      <w:rPr>
        <w:rStyle w:val="PageNumber"/>
      </w:rPr>
    </w:pPr>
  </w:p>
  <w:p w:rsidR="00E215FE" w:rsidRDefault="00E215F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6300" w:rsidRDefault="00096300">
      <w:r>
        <w:separator/>
      </w:r>
    </w:p>
  </w:footnote>
  <w:footnote w:type="continuationSeparator" w:id="0">
    <w:p w:rsidR="00096300" w:rsidRDefault="000963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2276095"/>
      <w:docPartObj>
        <w:docPartGallery w:val="Page Numbers (Top of Page)"/>
        <w:docPartUnique/>
      </w:docPartObj>
    </w:sdtPr>
    <w:sdtEndPr>
      <w:rPr>
        <w:noProof/>
      </w:rPr>
    </w:sdtEndPr>
    <w:sdtContent>
      <w:p w:rsidR="00E215FE" w:rsidRDefault="001D3D22">
        <w:pPr>
          <w:pStyle w:val="Header"/>
          <w:jc w:val="center"/>
        </w:pPr>
        <w:r>
          <w:fldChar w:fldCharType="begin"/>
        </w:r>
        <w:r>
          <w:instrText xml:space="preserve"> PAGE   \* MERGEFORMAT </w:instrText>
        </w:r>
        <w:r>
          <w:fldChar w:fldCharType="separate"/>
        </w:r>
        <w:r w:rsidR="00DE6F7B">
          <w:rPr>
            <w:noProof/>
          </w:rPr>
          <w:t>3</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5FE" w:rsidRDefault="00E215FE">
    <w:pPr>
      <w:pStyle w:val="Header"/>
      <w:jc w:val="center"/>
    </w:pPr>
  </w:p>
  <w:p w:rsidR="00E215FE" w:rsidRDefault="00E215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15FE"/>
    <w:rsid w:val="00096300"/>
    <w:rsid w:val="000C4011"/>
    <w:rsid w:val="001D3D22"/>
    <w:rsid w:val="002D5296"/>
    <w:rsid w:val="0042213A"/>
    <w:rsid w:val="004758DF"/>
    <w:rsid w:val="00536F04"/>
    <w:rsid w:val="00572F45"/>
    <w:rsid w:val="00605466"/>
    <w:rsid w:val="00713AC8"/>
    <w:rsid w:val="00750D38"/>
    <w:rsid w:val="00C775D6"/>
    <w:rsid w:val="00CC7123"/>
    <w:rsid w:val="00CF0F94"/>
    <w:rsid w:val="00DE6F7B"/>
    <w:rsid w:val="00E215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2">
    <w:name w:val="heading 2"/>
    <w:aliases w:val="Heading 2 Char Char Char"/>
    <w:basedOn w:val="Normal"/>
    <w:next w:val="Normal"/>
    <w:link w:val="Heading2Char"/>
    <w:qFormat/>
    <w:pPr>
      <w:keepNext/>
      <w:spacing w:before="240" w:after="60"/>
      <w:ind w:firstLine="567"/>
      <w:jc w:val="both"/>
      <w:outlineLvl w:val="1"/>
    </w:pPr>
    <w:rPr>
      <w:rFonts w:ascii="Arial" w:hAnsi="Arial" w:cs="Arial"/>
      <w:b/>
      <w:bCs/>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link w:val="Heading2"/>
    <w:locked/>
    <w:rPr>
      <w:rFonts w:ascii="Arial" w:hAnsi="Arial" w:cs="Arial"/>
      <w:b/>
      <w:bCs/>
      <w:i/>
      <w:iCs/>
      <w:color w:val="0000FF"/>
      <w:sz w:val="28"/>
      <w:szCs w:val="28"/>
      <w:lang w:val="en-US" w:eastAsia="en-US" w:bidi="ar-SA"/>
    </w:rPr>
  </w:style>
  <w:style w:type="paragraph" w:customStyle="1" w:styleId="CharCharChar">
    <w:name w:val="Char Char Char"/>
    <w:basedOn w:val="Normal"/>
    <w:pPr>
      <w:spacing w:after="160" w:line="240" w:lineRule="exact"/>
    </w:pPr>
    <w:rPr>
      <w:rFonts w:ascii="Tahoma" w:hAnsi="Tahoma" w:cs="Tahoma"/>
      <w:sz w:val="20"/>
      <w:szCs w:val="20"/>
    </w:rPr>
  </w:style>
  <w:style w:type="paragraph" w:styleId="NormalWeb">
    <w:name w:val="Normal (Web)"/>
    <w:basedOn w:val="Normal"/>
    <w:link w:val="NormalWebChar"/>
    <w:uiPriority w:val="99"/>
    <w:pPr>
      <w:spacing w:before="100" w:beforeAutospacing="1" w:after="100" w:afterAutospacing="1"/>
    </w:pPr>
    <w:rPr>
      <w:rFonts w:eastAsia="MS Mincho"/>
      <w:sz w:val="24"/>
      <w:szCs w:val="24"/>
    </w:rPr>
  </w:style>
  <w:style w:type="character" w:customStyle="1" w:styleId="NormalWebChar">
    <w:name w:val="Normal (Web) Char"/>
    <w:link w:val="NormalWeb"/>
    <w:locked/>
    <w:rPr>
      <w:rFonts w:eastAsia="MS Mincho"/>
      <w:sz w:val="24"/>
      <w:szCs w:val="24"/>
      <w:lang w:val="en-US" w:eastAsia="en-US" w:bidi="ar-SA"/>
    </w:rPr>
  </w:style>
  <w:style w:type="character" w:customStyle="1" w:styleId="apple-converted-space">
    <w:name w:val="apple-converted-space"/>
    <w:basedOn w:val="DefaultParagraphFont"/>
  </w:style>
  <w:style w:type="paragraph" w:styleId="BodyTextIndent">
    <w:name w:val="Body Text Indent"/>
    <w:basedOn w:val="Normal"/>
    <w:pPr>
      <w:widowControl w:val="0"/>
      <w:snapToGrid w:val="0"/>
      <w:spacing w:line="240" w:lineRule="atLeast"/>
      <w:ind w:firstLine="567"/>
      <w:jc w:val="both"/>
    </w:pPr>
    <w:rPr>
      <w:rFonts w:ascii=".VnTime" w:hAnsi=".VnTime"/>
      <w:sz w:val="24"/>
      <w:szCs w:val="20"/>
    </w:rPr>
  </w:style>
  <w:style w:type="paragraph" w:customStyle="1" w:styleId="Normal1">
    <w:name w:val="Normal1"/>
    <w:basedOn w:val="Normal"/>
    <w:pPr>
      <w:jc w:val="center"/>
    </w:pPr>
    <w:rPr>
      <w:color w:val="000000"/>
      <w:sz w:val="17"/>
      <w:szCs w:val="17"/>
    </w:rPr>
  </w:style>
  <w:style w:type="paragraph" w:styleId="BodyTextIndent2">
    <w:name w:val="Body Text Indent 2"/>
    <w:basedOn w:val="Normal"/>
    <w:pPr>
      <w:widowControl w:val="0"/>
      <w:snapToGrid w:val="0"/>
      <w:spacing w:line="240" w:lineRule="atLeast"/>
      <w:ind w:firstLine="567"/>
      <w:jc w:val="both"/>
    </w:pPr>
    <w:rPr>
      <w:rFonts w:ascii=".VnTimeH" w:hAnsi=".VnTimeH"/>
      <w:b/>
      <w:sz w:val="24"/>
      <w:szCs w:val="20"/>
    </w:rPr>
  </w:style>
  <w:style w:type="paragraph" w:styleId="BodyTextIndent3">
    <w:name w:val="Body Text Indent 3"/>
    <w:basedOn w:val="Normal"/>
    <w:pPr>
      <w:widowControl w:val="0"/>
      <w:snapToGrid w:val="0"/>
      <w:spacing w:line="240" w:lineRule="atLeast"/>
      <w:ind w:firstLine="567"/>
      <w:jc w:val="both"/>
    </w:pPr>
    <w:rPr>
      <w:rFonts w:ascii=".VnTime" w:hAnsi=".VnTime"/>
      <w:szCs w:val="20"/>
    </w:rPr>
  </w:style>
  <w:style w:type="paragraph" w:styleId="BodyText">
    <w:name w:val="Body Text"/>
    <w:basedOn w:val="Normal"/>
    <w:pPr>
      <w:spacing w:after="120"/>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sz w:val="28"/>
      <w:szCs w:val="28"/>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customStyle="1" w:styleId="Char">
    <w:name w:val="Char"/>
    <w:basedOn w:val="Normal"/>
    <w:pPr>
      <w:widowControl w:val="0"/>
      <w:tabs>
        <w:tab w:val="left" w:pos="4665"/>
        <w:tab w:val="left" w:pos="8970"/>
      </w:tabs>
      <w:ind w:firstLine="400"/>
      <w:jc w:val="both"/>
    </w:pPr>
    <w:rPr>
      <w:rFonts w:ascii="Tahoma" w:eastAsia="SimSun" w:hAnsi="Tahoma"/>
      <w:kern w:val="2"/>
      <w:sz w:val="24"/>
      <w:szCs w:val="20"/>
      <w:lang w:eastAsia="zh-CN"/>
    </w:rPr>
  </w:style>
  <w:style w:type="character" w:styleId="Hyperlink">
    <w:name w:val="Hyperlink"/>
    <w:basedOn w:val="DefaultParagraphFont"/>
    <w:uiPriority w:val="99"/>
    <w:unhideWhenUse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2">
    <w:name w:val="heading 2"/>
    <w:aliases w:val="Heading 2 Char Char Char"/>
    <w:basedOn w:val="Normal"/>
    <w:next w:val="Normal"/>
    <w:link w:val="Heading2Char"/>
    <w:qFormat/>
    <w:pPr>
      <w:keepNext/>
      <w:spacing w:before="240" w:after="60"/>
      <w:ind w:firstLine="567"/>
      <w:jc w:val="both"/>
      <w:outlineLvl w:val="1"/>
    </w:pPr>
    <w:rPr>
      <w:rFonts w:ascii="Arial" w:hAnsi="Arial" w:cs="Arial"/>
      <w:b/>
      <w:bCs/>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link w:val="Heading2"/>
    <w:locked/>
    <w:rPr>
      <w:rFonts w:ascii="Arial" w:hAnsi="Arial" w:cs="Arial"/>
      <w:b/>
      <w:bCs/>
      <w:i/>
      <w:iCs/>
      <w:color w:val="0000FF"/>
      <w:sz w:val="28"/>
      <w:szCs w:val="28"/>
      <w:lang w:val="en-US" w:eastAsia="en-US" w:bidi="ar-SA"/>
    </w:rPr>
  </w:style>
  <w:style w:type="paragraph" w:customStyle="1" w:styleId="CharCharChar">
    <w:name w:val="Char Char Char"/>
    <w:basedOn w:val="Normal"/>
    <w:pPr>
      <w:spacing w:after="160" w:line="240" w:lineRule="exact"/>
    </w:pPr>
    <w:rPr>
      <w:rFonts w:ascii="Tahoma" w:hAnsi="Tahoma" w:cs="Tahoma"/>
      <w:sz w:val="20"/>
      <w:szCs w:val="20"/>
    </w:rPr>
  </w:style>
  <w:style w:type="paragraph" w:styleId="NormalWeb">
    <w:name w:val="Normal (Web)"/>
    <w:basedOn w:val="Normal"/>
    <w:link w:val="NormalWebChar"/>
    <w:uiPriority w:val="99"/>
    <w:pPr>
      <w:spacing w:before="100" w:beforeAutospacing="1" w:after="100" w:afterAutospacing="1"/>
    </w:pPr>
    <w:rPr>
      <w:rFonts w:eastAsia="MS Mincho"/>
      <w:sz w:val="24"/>
      <w:szCs w:val="24"/>
    </w:rPr>
  </w:style>
  <w:style w:type="character" w:customStyle="1" w:styleId="NormalWebChar">
    <w:name w:val="Normal (Web) Char"/>
    <w:link w:val="NormalWeb"/>
    <w:locked/>
    <w:rPr>
      <w:rFonts w:eastAsia="MS Mincho"/>
      <w:sz w:val="24"/>
      <w:szCs w:val="24"/>
      <w:lang w:val="en-US" w:eastAsia="en-US" w:bidi="ar-SA"/>
    </w:rPr>
  </w:style>
  <w:style w:type="character" w:customStyle="1" w:styleId="apple-converted-space">
    <w:name w:val="apple-converted-space"/>
    <w:basedOn w:val="DefaultParagraphFont"/>
  </w:style>
  <w:style w:type="paragraph" w:styleId="BodyTextIndent">
    <w:name w:val="Body Text Indent"/>
    <w:basedOn w:val="Normal"/>
    <w:pPr>
      <w:widowControl w:val="0"/>
      <w:snapToGrid w:val="0"/>
      <w:spacing w:line="240" w:lineRule="atLeast"/>
      <w:ind w:firstLine="567"/>
      <w:jc w:val="both"/>
    </w:pPr>
    <w:rPr>
      <w:rFonts w:ascii=".VnTime" w:hAnsi=".VnTime"/>
      <w:sz w:val="24"/>
      <w:szCs w:val="20"/>
    </w:rPr>
  </w:style>
  <w:style w:type="paragraph" w:customStyle="1" w:styleId="Normal1">
    <w:name w:val="Normal1"/>
    <w:basedOn w:val="Normal"/>
    <w:pPr>
      <w:jc w:val="center"/>
    </w:pPr>
    <w:rPr>
      <w:color w:val="000000"/>
      <w:sz w:val="17"/>
      <w:szCs w:val="17"/>
    </w:rPr>
  </w:style>
  <w:style w:type="paragraph" w:styleId="BodyTextIndent2">
    <w:name w:val="Body Text Indent 2"/>
    <w:basedOn w:val="Normal"/>
    <w:pPr>
      <w:widowControl w:val="0"/>
      <w:snapToGrid w:val="0"/>
      <w:spacing w:line="240" w:lineRule="atLeast"/>
      <w:ind w:firstLine="567"/>
      <w:jc w:val="both"/>
    </w:pPr>
    <w:rPr>
      <w:rFonts w:ascii=".VnTimeH" w:hAnsi=".VnTimeH"/>
      <w:b/>
      <w:sz w:val="24"/>
      <w:szCs w:val="20"/>
    </w:rPr>
  </w:style>
  <w:style w:type="paragraph" w:styleId="BodyTextIndent3">
    <w:name w:val="Body Text Indent 3"/>
    <w:basedOn w:val="Normal"/>
    <w:pPr>
      <w:widowControl w:val="0"/>
      <w:snapToGrid w:val="0"/>
      <w:spacing w:line="240" w:lineRule="atLeast"/>
      <w:ind w:firstLine="567"/>
      <w:jc w:val="both"/>
    </w:pPr>
    <w:rPr>
      <w:rFonts w:ascii=".VnTime" w:hAnsi=".VnTime"/>
      <w:szCs w:val="20"/>
    </w:rPr>
  </w:style>
  <w:style w:type="paragraph" w:styleId="BodyText">
    <w:name w:val="Body Text"/>
    <w:basedOn w:val="Normal"/>
    <w:pPr>
      <w:spacing w:after="120"/>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sz w:val="28"/>
      <w:szCs w:val="28"/>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customStyle="1" w:styleId="Char">
    <w:name w:val="Char"/>
    <w:basedOn w:val="Normal"/>
    <w:pPr>
      <w:widowControl w:val="0"/>
      <w:tabs>
        <w:tab w:val="left" w:pos="4665"/>
        <w:tab w:val="left" w:pos="8970"/>
      </w:tabs>
      <w:ind w:firstLine="400"/>
      <w:jc w:val="both"/>
    </w:pPr>
    <w:rPr>
      <w:rFonts w:ascii="Tahoma" w:eastAsia="SimSun" w:hAnsi="Tahoma"/>
      <w:kern w:val="2"/>
      <w:sz w:val="24"/>
      <w:szCs w:val="20"/>
      <w:lang w:eastAsia="zh-CN"/>
    </w:rPr>
  </w:style>
  <w:style w:type="character" w:styleId="Hyperlink">
    <w:name w:val="Hyperlink"/>
    <w:basedOn w:val="DefaultParagraphFont"/>
    <w:uiPriority w:val="99"/>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253441">
      <w:bodyDiv w:val="1"/>
      <w:marLeft w:val="0"/>
      <w:marRight w:val="0"/>
      <w:marTop w:val="0"/>
      <w:marBottom w:val="0"/>
      <w:divBdr>
        <w:top w:val="none" w:sz="0" w:space="0" w:color="auto"/>
        <w:left w:val="none" w:sz="0" w:space="0" w:color="auto"/>
        <w:bottom w:val="none" w:sz="0" w:space="0" w:color="auto"/>
        <w:right w:val="none" w:sz="0" w:space="0" w:color="auto"/>
      </w:divBdr>
    </w:div>
    <w:div w:id="444157288">
      <w:bodyDiv w:val="1"/>
      <w:marLeft w:val="0"/>
      <w:marRight w:val="0"/>
      <w:marTop w:val="0"/>
      <w:marBottom w:val="0"/>
      <w:divBdr>
        <w:top w:val="none" w:sz="0" w:space="0" w:color="auto"/>
        <w:left w:val="none" w:sz="0" w:space="0" w:color="auto"/>
        <w:bottom w:val="none" w:sz="0" w:space="0" w:color="auto"/>
        <w:right w:val="none" w:sz="0" w:space="0" w:color="auto"/>
      </w:divBdr>
    </w:div>
    <w:div w:id="1360855768">
      <w:bodyDiv w:val="1"/>
      <w:marLeft w:val="0"/>
      <w:marRight w:val="0"/>
      <w:marTop w:val="0"/>
      <w:marBottom w:val="0"/>
      <w:divBdr>
        <w:top w:val="none" w:sz="0" w:space="0" w:color="auto"/>
        <w:left w:val="none" w:sz="0" w:space="0" w:color="auto"/>
        <w:bottom w:val="none" w:sz="0" w:space="0" w:color="auto"/>
        <w:right w:val="none" w:sz="0" w:space="0" w:color="auto"/>
      </w:divBdr>
    </w:div>
    <w:div w:id="2131970068">
      <w:bodyDiv w:val="1"/>
      <w:marLeft w:val="0"/>
      <w:marRight w:val="0"/>
      <w:marTop w:val="0"/>
      <w:marBottom w:val="0"/>
      <w:divBdr>
        <w:top w:val="none" w:sz="0" w:space="0" w:color="auto"/>
        <w:left w:val="none" w:sz="0" w:space="0" w:color="auto"/>
        <w:bottom w:val="none" w:sz="0" w:space="0" w:color="auto"/>
        <w:right w:val="none" w:sz="0" w:space="0" w:color="auto"/>
      </w:divBdr>
      <w:divsChild>
        <w:div w:id="33817939">
          <w:marLeft w:val="0"/>
          <w:marRight w:val="0"/>
          <w:marTop w:val="0"/>
          <w:marBottom w:val="0"/>
          <w:divBdr>
            <w:top w:val="none" w:sz="0" w:space="0" w:color="auto"/>
            <w:left w:val="none" w:sz="0" w:space="0" w:color="auto"/>
            <w:bottom w:val="none" w:sz="0" w:space="0" w:color="auto"/>
            <w:right w:val="none" w:sz="0" w:space="0" w:color="auto"/>
          </w:divBdr>
        </w:div>
        <w:div w:id="54008067">
          <w:marLeft w:val="0"/>
          <w:marRight w:val="0"/>
          <w:marTop w:val="0"/>
          <w:marBottom w:val="0"/>
          <w:divBdr>
            <w:top w:val="none" w:sz="0" w:space="0" w:color="auto"/>
            <w:left w:val="none" w:sz="0" w:space="0" w:color="auto"/>
            <w:bottom w:val="none" w:sz="0" w:space="0" w:color="auto"/>
            <w:right w:val="none" w:sz="0" w:space="0" w:color="auto"/>
          </w:divBdr>
        </w:div>
        <w:div w:id="71860036">
          <w:marLeft w:val="0"/>
          <w:marRight w:val="0"/>
          <w:marTop w:val="0"/>
          <w:marBottom w:val="0"/>
          <w:divBdr>
            <w:top w:val="none" w:sz="0" w:space="0" w:color="auto"/>
            <w:left w:val="none" w:sz="0" w:space="0" w:color="auto"/>
            <w:bottom w:val="none" w:sz="0" w:space="0" w:color="auto"/>
            <w:right w:val="none" w:sz="0" w:space="0" w:color="auto"/>
          </w:divBdr>
        </w:div>
        <w:div w:id="80953035">
          <w:marLeft w:val="0"/>
          <w:marRight w:val="0"/>
          <w:marTop w:val="0"/>
          <w:marBottom w:val="0"/>
          <w:divBdr>
            <w:top w:val="none" w:sz="0" w:space="0" w:color="auto"/>
            <w:left w:val="none" w:sz="0" w:space="0" w:color="auto"/>
            <w:bottom w:val="none" w:sz="0" w:space="0" w:color="auto"/>
            <w:right w:val="none" w:sz="0" w:space="0" w:color="auto"/>
          </w:divBdr>
        </w:div>
        <w:div w:id="87503068">
          <w:marLeft w:val="0"/>
          <w:marRight w:val="0"/>
          <w:marTop w:val="0"/>
          <w:marBottom w:val="0"/>
          <w:divBdr>
            <w:top w:val="none" w:sz="0" w:space="0" w:color="auto"/>
            <w:left w:val="none" w:sz="0" w:space="0" w:color="auto"/>
            <w:bottom w:val="none" w:sz="0" w:space="0" w:color="auto"/>
            <w:right w:val="none" w:sz="0" w:space="0" w:color="auto"/>
          </w:divBdr>
        </w:div>
        <w:div w:id="90903818">
          <w:marLeft w:val="0"/>
          <w:marRight w:val="0"/>
          <w:marTop w:val="0"/>
          <w:marBottom w:val="0"/>
          <w:divBdr>
            <w:top w:val="none" w:sz="0" w:space="0" w:color="auto"/>
            <w:left w:val="none" w:sz="0" w:space="0" w:color="auto"/>
            <w:bottom w:val="none" w:sz="0" w:space="0" w:color="auto"/>
            <w:right w:val="none" w:sz="0" w:space="0" w:color="auto"/>
          </w:divBdr>
        </w:div>
        <w:div w:id="112869744">
          <w:marLeft w:val="0"/>
          <w:marRight w:val="0"/>
          <w:marTop w:val="0"/>
          <w:marBottom w:val="0"/>
          <w:divBdr>
            <w:top w:val="none" w:sz="0" w:space="0" w:color="auto"/>
            <w:left w:val="none" w:sz="0" w:space="0" w:color="auto"/>
            <w:bottom w:val="none" w:sz="0" w:space="0" w:color="auto"/>
            <w:right w:val="none" w:sz="0" w:space="0" w:color="auto"/>
          </w:divBdr>
        </w:div>
        <w:div w:id="117115003">
          <w:marLeft w:val="0"/>
          <w:marRight w:val="0"/>
          <w:marTop w:val="0"/>
          <w:marBottom w:val="0"/>
          <w:divBdr>
            <w:top w:val="none" w:sz="0" w:space="0" w:color="auto"/>
            <w:left w:val="none" w:sz="0" w:space="0" w:color="auto"/>
            <w:bottom w:val="none" w:sz="0" w:space="0" w:color="auto"/>
            <w:right w:val="none" w:sz="0" w:space="0" w:color="auto"/>
          </w:divBdr>
        </w:div>
        <w:div w:id="133300491">
          <w:marLeft w:val="0"/>
          <w:marRight w:val="0"/>
          <w:marTop w:val="0"/>
          <w:marBottom w:val="0"/>
          <w:divBdr>
            <w:top w:val="none" w:sz="0" w:space="0" w:color="auto"/>
            <w:left w:val="none" w:sz="0" w:space="0" w:color="auto"/>
            <w:bottom w:val="none" w:sz="0" w:space="0" w:color="auto"/>
            <w:right w:val="none" w:sz="0" w:space="0" w:color="auto"/>
          </w:divBdr>
        </w:div>
        <w:div w:id="165902611">
          <w:marLeft w:val="0"/>
          <w:marRight w:val="0"/>
          <w:marTop w:val="0"/>
          <w:marBottom w:val="0"/>
          <w:divBdr>
            <w:top w:val="none" w:sz="0" w:space="0" w:color="auto"/>
            <w:left w:val="none" w:sz="0" w:space="0" w:color="auto"/>
            <w:bottom w:val="none" w:sz="0" w:space="0" w:color="auto"/>
            <w:right w:val="none" w:sz="0" w:space="0" w:color="auto"/>
          </w:divBdr>
        </w:div>
        <w:div w:id="166791586">
          <w:marLeft w:val="0"/>
          <w:marRight w:val="0"/>
          <w:marTop w:val="0"/>
          <w:marBottom w:val="0"/>
          <w:divBdr>
            <w:top w:val="none" w:sz="0" w:space="0" w:color="auto"/>
            <w:left w:val="none" w:sz="0" w:space="0" w:color="auto"/>
            <w:bottom w:val="none" w:sz="0" w:space="0" w:color="auto"/>
            <w:right w:val="none" w:sz="0" w:space="0" w:color="auto"/>
          </w:divBdr>
        </w:div>
        <w:div w:id="209733672">
          <w:marLeft w:val="0"/>
          <w:marRight w:val="0"/>
          <w:marTop w:val="0"/>
          <w:marBottom w:val="0"/>
          <w:divBdr>
            <w:top w:val="none" w:sz="0" w:space="0" w:color="auto"/>
            <w:left w:val="none" w:sz="0" w:space="0" w:color="auto"/>
            <w:bottom w:val="none" w:sz="0" w:space="0" w:color="auto"/>
            <w:right w:val="none" w:sz="0" w:space="0" w:color="auto"/>
          </w:divBdr>
        </w:div>
        <w:div w:id="213857532">
          <w:marLeft w:val="0"/>
          <w:marRight w:val="0"/>
          <w:marTop w:val="0"/>
          <w:marBottom w:val="0"/>
          <w:divBdr>
            <w:top w:val="none" w:sz="0" w:space="0" w:color="auto"/>
            <w:left w:val="none" w:sz="0" w:space="0" w:color="auto"/>
            <w:bottom w:val="none" w:sz="0" w:space="0" w:color="auto"/>
            <w:right w:val="none" w:sz="0" w:space="0" w:color="auto"/>
          </w:divBdr>
        </w:div>
        <w:div w:id="219705955">
          <w:marLeft w:val="0"/>
          <w:marRight w:val="0"/>
          <w:marTop w:val="0"/>
          <w:marBottom w:val="0"/>
          <w:divBdr>
            <w:top w:val="none" w:sz="0" w:space="0" w:color="auto"/>
            <w:left w:val="none" w:sz="0" w:space="0" w:color="auto"/>
            <w:bottom w:val="none" w:sz="0" w:space="0" w:color="auto"/>
            <w:right w:val="none" w:sz="0" w:space="0" w:color="auto"/>
          </w:divBdr>
        </w:div>
        <w:div w:id="245651045">
          <w:marLeft w:val="0"/>
          <w:marRight w:val="0"/>
          <w:marTop w:val="0"/>
          <w:marBottom w:val="0"/>
          <w:divBdr>
            <w:top w:val="none" w:sz="0" w:space="0" w:color="auto"/>
            <w:left w:val="none" w:sz="0" w:space="0" w:color="auto"/>
            <w:bottom w:val="none" w:sz="0" w:space="0" w:color="auto"/>
            <w:right w:val="none" w:sz="0" w:space="0" w:color="auto"/>
          </w:divBdr>
        </w:div>
        <w:div w:id="248732733">
          <w:marLeft w:val="0"/>
          <w:marRight w:val="0"/>
          <w:marTop w:val="0"/>
          <w:marBottom w:val="0"/>
          <w:divBdr>
            <w:top w:val="none" w:sz="0" w:space="0" w:color="auto"/>
            <w:left w:val="none" w:sz="0" w:space="0" w:color="auto"/>
            <w:bottom w:val="none" w:sz="0" w:space="0" w:color="auto"/>
            <w:right w:val="none" w:sz="0" w:space="0" w:color="auto"/>
          </w:divBdr>
        </w:div>
        <w:div w:id="296884050">
          <w:marLeft w:val="0"/>
          <w:marRight w:val="0"/>
          <w:marTop w:val="0"/>
          <w:marBottom w:val="0"/>
          <w:divBdr>
            <w:top w:val="none" w:sz="0" w:space="0" w:color="auto"/>
            <w:left w:val="none" w:sz="0" w:space="0" w:color="auto"/>
            <w:bottom w:val="none" w:sz="0" w:space="0" w:color="auto"/>
            <w:right w:val="none" w:sz="0" w:space="0" w:color="auto"/>
          </w:divBdr>
        </w:div>
        <w:div w:id="299116768">
          <w:marLeft w:val="0"/>
          <w:marRight w:val="0"/>
          <w:marTop w:val="0"/>
          <w:marBottom w:val="0"/>
          <w:divBdr>
            <w:top w:val="none" w:sz="0" w:space="0" w:color="auto"/>
            <w:left w:val="none" w:sz="0" w:space="0" w:color="auto"/>
            <w:bottom w:val="none" w:sz="0" w:space="0" w:color="auto"/>
            <w:right w:val="none" w:sz="0" w:space="0" w:color="auto"/>
          </w:divBdr>
        </w:div>
        <w:div w:id="305361898">
          <w:marLeft w:val="0"/>
          <w:marRight w:val="0"/>
          <w:marTop w:val="0"/>
          <w:marBottom w:val="0"/>
          <w:divBdr>
            <w:top w:val="none" w:sz="0" w:space="0" w:color="auto"/>
            <w:left w:val="none" w:sz="0" w:space="0" w:color="auto"/>
            <w:bottom w:val="none" w:sz="0" w:space="0" w:color="auto"/>
            <w:right w:val="none" w:sz="0" w:space="0" w:color="auto"/>
          </w:divBdr>
        </w:div>
        <w:div w:id="309019839">
          <w:marLeft w:val="0"/>
          <w:marRight w:val="0"/>
          <w:marTop w:val="0"/>
          <w:marBottom w:val="0"/>
          <w:divBdr>
            <w:top w:val="none" w:sz="0" w:space="0" w:color="auto"/>
            <w:left w:val="none" w:sz="0" w:space="0" w:color="auto"/>
            <w:bottom w:val="none" w:sz="0" w:space="0" w:color="auto"/>
            <w:right w:val="none" w:sz="0" w:space="0" w:color="auto"/>
          </w:divBdr>
        </w:div>
        <w:div w:id="313919879">
          <w:marLeft w:val="0"/>
          <w:marRight w:val="0"/>
          <w:marTop w:val="0"/>
          <w:marBottom w:val="0"/>
          <w:divBdr>
            <w:top w:val="none" w:sz="0" w:space="0" w:color="auto"/>
            <w:left w:val="none" w:sz="0" w:space="0" w:color="auto"/>
            <w:bottom w:val="none" w:sz="0" w:space="0" w:color="auto"/>
            <w:right w:val="none" w:sz="0" w:space="0" w:color="auto"/>
          </w:divBdr>
        </w:div>
        <w:div w:id="319693886">
          <w:marLeft w:val="0"/>
          <w:marRight w:val="0"/>
          <w:marTop w:val="0"/>
          <w:marBottom w:val="0"/>
          <w:divBdr>
            <w:top w:val="none" w:sz="0" w:space="0" w:color="auto"/>
            <w:left w:val="none" w:sz="0" w:space="0" w:color="auto"/>
            <w:bottom w:val="none" w:sz="0" w:space="0" w:color="auto"/>
            <w:right w:val="none" w:sz="0" w:space="0" w:color="auto"/>
          </w:divBdr>
        </w:div>
        <w:div w:id="372048691">
          <w:marLeft w:val="0"/>
          <w:marRight w:val="0"/>
          <w:marTop w:val="0"/>
          <w:marBottom w:val="0"/>
          <w:divBdr>
            <w:top w:val="none" w:sz="0" w:space="0" w:color="auto"/>
            <w:left w:val="none" w:sz="0" w:space="0" w:color="auto"/>
            <w:bottom w:val="none" w:sz="0" w:space="0" w:color="auto"/>
            <w:right w:val="none" w:sz="0" w:space="0" w:color="auto"/>
          </w:divBdr>
        </w:div>
        <w:div w:id="374355217">
          <w:marLeft w:val="0"/>
          <w:marRight w:val="0"/>
          <w:marTop w:val="0"/>
          <w:marBottom w:val="0"/>
          <w:divBdr>
            <w:top w:val="none" w:sz="0" w:space="0" w:color="auto"/>
            <w:left w:val="none" w:sz="0" w:space="0" w:color="auto"/>
            <w:bottom w:val="none" w:sz="0" w:space="0" w:color="auto"/>
            <w:right w:val="none" w:sz="0" w:space="0" w:color="auto"/>
          </w:divBdr>
        </w:div>
        <w:div w:id="376853682">
          <w:marLeft w:val="0"/>
          <w:marRight w:val="0"/>
          <w:marTop w:val="0"/>
          <w:marBottom w:val="0"/>
          <w:divBdr>
            <w:top w:val="none" w:sz="0" w:space="0" w:color="auto"/>
            <w:left w:val="none" w:sz="0" w:space="0" w:color="auto"/>
            <w:bottom w:val="none" w:sz="0" w:space="0" w:color="auto"/>
            <w:right w:val="none" w:sz="0" w:space="0" w:color="auto"/>
          </w:divBdr>
        </w:div>
        <w:div w:id="379284836">
          <w:marLeft w:val="0"/>
          <w:marRight w:val="0"/>
          <w:marTop w:val="0"/>
          <w:marBottom w:val="0"/>
          <w:divBdr>
            <w:top w:val="none" w:sz="0" w:space="0" w:color="auto"/>
            <w:left w:val="none" w:sz="0" w:space="0" w:color="auto"/>
            <w:bottom w:val="none" w:sz="0" w:space="0" w:color="auto"/>
            <w:right w:val="none" w:sz="0" w:space="0" w:color="auto"/>
          </w:divBdr>
        </w:div>
        <w:div w:id="408158256">
          <w:marLeft w:val="0"/>
          <w:marRight w:val="0"/>
          <w:marTop w:val="0"/>
          <w:marBottom w:val="0"/>
          <w:divBdr>
            <w:top w:val="none" w:sz="0" w:space="0" w:color="auto"/>
            <w:left w:val="none" w:sz="0" w:space="0" w:color="auto"/>
            <w:bottom w:val="none" w:sz="0" w:space="0" w:color="auto"/>
            <w:right w:val="none" w:sz="0" w:space="0" w:color="auto"/>
          </w:divBdr>
        </w:div>
        <w:div w:id="418062810">
          <w:marLeft w:val="0"/>
          <w:marRight w:val="0"/>
          <w:marTop w:val="0"/>
          <w:marBottom w:val="0"/>
          <w:divBdr>
            <w:top w:val="none" w:sz="0" w:space="0" w:color="auto"/>
            <w:left w:val="none" w:sz="0" w:space="0" w:color="auto"/>
            <w:bottom w:val="none" w:sz="0" w:space="0" w:color="auto"/>
            <w:right w:val="none" w:sz="0" w:space="0" w:color="auto"/>
          </w:divBdr>
        </w:div>
        <w:div w:id="430585952">
          <w:marLeft w:val="0"/>
          <w:marRight w:val="0"/>
          <w:marTop w:val="0"/>
          <w:marBottom w:val="0"/>
          <w:divBdr>
            <w:top w:val="none" w:sz="0" w:space="0" w:color="auto"/>
            <w:left w:val="none" w:sz="0" w:space="0" w:color="auto"/>
            <w:bottom w:val="none" w:sz="0" w:space="0" w:color="auto"/>
            <w:right w:val="none" w:sz="0" w:space="0" w:color="auto"/>
          </w:divBdr>
        </w:div>
        <w:div w:id="448089870">
          <w:marLeft w:val="0"/>
          <w:marRight w:val="0"/>
          <w:marTop w:val="0"/>
          <w:marBottom w:val="0"/>
          <w:divBdr>
            <w:top w:val="none" w:sz="0" w:space="0" w:color="auto"/>
            <w:left w:val="none" w:sz="0" w:space="0" w:color="auto"/>
            <w:bottom w:val="none" w:sz="0" w:space="0" w:color="auto"/>
            <w:right w:val="none" w:sz="0" w:space="0" w:color="auto"/>
          </w:divBdr>
        </w:div>
        <w:div w:id="448161644">
          <w:marLeft w:val="0"/>
          <w:marRight w:val="0"/>
          <w:marTop w:val="0"/>
          <w:marBottom w:val="0"/>
          <w:divBdr>
            <w:top w:val="none" w:sz="0" w:space="0" w:color="auto"/>
            <w:left w:val="none" w:sz="0" w:space="0" w:color="auto"/>
            <w:bottom w:val="none" w:sz="0" w:space="0" w:color="auto"/>
            <w:right w:val="none" w:sz="0" w:space="0" w:color="auto"/>
          </w:divBdr>
        </w:div>
        <w:div w:id="470826761">
          <w:marLeft w:val="0"/>
          <w:marRight w:val="0"/>
          <w:marTop w:val="0"/>
          <w:marBottom w:val="0"/>
          <w:divBdr>
            <w:top w:val="none" w:sz="0" w:space="0" w:color="auto"/>
            <w:left w:val="none" w:sz="0" w:space="0" w:color="auto"/>
            <w:bottom w:val="none" w:sz="0" w:space="0" w:color="auto"/>
            <w:right w:val="none" w:sz="0" w:space="0" w:color="auto"/>
          </w:divBdr>
        </w:div>
        <w:div w:id="476387087">
          <w:marLeft w:val="0"/>
          <w:marRight w:val="0"/>
          <w:marTop w:val="0"/>
          <w:marBottom w:val="0"/>
          <w:divBdr>
            <w:top w:val="none" w:sz="0" w:space="0" w:color="auto"/>
            <w:left w:val="none" w:sz="0" w:space="0" w:color="auto"/>
            <w:bottom w:val="none" w:sz="0" w:space="0" w:color="auto"/>
            <w:right w:val="none" w:sz="0" w:space="0" w:color="auto"/>
          </w:divBdr>
        </w:div>
        <w:div w:id="501437658">
          <w:marLeft w:val="0"/>
          <w:marRight w:val="0"/>
          <w:marTop w:val="0"/>
          <w:marBottom w:val="0"/>
          <w:divBdr>
            <w:top w:val="none" w:sz="0" w:space="0" w:color="auto"/>
            <w:left w:val="none" w:sz="0" w:space="0" w:color="auto"/>
            <w:bottom w:val="none" w:sz="0" w:space="0" w:color="auto"/>
            <w:right w:val="none" w:sz="0" w:space="0" w:color="auto"/>
          </w:divBdr>
        </w:div>
        <w:div w:id="511800584">
          <w:marLeft w:val="0"/>
          <w:marRight w:val="0"/>
          <w:marTop w:val="0"/>
          <w:marBottom w:val="0"/>
          <w:divBdr>
            <w:top w:val="none" w:sz="0" w:space="0" w:color="auto"/>
            <w:left w:val="none" w:sz="0" w:space="0" w:color="auto"/>
            <w:bottom w:val="none" w:sz="0" w:space="0" w:color="auto"/>
            <w:right w:val="none" w:sz="0" w:space="0" w:color="auto"/>
          </w:divBdr>
        </w:div>
        <w:div w:id="517811369">
          <w:marLeft w:val="0"/>
          <w:marRight w:val="0"/>
          <w:marTop w:val="0"/>
          <w:marBottom w:val="0"/>
          <w:divBdr>
            <w:top w:val="none" w:sz="0" w:space="0" w:color="auto"/>
            <w:left w:val="none" w:sz="0" w:space="0" w:color="auto"/>
            <w:bottom w:val="none" w:sz="0" w:space="0" w:color="auto"/>
            <w:right w:val="none" w:sz="0" w:space="0" w:color="auto"/>
          </w:divBdr>
        </w:div>
        <w:div w:id="535890945">
          <w:marLeft w:val="0"/>
          <w:marRight w:val="0"/>
          <w:marTop w:val="0"/>
          <w:marBottom w:val="0"/>
          <w:divBdr>
            <w:top w:val="none" w:sz="0" w:space="0" w:color="auto"/>
            <w:left w:val="none" w:sz="0" w:space="0" w:color="auto"/>
            <w:bottom w:val="none" w:sz="0" w:space="0" w:color="auto"/>
            <w:right w:val="none" w:sz="0" w:space="0" w:color="auto"/>
          </w:divBdr>
        </w:div>
        <w:div w:id="542135137">
          <w:marLeft w:val="0"/>
          <w:marRight w:val="0"/>
          <w:marTop w:val="0"/>
          <w:marBottom w:val="0"/>
          <w:divBdr>
            <w:top w:val="none" w:sz="0" w:space="0" w:color="auto"/>
            <w:left w:val="none" w:sz="0" w:space="0" w:color="auto"/>
            <w:bottom w:val="none" w:sz="0" w:space="0" w:color="auto"/>
            <w:right w:val="none" w:sz="0" w:space="0" w:color="auto"/>
          </w:divBdr>
        </w:div>
        <w:div w:id="551423329">
          <w:marLeft w:val="0"/>
          <w:marRight w:val="0"/>
          <w:marTop w:val="0"/>
          <w:marBottom w:val="0"/>
          <w:divBdr>
            <w:top w:val="none" w:sz="0" w:space="0" w:color="auto"/>
            <w:left w:val="none" w:sz="0" w:space="0" w:color="auto"/>
            <w:bottom w:val="none" w:sz="0" w:space="0" w:color="auto"/>
            <w:right w:val="none" w:sz="0" w:space="0" w:color="auto"/>
          </w:divBdr>
        </w:div>
        <w:div w:id="559945470">
          <w:marLeft w:val="0"/>
          <w:marRight w:val="0"/>
          <w:marTop w:val="0"/>
          <w:marBottom w:val="0"/>
          <w:divBdr>
            <w:top w:val="none" w:sz="0" w:space="0" w:color="auto"/>
            <w:left w:val="none" w:sz="0" w:space="0" w:color="auto"/>
            <w:bottom w:val="none" w:sz="0" w:space="0" w:color="auto"/>
            <w:right w:val="none" w:sz="0" w:space="0" w:color="auto"/>
          </w:divBdr>
        </w:div>
        <w:div w:id="568614111">
          <w:marLeft w:val="0"/>
          <w:marRight w:val="0"/>
          <w:marTop w:val="0"/>
          <w:marBottom w:val="0"/>
          <w:divBdr>
            <w:top w:val="none" w:sz="0" w:space="0" w:color="auto"/>
            <w:left w:val="none" w:sz="0" w:space="0" w:color="auto"/>
            <w:bottom w:val="none" w:sz="0" w:space="0" w:color="auto"/>
            <w:right w:val="none" w:sz="0" w:space="0" w:color="auto"/>
          </w:divBdr>
        </w:div>
        <w:div w:id="598756169">
          <w:marLeft w:val="0"/>
          <w:marRight w:val="0"/>
          <w:marTop w:val="0"/>
          <w:marBottom w:val="0"/>
          <w:divBdr>
            <w:top w:val="none" w:sz="0" w:space="0" w:color="auto"/>
            <w:left w:val="none" w:sz="0" w:space="0" w:color="auto"/>
            <w:bottom w:val="none" w:sz="0" w:space="0" w:color="auto"/>
            <w:right w:val="none" w:sz="0" w:space="0" w:color="auto"/>
          </w:divBdr>
        </w:div>
        <w:div w:id="644316627">
          <w:marLeft w:val="0"/>
          <w:marRight w:val="0"/>
          <w:marTop w:val="0"/>
          <w:marBottom w:val="0"/>
          <w:divBdr>
            <w:top w:val="none" w:sz="0" w:space="0" w:color="auto"/>
            <w:left w:val="none" w:sz="0" w:space="0" w:color="auto"/>
            <w:bottom w:val="none" w:sz="0" w:space="0" w:color="auto"/>
            <w:right w:val="none" w:sz="0" w:space="0" w:color="auto"/>
          </w:divBdr>
        </w:div>
        <w:div w:id="655038555">
          <w:marLeft w:val="0"/>
          <w:marRight w:val="0"/>
          <w:marTop w:val="0"/>
          <w:marBottom w:val="0"/>
          <w:divBdr>
            <w:top w:val="none" w:sz="0" w:space="0" w:color="auto"/>
            <w:left w:val="none" w:sz="0" w:space="0" w:color="auto"/>
            <w:bottom w:val="none" w:sz="0" w:space="0" w:color="auto"/>
            <w:right w:val="none" w:sz="0" w:space="0" w:color="auto"/>
          </w:divBdr>
        </w:div>
        <w:div w:id="703484173">
          <w:marLeft w:val="0"/>
          <w:marRight w:val="0"/>
          <w:marTop w:val="0"/>
          <w:marBottom w:val="0"/>
          <w:divBdr>
            <w:top w:val="none" w:sz="0" w:space="0" w:color="auto"/>
            <w:left w:val="none" w:sz="0" w:space="0" w:color="auto"/>
            <w:bottom w:val="none" w:sz="0" w:space="0" w:color="auto"/>
            <w:right w:val="none" w:sz="0" w:space="0" w:color="auto"/>
          </w:divBdr>
        </w:div>
        <w:div w:id="713653542">
          <w:marLeft w:val="0"/>
          <w:marRight w:val="0"/>
          <w:marTop w:val="0"/>
          <w:marBottom w:val="0"/>
          <w:divBdr>
            <w:top w:val="none" w:sz="0" w:space="0" w:color="auto"/>
            <w:left w:val="none" w:sz="0" w:space="0" w:color="auto"/>
            <w:bottom w:val="none" w:sz="0" w:space="0" w:color="auto"/>
            <w:right w:val="none" w:sz="0" w:space="0" w:color="auto"/>
          </w:divBdr>
        </w:div>
        <w:div w:id="715007556">
          <w:marLeft w:val="0"/>
          <w:marRight w:val="0"/>
          <w:marTop w:val="0"/>
          <w:marBottom w:val="0"/>
          <w:divBdr>
            <w:top w:val="none" w:sz="0" w:space="0" w:color="auto"/>
            <w:left w:val="none" w:sz="0" w:space="0" w:color="auto"/>
            <w:bottom w:val="none" w:sz="0" w:space="0" w:color="auto"/>
            <w:right w:val="none" w:sz="0" w:space="0" w:color="auto"/>
          </w:divBdr>
        </w:div>
        <w:div w:id="728502895">
          <w:marLeft w:val="0"/>
          <w:marRight w:val="0"/>
          <w:marTop w:val="0"/>
          <w:marBottom w:val="0"/>
          <w:divBdr>
            <w:top w:val="none" w:sz="0" w:space="0" w:color="auto"/>
            <w:left w:val="none" w:sz="0" w:space="0" w:color="auto"/>
            <w:bottom w:val="none" w:sz="0" w:space="0" w:color="auto"/>
            <w:right w:val="none" w:sz="0" w:space="0" w:color="auto"/>
          </w:divBdr>
        </w:div>
        <w:div w:id="752822096">
          <w:marLeft w:val="0"/>
          <w:marRight w:val="0"/>
          <w:marTop w:val="0"/>
          <w:marBottom w:val="0"/>
          <w:divBdr>
            <w:top w:val="none" w:sz="0" w:space="0" w:color="auto"/>
            <w:left w:val="none" w:sz="0" w:space="0" w:color="auto"/>
            <w:bottom w:val="none" w:sz="0" w:space="0" w:color="auto"/>
            <w:right w:val="none" w:sz="0" w:space="0" w:color="auto"/>
          </w:divBdr>
        </w:div>
        <w:div w:id="769275353">
          <w:marLeft w:val="0"/>
          <w:marRight w:val="0"/>
          <w:marTop w:val="0"/>
          <w:marBottom w:val="0"/>
          <w:divBdr>
            <w:top w:val="none" w:sz="0" w:space="0" w:color="auto"/>
            <w:left w:val="none" w:sz="0" w:space="0" w:color="auto"/>
            <w:bottom w:val="none" w:sz="0" w:space="0" w:color="auto"/>
            <w:right w:val="none" w:sz="0" w:space="0" w:color="auto"/>
          </w:divBdr>
        </w:div>
        <w:div w:id="769400104">
          <w:marLeft w:val="0"/>
          <w:marRight w:val="0"/>
          <w:marTop w:val="0"/>
          <w:marBottom w:val="0"/>
          <w:divBdr>
            <w:top w:val="none" w:sz="0" w:space="0" w:color="auto"/>
            <w:left w:val="none" w:sz="0" w:space="0" w:color="auto"/>
            <w:bottom w:val="none" w:sz="0" w:space="0" w:color="auto"/>
            <w:right w:val="none" w:sz="0" w:space="0" w:color="auto"/>
          </w:divBdr>
        </w:div>
        <w:div w:id="771633094">
          <w:marLeft w:val="0"/>
          <w:marRight w:val="0"/>
          <w:marTop w:val="0"/>
          <w:marBottom w:val="0"/>
          <w:divBdr>
            <w:top w:val="none" w:sz="0" w:space="0" w:color="auto"/>
            <w:left w:val="none" w:sz="0" w:space="0" w:color="auto"/>
            <w:bottom w:val="none" w:sz="0" w:space="0" w:color="auto"/>
            <w:right w:val="none" w:sz="0" w:space="0" w:color="auto"/>
          </w:divBdr>
        </w:div>
        <w:div w:id="778574356">
          <w:marLeft w:val="0"/>
          <w:marRight w:val="0"/>
          <w:marTop w:val="0"/>
          <w:marBottom w:val="0"/>
          <w:divBdr>
            <w:top w:val="none" w:sz="0" w:space="0" w:color="auto"/>
            <w:left w:val="none" w:sz="0" w:space="0" w:color="auto"/>
            <w:bottom w:val="none" w:sz="0" w:space="0" w:color="auto"/>
            <w:right w:val="none" w:sz="0" w:space="0" w:color="auto"/>
          </w:divBdr>
        </w:div>
        <w:div w:id="781074110">
          <w:marLeft w:val="0"/>
          <w:marRight w:val="0"/>
          <w:marTop w:val="0"/>
          <w:marBottom w:val="0"/>
          <w:divBdr>
            <w:top w:val="none" w:sz="0" w:space="0" w:color="auto"/>
            <w:left w:val="none" w:sz="0" w:space="0" w:color="auto"/>
            <w:bottom w:val="none" w:sz="0" w:space="0" w:color="auto"/>
            <w:right w:val="none" w:sz="0" w:space="0" w:color="auto"/>
          </w:divBdr>
        </w:div>
        <w:div w:id="785544313">
          <w:marLeft w:val="0"/>
          <w:marRight w:val="0"/>
          <w:marTop w:val="0"/>
          <w:marBottom w:val="0"/>
          <w:divBdr>
            <w:top w:val="none" w:sz="0" w:space="0" w:color="auto"/>
            <w:left w:val="none" w:sz="0" w:space="0" w:color="auto"/>
            <w:bottom w:val="none" w:sz="0" w:space="0" w:color="auto"/>
            <w:right w:val="none" w:sz="0" w:space="0" w:color="auto"/>
          </w:divBdr>
        </w:div>
        <w:div w:id="807624645">
          <w:marLeft w:val="0"/>
          <w:marRight w:val="0"/>
          <w:marTop w:val="0"/>
          <w:marBottom w:val="0"/>
          <w:divBdr>
            <w:top w:val="none" w:sz="0" w:space="0" w:color="auto"/>
            <w:left w:val="none" w:sz="0" w:space="0" w:color="auto"/>
            <w:bottom w:val="none" w:sz="0" w:space="0" w:color="auto"/>
            <w:right w:val="none" w:sz="0" w:space="0" w:color="auto"/>
          </w:divBdr>
        </w:div>
        <w:div w:id="817693426">
          <w:marLeft w:val="0"/>
          <w:marRight w:val="0"/>
          <w:marTop w:val="0"/>
          <w:marBottom w:val="0"/>
          <w:divBdr>
            <w:top w:val="none" w:sz="0" w:space="0" w:color="auto"/>
            <w:left w:val="none" w:sz="0" w:space="0" w:color="auto"/>
            <w:bottom w:val="none" w:sz="0" w:space="0" w:color="auto"/>
            <w:right w:val="none" w:sz="0" w:space="0" w:color="auto"/>
          </w:divBdr>
        </w:div>
        <w:div w:id="821696855">
          <w:marLeft w:val="0"/>
          <w:marRight w:val="0"/>
          <w:marTop w:val="0"/>
          <w:marBottom w:val="0"/>
          <w:divBdr>
            <w:top w:val="none" w:sz="0" w:space="0" w:color="auto"/>
            <w:left w:val="none" w:sz="0" w:space="0" w:color="auto"/>
            <w:bottom w:val="none" w:sz="0" w:space="0" w:color="auto"/>
            <w:right w:val="none" w:sz="0" w:space="0" w:color="auto"/>
          </w:divBdr>
        </w:div>
        <w:div w:id="830217583">
          <w:marLeft w:val="0"/>
          <w:marRight w:val="0"/>
          <w:marTop w:val="0"/>
          <w:marBottom w:val="0"/>
          <w:divBdr>
            <w:top w:val="none" w:sz="0" w:space="0" w:color="auto"/>
            <w:left w:val="none" w:sz="0" w:space="0" w:color="auto"/>
            <w:bottom w:val="none" w:sz="0" w:space="0" w:color="auto"/>
            <w:right w:val="none" w:sz="0" w:space="0" w:color="auto"/>
          </w:divBdr>
        </w:div>
        <w:div w:id="850067645">
          <w:marLeft w:val="0"/>
          <w:marRight w:val="0"/>
          <w:marTop w:val="0"/>
          <w:marBottom w:val="0"/>
          <w:divBdr>
            <w:top w:val="none" w:sz="0" w:space="0" w:color="auto"/>
            <w:left w:val="none" w:sz="0" w:space="0" w:color="auto"/>
            <w:bottom w:val="none" w:sz="0" w:space="0" w:color="auto"/>
            <w:right w:val="none" w:sz="0" w:space="0" w:color="auto"/>
          </w:divBdr>
        </w:div>
        <w:div w:id="852841054">
          <w:marLeft w:val="0"/>
          <w:marRight w:val="0"/>
          <w:marTop w:val="0"/>
          <w:marBottom w:val="0"/>
          <w:divBdr>
            <w:top w:val="none" w:sz="0" w:space="0" w:color="auto"/>
            <w:left w:val="none" w:sz="0" w:space="0" w:color="auto"/>
            <w:bottom w:val="none" w:sz="0" w:space="0" w:color="auto"/>
            <w:right w:val="none" w:sz="0" w:space="0" w:color="auto"/>
          </w:divBdr>
        </w:div>
        <w:div w:id="859126060">
          <w:marLeft w:val="0"/>
          <w:marRight w:val="0"/>
          <w:marTop w:val="0"/>
          <w:marBottom w:val="0"/>
          <w:divBdr>
            <w:top w:val="none" w:sz="0" w:space="0" w:color="auto"/>
            <w:left w:val="none" w:sz="0" w:space="0" w:color="auto"/>
            <w:bottom w:val="none" w:sz="0" w:space="0" w:color="auto"/>
            <w:right w:val="none" w:sz="0" w:space="0" w:color="auto"/>
          </w:divBdr>
        </w:div>
        <w:div w:id="865172907">
          <w:marLeft w:val="0"/>
          <w:marRight w:val="0"/>
          <w:marTop w:val="0"/>
          <w:marBottom w:val="0"/>
          <w:divBdr>
            <w:top w:val="none" w:sz="0" w:space="0" w:color="auto"/>
            <w:left w:val="none" w:sz="0" w:space="0" w:color="auto"/>
            <w:bottom w:val="none" w:sz="0" w:space="0" w:color="auto"/>
            <w:right w:val="none" w:sz="0" w:space="0" w:color="auto"/>
          </w:divBdr>
        </w:div>
        <w:div w:id="893002087">
          <w:marLeft w:val="0"/>
          <w:marRight w:val="0"/>
          <w:marTop w:val="0"/>
          <w:marBottom w:val="0"/>
          <w:divBdr>
            <w:top w:val="none" w:sz="0" w:space="0" w:color="auto"/>
            <w:left w:val="none" w:sz="0" w:space="0" w:color="auto"/>
            <w:bottom w:val="none" w:sz="0" w:space="0" w:color="auto"/>
            <w:right w:val="none" w:sz="0" w:space="0" w:color="auto"/>
          </w:divBdr>
        </w:div>
        <w:div w:id="937325036">
          <w:marLeft w:val="0"/>
          <w:marRight w:val="0"/>
          <w:marTop w:val="0"/>
          <w:marBottom w:val="0"/>
          <w:divBdr>
            <w:top w:val="none" w:sz="0" w:space="0" w:color="auto"/>
            <w:left w:val="none" w:sz="0" w:space="0" w:color="auto"/>
            <w:bottom w:val="none" w:sz="0" w:space="0" w:color="auto"/>
            <w:right w:val="none" w:sz="0" w:space="0" w:color="auto"/>
          </w:divBdr>
        </w:div>
        <w:div w:id="960578261">
          <w:marLeft w:val="0"/>
          <w:marRight w:val="0"/>
          <w:marTop w:val="0"/>
          <w:marBottom w:val="0"/>
          <w:divBdr>
            <w:top w:val="none" w:sz="0" w:space="0" w:color="auto"/>
            <w:left w:val="none" w:sz="0" w:space="0" w:color="auto"/>
            <w:bottom w:val="none" w:sz="0" w:space="0" w:color="auto"/>
            <w:right w:val="none" w:sz="0" w:space="0" w:color="auto"/>
          </w:divBdr>
        </w:div>
        <w:div w:id="964196898">
          <w:marLeft w:val="0"/>
          <w:marRight w:val="0"/>
          <w:marTop w:val="0"/>
          <w:marBottom w:val="0"/>
          <w:divBdr>
            <w:top w:val="none" w:sz="0" w:space="0" w:color="auto"/>
            <w:left w:val="none" w:sz="0" w:space="0" w:color="auto"/>
            <w:bottom w:val="none" w:sz="0" w:space="0" w:color="auto"/>
            <w:right w:val="none" w:sz="0" w:space="0" w:color="auto"/>
          </w:divBdr>
        </w:div>
        <w:div w:id="999651211">
          <w:marLeft w:val="0"/>
          <w:marRight w:val="0"/>
          <w:marTop w:val="0"/>
          <w:marBottom w:val="0"/>
          <w:divBdr>
            <w:top w:val="none" w:sz="0" w:space="0" w:color="auto"/>
            <w:left w:val="none" w:sz="0" w:space="0" w:color="auto"/>
            <w:bottom w:val="none" w:sz="0" w:space="0" w:color="auto"/>
            <w:right w:val="none" w:sz="0" w:space="0" w:color="auto"/>
          </w:divBdr>
        </w:div>
        <w:div w:id="1077047096">
          <w:marLeft w:val="0"/>
          <w:marRight w:val="0"/>
          <w:marTop w:val="0"/>
          <w:marBottom w:val="0"/>
          <w:divBdr>
            <w:top w:val="none" w:sz="0" w:space="0" w:color="auto"/>
            <w:left w:val="none" w:sz="0" w:space="0" w:color="auto"/>
            <w:bottom w:val="none" w:sz="0" w:space="0" w:color="auto"/>
            <w:right w:val="none" w:sz="0" w:space="0" w:color="auto"/>
          </w:divBdr>
        </w:div>
        <w:div w:id="1087573788">
          <w:marLeft w:val="0"/>
          <w:marRight w:val="0"/>
          <w:marTop w:val="0"/>
          <w:marBottom w:val="0"/>
          <w:divBdr>
            <w:top w:val="none" w:sz="0" w:space="0" w:color="auto"/>
            <w:left w:val="none" w:sz="0" w:space="0" w:color="auto"/>
            <w:bottom w:val="none" w:sz="0" w:space="0" w:color="auto"/>
            <w:right w:val="none" w:sz="0" w:space="0" w:color="auto"/>
          </w:divBdr>
        </w:div>
        <w:div w:id="1091663010">
          <w:marLeft w:val="0"/>
          <w:marRight w:val="0"/>
          <w:marTop w:val="0"/>
          <w:marBottom w:val="0"/>
          <w:divBdr>
            <w:top w:val="none" w:sz="0" w:space="0" w:color="auto"/>
            <w:left w:val="none" w:sz="0" w:space="0" w:color="auto"/>
            <w:bottom w:val="none" w:sz="0" w:space="0" w:color="auto"/>
            <w:right w:val="none" w:sz="0" w:space="0" w:color="auto"/>
          </w:divBdr>
        </w:div>
        <w:div w:id="1094667030">
          <w:marLeft w:val="0"/>
          <w:marRight w:val="0"/>
          <w:marTop w:val="0"/>
          <w:marBottom w:val="0"/>
          <w:divBdr>
            <w:top w:val="none" w:sz="0" w:space="0" w:color="auto"/>
            <w:left w:val="none" w:sz="0" w:space="0" w:color="auto"/>
            <w:bottom w:val="none" w:sz="0" w:space="0" w:color="auto"/>
            <w:right w:val="none" w:sz="0" w:space="0" w:color="auto"/>
          </w:divBdr>
        </w:div>
        <w:div w:id="1095787853">
          <w:marLeft w:val="0"/>
          <w:marRight w:val="0"/>
          <w:marTop w:val="0"/>
          <w:marBottom w:val="0"/>
          <w:divBdr>
            <w:top w:val="none" w:sz="0" w:space="0" w:color="auto"/>
            <w:left w:val="none" w:sz="0" w:space="0" w:color="auto"/>
            <w:bottom w:val="none" w:sz="0" w:space="0" w:color="auto"/>
            <w:right w:val="none" w:sz="0" w:space="0" w:color="auto"/>
          </w:divBdr>
        </w:div>
        <w:div w:id="1141189311">
          <w:marLeft w:val="0"/>
          <w:marRight w:val="0"/>
          <w:marTop w:val="0"/>
          <w:marBottom w:val="0"/>
          <w:divBdr>
            <w:top w:val="none" w:sz="0" w:space="0" w:color="auto"/>
            <w:left w:val="none" w:sz="0" w:space="0" w:color="auto"/>
            <w:bottom w:val="none" w:sz="0" w:space="0" w:color="auto"/>
            <w:right w:val="none" w:sz="0" w:space="0" w:color="auto"/>
          </w:divBdr>
        </w:div>
        <w:div w:id="1156724140">
          <w:marLeft w:val="0"/>
          <w:marRight w:val="0"/>
          <w:marTop w:val="0"/>
          <w:marBottom w:val="0"/>
          <w:divBdr>
            <w:top w:val="none" w:sz="0" w:space="0" w:color="auto"/>
            <w:left w:val="none" w:sz="0" w:space="0" w:color="auto"/>
            <w:bottom w:val="none" w:sz="0" w:space="0" w:color="auto"/>
            <w:right w:val="none" w:sz="0" w:space="0" w:color="auto"/>
          </w:divBdr>
        </w:div>
        <w:div w:id="1158301464">
          <w:marLeft w:val="0"/>
          <w:marRight w:val="0"/>
          <w:marTop w:val="0"/>
          <w:marBottom w:val="0"/>
          <w:divBdr>
            <w:top w:val="none" w:sz="0" w:space="0" w:color="auto"/>
            <w:left w:val="none" w:sz="0" w:space="0" w:color="auto"/>
            <w:bottom w:val="none" w:sz="0" w:space="0" w:color="auto"/>
            <w:right w:val="none" w:sz="0" w:space="0" w:color="auto"/>
          </w:divBdr>
        </w:div>
        <w:div w:id="1163159781">
          <w:marLeft w:val="0"/>
          <w:marRight w:val="0"/>
          <w:marTop w:val="0"/>
          <w:marBottom w:val="0"/>
          <w:divBdr>
            <w:top w:val="none" w:sz="0" w:space="0" w:color="auto"/>
            <w:left w:val="none" w:sz="0" w:space="0" w:color="auto"/>
            <w:bottom w:val="none" w:sz="0" w:space="0" w:color="auto"/>
            <w:right w:val="none" w:sz="0" w:space="0" w:color="auto"/>
          </w:divBdr>
        </w:div>
        <w:div w:id="1235507061">
          <w:marLeft w:val="0"/>
          <w:marRight w:val="0"/>
          <w:marTop w:val="0"/>
          <w:marBottom w:val="0"/>
          <w:divBdr>
            <w:top w:val="none" w:sz="0" w:space="0" w:color="auto"/>
            <w:left w:val="none" w:sz="0" w:space="0" w:color="auto"/>
            <w:bottom w:val="none" w:sz="0" w:space="0" w:color="auto"/>
            <w:right w:val="none" w:sz="0" w:space="0" w:color="auto"/>
          </w:divBdr>
        </w:div>
        <w:div w:id="1246038280">
          <w:marLeft w:val="0"/>
          <w:marRight w:val="0"/>
          <w:marTop w:val="0"/>
          <w:marBottom w:val="0"/>
          <w:divBdr>
            <w:top w:val="none" w:sz="0" w:space="0" w:color="auto"/>
            <w:left w:val="none" w:sz="0" w:space="0" w:color="auto"/>
            <w:bottom w:val="none" w:sz="0" w:space="0" w:color="auto"/>
            <w:right w:val="none" w:sz="0" w:space="0" w:color="auto"/>
          </w:divBdr>
        </w:div>
        <w:div w:id="1285111434">
          <w:marLeft w:val="0"/>
          <w:marRight w:val="0"/>
          <w:marTop w:val="0"/>
          <w:marBottom w:val="0"/>
          <w:divBdr>
            <w:top w:val="none" w:sz="0" w:space="0" w:color="auto"/>
            <w:left w:val="none" w:sz="0" w:space="0" w:color="auto"/>
            <w:bottom w:val="none" w:sz="0" w:space="0" w:color="auto"/>
            <w:right w:val="none" w:sz="0" w:space="0" w:color="auto"/>
          </w:divBdr>
        </w:div>
        <w:div w:id="1289891244">
          <w:marLeft w:val="0"/>
          <w:marRight w:val="0"/>
          <w:marTop w:val="0"/>
          <w:marBottom w:val="0"/>
          <w:divBdr>
            <w:top w:val="none" w:sz="0" w:space="0" w:color="auto"/>
            <w:left w:val="none" w:sz="0" w:space="0" w:color="auto"/>
            <w:bottom w:val="none" w:sz="0" w:space="0" w:color="auto"/>
            <w:right w:val="none" w:sz="0" w:space="0" w:color="auto"/>
          </w:divBdr>
        </w:div>
        <w:div w:id="1301956384">
          <w:marLeft w:val="0"/>
          <w:marRight w:val="0"/>
          <w:marTop w:val="0"/>
          <w:marBottom w:val="0"/>
          <w:divBdr>
            <w:top w:val="none" w:sz="0" w:space="0" w:color="auto"/>
            <w:left w:val="none" w:sz="0" w:space="0" w:color="auto"/>
            <w:bottom w:val="none" w:sz="0" w:space="0" w:color="auto"/>
            <w:right w:val="none" w:sz="0" w:space="0" w:color="auto"/>
          </w:divBdr>
        </w:div>
        <w:div w:id="1333265489">
          <w:marLeft w:val="0"/>
          <w:marRight w:val="0"/>
          <w:marTop w:val="0"/>
          <w:marBottom w:val="0"/>
          <w:divBdr>
            <w:top w:val="none" w:sz="0" w:space="0" w:color="auto"/>
            <w:left w:val="none" w:sz="0" w:space="0" w:color="auto"/>
            <w:bottom w:val="none" w:sz="0" w:space="0" w:color="auto"/>
            <w:right w:val="none" w:sz="0" w:space="0" w:color="auto"/>
          </w:divBdr>
        </w:div>
        <w:div w:id="1376734851">
          <w:marLeft w:val="0"/>
          <w:marRight w:val="0"/>
          <w:marTop w:val="0"/>
          <w:marBottom w:val="0"/>
          <w:divBdr>
            <w:top w:val="none" w:sz="0" w:space="0" w:color="auto"/>
            <w:left w:val="none" w:sz="0" w:space="0" w:color="auto"/>
            <w:bottom w:val="none" w:sz="0" w:space="0" w:color="auto"/>
            <w:right w:val="none" w:sz="0" w:space="0" w:color="auto"/>
          </w:divBdr>
        </w:div>
        <w:div w:id="1378242359">
          <w:marLeft w:val="0"/>
          <w:marRight w:val="0"/>
          <w:marTop w:val="0"/>
          <w:marBottom w:val="0"/>
          <w:divBdr>
            <w:top w:val="none" w:sz="0" w:space="0" w:color="auto"/>
            <w:left w:val="none" w:sz="0" w:space="0" w:color="auto"/>
            <w:bottom w:val="none" w:sz="0" w:space="0" w:color="auto"/>
            <w:right w:val="none" w:sz="0" w:space="0" w:color="auto"/>
          </w:divBdr>
        </w:div>
        <w:div w:id="1388525928">
          <w:marLeft w:val="0"/>
          <w:marRight w:val="0"/>
          <w:marTop w:val="0"/>
          <w:marBottom w:val="0"/>
          <w:divBdr>
            <w:top w:val="none" w:sz="0" w:space="0" w:color="auto"/>
            <w:left w:val="none" w:sz="0" w:space="0" w:color="auto"/>
            <w:bottom w:val="none" w:sz="0" w:space="0" w:color="auto"/>
            <w:right w:val="none" w:sz="0" w:space="0" w:color="auto"/>
          </w:divBdr>
        </w:div>
        <w:div w:id="1390879698">
          <w:marLeft w:val="0"/>
          <w:marRight w:val="0"/>
          <w:marTop w:val="0"/>
          <w:marBottom w:val="0"/>
          <w:divBdr>
            <w:top w:val="none" w:sz="0" w:space="0" w:color="auto"/>
            <w:left w:val="none" w:sz="0" w:space="0" w:color="auto"/>
            <w:bottom w:val="none" w:sz="0" w:space="0" w:color="auto"/>
            <w:right w:val="none" w:sz="0" w:space="0" w:color="auto"/>
          </w:divBdr>
        </w:div>
        <w:div w:id="1415786397">
          <w:marLeft w:val="0"/>
          <w:marRight w:val="0"/>
          <w:marTop w:val="0"/>
          <w:marBottom w:val="0"/>
          <w:divBdr>
            <w:top w:val="none" w:sz="0" w:space="0" w:color="auto"/>
            <w:left w:val="none" w:sz="0" w:space="0" w:color="auto"/>
            <w:bottom w:val="none" w:sz="0" w:space="0" w:color="auto"/>
            <w:right w:val="none" w:sz="0" w:space="0" w:color="auto"/>
          </w:divBdr>
        </w:div>
        <w:div w:id="1440443091">
          <w:marLeft w:val="0"/>
          <w:marRight w:val="0"/>
          <w:marTop w:val="0"/>
          <w:marBottom w:val="0"/>
          <w:divBdr>
            <w:top w:val="none" w:sz="0" w:space="0" w:color="auto"/>
            <w:left w:val="none" w:sz="0" w:space="0" w:color="auto"/>
            <w:bottom w:val="none" w:sz="0" w:space="0" w:color="auto"/>
            <w:right w:val="none" w:sz="0" w:space="0" w:color="auto"/>
          </w:divBdr>
        </w:div>
        <w:div w:id="1447503755">
          <w:marLeft w:val="0"/>
          <w:marRight w:val="0"/>
          <w:marTop w:val="0"/>
          <w:marBottom w:val="0"/>
          <w:divBdr>
            <w:top w:val="none" w:sz="0" w:space="0" w:color="auto"/>
            <w:left w:val="none" w:sz="0" w:space="0" w:color="auto"/>
            <w:bottom w:val="none" w:sz="0" w:space="0" w:color="auto"/>
            <w:right w:val="none" w:sz="0" w:space="0" w:color="auto"/>
          </w:divBdr>
        </w:div>
        <w:div w:id="1474328173">
          <w:marLeft w:val="0"/>
          <w:marRight w:val="0"/>
          <w:marTop w:val="0"/>
          <w:marBottom w:val="0"/>
          <w:divBdr>
            <w:top w:val="none" w:sz="0" w:space="0" w:color="auto"/>
            <w:left w:val="none" w:sz="0" w:space="0" w:color="auto"/>
            <w:bottom w:val="none" w:sz="0" w:space="0" w:color="auto"/>
            <w:right w:val="none" w:sz="0" w:space="0" w:color="auto"/>
          </w:divBdr>
        </w:div>
        <w:div w:id="1479423391">
          <w:marLeft w:val="0"/>
          <w:marRight w:val="0"/>
          <w:marTop w:val="0"/>
          <w:marBottom w:val="0"/>
          <w:divBdr>
            <w:top w:val="none" w:sz="0" w:space="0" w:color="auto"/>
            <w:left w:val="none" w:sz="0" w:space="0" w:color="auto"/>
            <w:bottom w:val="none" w:sz="0" w:space="0" w:color="auto"/>
            <w:right w:val="none" w:sz="0" w:space="0" w:color="auto"/>
          </w:divBdr>
        </w:div>
        <w:div w:id="1485900737">
          <w:marLeft w:val="0"/>
          <w:marRight w:val="0"/>
          <w:marTop w:val="0"/>
          <w:marBottom w:val="0"/>
          <w:divBdr>
            <w:top w:val="none" w:sz="0" w:space="0" w:color="auto"/>
            <w:left w:val="none" w:sz="0" w:space="0" w:color="auto"/>
            <w:bottom w:val="none" w:sz="0" w:space="0" w:color="auto"/>
            <w:right w:val="none" w:sz="0" w:space="0" w:color="auto"/>
          </w:divBdr>
        </w:div>
        <w:div w:id="1504052619">
          <w:marLeft w:val="0"/>
          <w:marRight w:val="0"/>
          <w:marTop w:val="0"/>
          <w:marBottom w:val="0"/>
          <w:divBdr>
            <w:top w:val="none" w:sz="0" w:space="0" w:color="auto"/>
            <w:left w:val="none" w:sz="0" w:space="0" w:color="auto"/>
            <w:bottom w:val="none" w:sz="0" w:space="0" w:color="auto"/>
            <w:right w:val="none" w:sz="0" w:space="0" w:color="auto"/>
          </w:divBdr>
        </w:div>
        <w:div w:id="1521578296">
          <w:marLeft w:val="0"/>
          <w:marRight w:val="0"/>
          <w:marTop w:val="0"/>
          <w:marBottom w:val="0"/>
          <w:divBdr>
            <w:top w:val="none" w:sz="0" w:space="0" w:color="auto"/>
            <w:left w:val="none" w:sz="0" w:space="0" w:color="auto"/>
            <w:bottom w:val="none" w:sz="0" w:space="0" w:color="auto"/>
            <w:right w:val="none" w:sz="0" w:space="0" w:color="auto"/>
          </w:divBdr>
        </w:div>
        <w:div w:id="1538082833">
          <w:marLeft w:val="0"/>
          <w:marRight w:val="0"/>
          <w:marTop w:val="0"/>
          <w:marBottom w:val="0"/>
          <w:divBdr>
            <w:top w:val="none" w:sz="0" w:space="0" w:color="auto"/>
            <w:left w:val="none" w:sz="0" w:space="0" w:color="auto"/>
            <w:bottom w:val="none" w:sz="0" w:space="0" w:color="auto"/>
            <w:right w:val="none" w:sz="0" w:space="0" w:color="auto"/>
          </w:divBdr>
        </w:div>
        <w:div w:id="1549299834">
          <w:marLeft w:val="0"/>
          <w:marRight w:val="0"/>
          <w:marTop w:val="0"/>
          <w:marBottom w:val="0"/>
          <w:divBdr>
            <w:top w:val="none" w:sz="0" w:space="0" w:color="auto"/>
            <w:left w:val="none" w:sz="0" w:space="0" w:color="auto"/>
            <w:bottom w:val="none" w:sz="0" w:space="0" w:color="auto"/>
            <w:right w:val="none" w:sz="0" w:space="0" w:color="auto"/>
          </w:divBdr>
        </w:div>
        <w:div w:id="1564219950">
          <w:marLeft w:val="0"/>
          <w:marRight w:val="0"/>
          <w:marTop w:val="0"/>
          <w:marBottom w:val="0"/>
          <w:divBdr>
            <w:top w:val="none" w:sz="0" w:space="0" w:color="auto"/>
            <w:left w:val="none" w:sz="0" w:space="0" w:color="auto"/>
            <w:bottom w:val="none" w:sz="0" w:space="0" w:color="auto"/>
            <w:right w:val="none" w:sz="0" w:space="0" w:color="auto"/>
          </w:divBdr>
        </w:div>
        <w:div w:id="1567646991">
          <w:marLeft w:val="0"/>
          <w:marRight w:val="0"/>
          <w:marTop w:val="0"/>
          <w:marBottom w:val="0"/>
          <w:divBdr>
            <w:top w:val="none" w:sz="0" w:space="0" w:color="auto"/>
            <w:left w:val="none" w:sz="0" w:space="0" w:color="auto"/>
            <w:bottom w:val="none" w:sz="0" w:space="0" w:color="auto"/>
            <w:right w:val="none" w:sz="0" w:space="0" w:color="auto"/>
          </w:divBdr>
        </w:div>
        <w:div w:id="1579512186">
          <w:marLeft w:val="0"/>
          <w:marRight w:val="0"/>
          <w:marTop w:val="0"/>
          <w:marBottom w:val="0"/>
          <w:divBdr>
            <w:top w:val="none" w:sz="0" w:space="0" w:color="auto"/>
            <w:left w:val="none" w:sz="0" w:space="0" w:color="auto"/>
            <w:bottom w:val="none" w:sz="0" w:space="0" w:color="auto"/>
            <w:right w:val="none" w:sz="0" w:space="0" w:color="auto"/>
          </w:divBdr>
        </w:div>
        <w:div w:id="1598976608">
          <w:marLeft w:val="0"/>
          <w:marRight w:val="0"/>
          <w:marTop w:val="0"/>
          <w:marBottom w:val="0"/>
          <w:divBdr>
            <w:top w:val="none" w:sz="0" w:space="0" w:color="auto"/>
            <w:left w:val="none" w:sz="0" w:space="0" w:color="auto"/>
            <w:bottom w:val="none" w:sz="0" w:space="0" w:color="auto"/>
            <w:right w:val="none" w:sz="0" w:space="0" w:color="auto"/>
          </w:divBdr>
        </w:div>
        <w:div w:id="1616911570">
          <w:marLeft w:val="0"/>
          <w:marRight w:val="0"/>
          <w:marTop w:val="0"/>
          <w:marBottom w:val="0"/>
          <w:divBdr>
            <w:top w:val="none" w:sz="0" w:space="0" w:color="auto"/>
            <w:left w:val="none" w:sz="0" w:space="0" w:color="auto"/>
            <w:bottom w:val="none" w:sz="0" w:space="0" w:color="auto"/>
            <w:right w:val="none" w:sz="0" w:space="0" w:color="auto"/>
          </w:divBdr>
        </w:div>
        <w:div w:id="1629779984">
          <w:marLeft w:val="0"/>
          <w:marRight w:val="0"/>
          <w:marTop w:val="0"/>
          <w:marBottom w:val="0"/>
          <w:divBdr>
            <w:top w:val="none" w:sz="0" w:space="0" w:color="auto"/>
            <w:left w:val="none" w:sz="0" w:space="0" w:color="auto"/>
            <w:bottom w:val="none" w:sz="0" w:space="0" w:color="auto"/>
            <w:right w:val="none" w:sz="0" w:space="0" w:color="auto"/>
          </w:divBdr>
        </w:div>
        <w:div w:id="1633755342">
          <w:marLeft w:val="0"/>
          <w:marRight w:val="0"/>
          <w:marTop w:val="0"/>
          <w:marBottom w:val="0"/>
          <w:divBdr>
            <w:top w:val="none" w:sz="0" w:space="0" w:color="auto"/>
            <w:left w:val="none" w:sz="0" w:space="0" w:color="auto"/>
            <w:bottom w:val="none" w:sz="0" w:space="0" w:color="auto"/>
            <w:right w:val="none" w:sz="0" w:space="0" w:color="auto"/>
          </w:divBdr>
        </w:div>
        <w:div w:id="1663384897">
          <w:marLeft w:val="0"/>
          <w:marRight w:val="0"/>
          <w:marTop w:val="0"/>
          <w:marBottom w:val="0"/>
          <w:divBdr>
            <w:top w:val="none" w:sz="0" w:space="0" w:color="auto"/>
            <w:left w:val="none" w:sz="0" w:space="0" w:color="auto"/>
            <w:bottom w:val="none" w:sz="0" w:space="0" w:color="auto"/>
            <w:right w:val="none" w:sz="0" w:space="0" w:color="auto"/>
          </w:divBdr>
        </w:div>
        <w:div w:id="1714576622">
          <w:marLeft w:val="0"/>
          <w:marRight w:val="0"/>
          <w:marTop w:val="0"/>
          <w:marBottom w:val="0"/>
          <w:divBdr>
            <w:top w:val="none" w:sz="0" w:space="0" w:color="auto"/>
            <w:left w:val="none" w:sz="0" w:space="0" w:color="auto"/>
            <w:bottom w:val="none" w:sz="0" w:space="0" w:color="auto"/>
            <w:right w:val="none" w:sz="0" w:space="0" w:color="auto"/>
          </w:divBdr>
        </w:div>
        <w:div w:id="1753044358">
          <w:marLeft w:val="0"/>
          <w:marRight w:val="0"/>
          <w:marTop w:val="0"/>
          <w:marBottom w:val="0"/>
          <w:divBdr>
            <w:top w:val="none" w:sz="0" w:space="0" w:color="auto"/>
            <w:left w:val="none" w:sz="0" w:space="0" w:color="auto"/>
            <w:bottom w:val="none" w:sz="0" w:space="0" w:color="auto"/>
            <w:right w:val="none" w:sz="0" w:space="0" w:color="auto"/>
          </w:divBdr>
        </w:div>
        <w:div w:id="1766153051">
          <w:marLeft w:val="0"/>
          <w:marRight w:val="0"/>
          <w:marTop w:val="0"/>
          <w:marBottom w:val="0"/>
          <w:divBdr>
            <w:top w:val="none" w:sz="0" w:space="0" w:color="auto"/>
            <w:left w:val="none" w:sz="0" w:space="0" w:color="auto"/>
            <w:bottom w:val="none" w:sz="0" w:space="0" w:color="auto"/>
            <w:right w:val="none" w:sz="0" w:space="0" w:color="auto"/>
          </w:divBdr>
        </w:div>
        <w:div w:id="1774591239">
          <w:marLeft w:val="0"/>
          <w:marRight w:val="0"/>
          <w:marTop w:val="0"/>
          <w:marBottom w:val="0"/>
          <w:divBdr>
            <w:top w:val="none" w:sz="0" w:space="0" w:color="auto"/>
            <w:left w:val="none" w:sz="0" w:space="0" w:color="auto"/>
            <w:bottom w:val="none" w:sz="0" w:space="0" w:color="auto"/>
            <w:right w:val="none" w:sz="0" w:space="0" w:color="auto"/>
          </w:divBdr>
        </w:div>
        <w:div w:id="1836191291">
          <w:marLeft w:val="0"/>
          <w:marRight w:val="0"/>
          <w:marTop w:val="0"/>
          <w:marBottom w:val="0"/>
          <w:divBdr>
            <w:top w:val="none" w:sz="0" w:space="0" w:color="auto"/>
            <w:left w:val="none" w:sz="0" w:space="0" w:color="auto"/>
            <w:bottom w:val="none" w:sz="0" w:space="0" w:color="auto"/>
            <w:right w:val="none" w:sz="0" w:space="0" w:color="auto"/>
          </w:divBdr>
        </w:div>
        <w:div w:id="1859420030">
          <w:marLeft w:val="0"/>
          <w:marRight w:val="0"/>
          <w:marTop w:val="0"/>
          <w:marBottom w:val="0"/>
          <w:divBdr>
            <w:top w:val="none" w:sz="0" w:space="0" w:color="auto"/>
            <w:left w:val="none" w:sz="0" w:space="0" w:color="auto"/>
            <w:bottom w:val="none" w:sz="0" w:space="0" w:color="auto"/>
            <w:right w:val="none" w:sz="0" w:space="0" w:color="auto"/>
          </w:divBdr>
        </w:div>
        <w:div w:id="1896046426">
          <w:marLeft w:val="0"/>
          <w:marRight w:val="0"/>
          <w:marTop w:val="0"/>
          <w:marBottom w:val="0"/>
          <w:divBdr>
            <w:top w:val="none" w:sz="0" w:space="0" w:color="auto"/>
            <w:left w:val="none" w:sz="0" w:space="0" w:color="auto"/>
            <w:bottom w:val="none" w:sz="0" w:space="0" w:color="auto"/>
            <w:right w:val="none" w:sz="0" w:space="0" w:color="auto"/>
          </w:divBdr>
        </w:div>
        <w:div w:id="1907913703">
          <w:marLeft w:val="0"/>
          <w:marRight w:val="0"/>
          <w:marTop w:val="0"/>
          <w:marBottom w:val="0"/>
          <w:divBdr>
            <w:top w:val="none" w:sz="0" w:space="0" w:color="auto"/>
            <w:left w:val="none" w:sz="0" w:space="0" w:color="auto"/>
            <w:bottom w:val="none" w:sz="0" w:space="0" w:color="auto"/>
            <w:right w:val="none" w:sz="0" w:space="0" w:color="auto"/>
          </w:divBdr>
        </w:div>
        <w:div w:id="1922134496">
          <w:marLeft w:val="0"/>
          <w:marRight w:val="0"/>
          <w:marTop w:val="0"/>
          <w:marBottom w:val="0"/>
          <w:divBdr>
            <w:top w:val="none" w:sz="0" w:space="0" w:color="auto"/>
            <w:left w:val="none" w:sz="0" w:space="0" w:color="auto"/>
            <w:bottom w:val="none" w:sz="0" w:space="0" w:color="auto"/>
            <w:right w:val="none" w:sz="0" w:space="0" w:color="auto"/>
          </w:divBdr>
        </w:div>
        <w:div w:id="1942568302">
          <w:marLeft w:val="0"/>
          <w:marRight w:val="0"/>
          <w:marTop w:val="0"/>
          <w:marBottom w:val="0"/>
          <w:divBdr>
            <w:top w:val="none" w:sz="0" w:space="0" w:color="auto"/>
            <w:left w:val="none" w:sz="0" w:space="0" w:color="auto"/>
            <w:bottom w:val="none" w:sz="0" w:space="0" w:color="auto"/>
            <w:right w:val="none" w:sz="0" w:space="0" w:color="auto"/>
          </w:divBdr>
        </w:div>
        <w:div w:id="1959332050">
          <w:marLeft w:val="0"/>
          <w:marRight w:val="0"/>
          <w:marTop w:val="0"/>
          <w:marBottom w:val="0"/>
          <w:divBdr>
            <w:top w:val="none" w:sz="0" w:space="0" w:color="auto"/>
            <w:left w:val="none" w:sz="0" w:space="0" w:color="auto"/>
            <w:bottom w:val="none" w:sz="0" w:space="0" w:color="auto"/>
            <w:right w:val="none" w:sz="0" w:space="0" w:color="auto"/>
          </w:divBdr>
        </w:div>
        <w:div w:id="1961641445">
          <w:marLeft w:val="0"/>
          <w:marRight w:val="0"/>
          <w:marTop w:val="0"/>
          <w:marBottom w:val="0"/>
          <w:divBdr>
            <w:top w:val="none" w:sz="0" w:space="0" w:color="auto"/>
            <w:left w:val="none" w:sz="0" w:space="0" w:color="auto"/>
            <w:bottom w:val="none" w:sz="0" w:space="0" w:color="auto"/>
            <w:right w:val="none" w:sz="0" w:space="0" w:color="auto"/>
          </w:divBdr>
        </w:div>
        <w:div w:id="1966499403">
          <w:marLeft w:val="0"/>
          <w:marRight w:val="0"/>
          <w:marTop w:val="0"/>
          <w:marBottom w:val="0"/>
          <w:divBdr>
            <w:top w:val="none" w:sz="0" w:space="0" w:color="auto"/>
            <w:left w:val="none" w:sz="0" w:space="0" w:color="auto"/>
            <w:bottom w:val="none" w:sz="0" w:space="0" w:color="auto"/>
            <w:right w:val="none" w:sz="0" w:space="0" w:color="auto"/>
          </w:divBdr>
        </w:div>
        <w:div w:id="1972635605">
          <w:marLeft w:val="0"/>
          <w:marRight w:val="0"/>
          <w:marTop w:val="0"/>
          <w:marBottom w:val="0"/>
          <w:divBdr>
            <w:top w:val="none" w:sz="0" w:space="0" w:color="auto"/>
            <w:left w:val="none" w:sz="0" w:space="0" w:color="auto"/>
            <w:bottom w:val="none" w:sz="0" w:space="0" w:color="auto"/>
            <w:right w:val="none" w:sz="0" w:space="0" w:color="auto"/>
          </w:divBdr>
        </w:div>
        <w:div w:id="2029090194">
          <w:marLeft w:val="0"/>
          <w:marRight w:val="0"/>
          <w:marTop w:val="0"/>
          <w:marBottom w:val="0"/>
          <w:divBdr>
            <w:top w:val="none" w:sz="0" w:space="0" w:color="auto"/>
            <w:left w:val="none" w:sz="0" w:space="0" w:color="auto"/>
            <w:bottom w:val="none" w:sz="0" w:space="0" w:color="auto"/>
            <w:right w:val="none" w:sz="0" w:space="0" w:color="auto"/>
          </w:divBdr>
        </w:div>
        <w:div w:id="2032101216">
          <w:marLeft w:val="0"/>
          <w:marRight w:val="0"/>
          <w:marTop w:val="0"/>
          <w:marBottom w:val="0"/>
          <w:divBdr>
            <w:top w:val="none" w:sz="0" w:space="0" w:color="auto"/>
            <w:left w:val="none" w:sz="0" w:space="0" w:color="auto"/>
            <w:bottom w:val="none" w:sz="0" w:space="0" w:color="auto"/>
            <w:right w:val="none" w:sz="0" w:space="0" w:color="auto"/>
          </w:divBdr>
        </w:div>
        <w:div w:id="2035619095">
          <w:marLeft w:val="0"/>
          <w:marRight w:val="0"/>
          <w:marTop w:val="0"/>
          <w:marBottom w:val="0"/>
          <w:divBdr>
            <w:top w:val="none" w:sz="0" w:space="0" w:color="auto"/>
            <w:left w:val="none" w:sz="0" w:space="0" w:color="auto"/>
            <w:bottom w:val="none" w:sz="0" w:space="0" w:color="auto"/>
            <w:right w:val="none" w:sz="0" w:space="0" w:color="auto"/>
          </w:divBdr>
        </w:div>
        <w:div w:id="2073428059">
          <w:marLeft w:val="0"/>
          <w:marRight w:val="0"/>
          <w:marTop w:val="0"/>
          <w:marBottom w:val="0"/>
          <w:divBdr>
            <w:top w:val="none" w:sz="0" w:space="0" w:color="auto"/>
            <w:left w:val="none" w:sz="0" w:space="0" w:color="auto"/>
            <w:bottom w:val="none" w:sz="0" w:space="0" w:color="auto"/>
            <w:right w:val="none" w:sz="0" w:space="0" w:color="auto"/>
          </w:divBdr>
        </w:div>
        <w:div w:id="2080472394">
          <w:marLeft w:val="0"/>
          <w:marRight w:val="0"/>
          <w:marTop w:val="0"/>
          <w:marBottom w:val="0"/>
          <w:divBdr>
            <w:top w:val="none" w:sz="0" w:space="0" w:color="auto"/>
            <w:left w:val="none" w:sz="0" w:space="0" w:color="auto"/>
            <w:bottom w:val="none" w:sz="0" w:space="0" w:color="auto"/>
            <w:right w:val="none" w:sz="0" w:space="0" w:color="auto"/>
          </w:divBdr>
        </w:div>
        <w:div w:id="2080637624">
          <w:marLeft w:val="0"/>
          <w:marRight w:val="0"/>
          <w:marTop w:val="0"/>
          <w:marBottom w:val="0"/>
          <w:divBdr>
            <w:top w:val="none" w:sz="0" w:space="0" w:color="auto"/>
            <w:left w:val="none" w:sz="0" w:space="0" w:color="auto"/>
            <w:bottom w:val="none" w:sz="0" w:space="0" w:color="auto"/>
            <w:right w:val="none" w:sz="0" w:space="0" w:color="auto"/>
          </w:divBdr>
        </w:div>
        <w:div w:id="2081556139">
          <w:marLeft w:val="0"/>
          <w:marRight w:val="0"/>
          <w:marTop w:val="0"/>
          <w:marBottom w:val="0"/>
          <w:divBdr>
            <w:top w:val="none" w:sz="0" w:space="0" w:color="auto"/>
            <w:left w:val="none" w:sz="0" w:space="0" w:color="auto"/>
            <w:bottom w:val="none" w:sz="0" w:space="0" w:color="auto"/>
            <w:right w:val="none" w:sz="0" w:space="0" w:color="auto"/>
          </w:divBdr>
        </w:div>
        <w:div w:id="2097557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2E04D-03A3-4D56-9494-017098A30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Văn phòng - Sở Tư pháp</vt:lpstr>
    </vt:vector>
  </TitlesOfParts>
  <Company>Microsoft</Company>
  <LinksUpToDate>false</LinksUpToDate>
  <CharactersWithSpaces>6539</CharactersWithSpaces>
  <SharedDoc>false</SharedDoc>
  <HLinks>
    <vt:vector size="12" baseType="variant">
      <vt:variant>
        <vt:i4>7536744</vt:i4>
      </vt:variant>
      <vt:variant>
        <vt:i4>3</vt:i4>
      </vt:variant>
      <vt:variant>
        <vt:i4>0</vt:i4>
      </vt:variant>
      <vt:variant>
        <vt:i4>5</vt:i4>
      </vt:variant>
      <vt:variant>
        <vt:lpwstr>http://sotuphap.hanoi.gov.vn/Portalview/chitietdanhba.aspx?portalid=1&amp;iddanhmuc=30</vt:lpwstr>
      </vt:variant>
      <vt:variant>
        <vt:lpwstr/>
      </vt:variant>
      <vt:variant>
        <vt:i4>7602281</vt:i4>
      </vt:variant>
      <vt:variant>
        <vt:i4>0</vt:i4>
      </vt:variant>
      <vt:variant>
        <vt:i4>0</vt:i4>
      </vt:variant>
      <vt:variant>
        <vt:i4>5</vt:i4>
      </vt:variant>
      <vt:variant>
        <vt:lpwstr>http://sotuphap.hanoi.gov.vn/Portalview/chitietdanhba.aspx?portalid=1&amp;iddanhmuc=27</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 Sở Tư pháp</dc:title>
  <dc:creator>MIC</dc:creator>
  <cp:lastModifiedBy>LINH</cp:lastModifiedBy>
  <cp:revision>2</cp:revision>
  <cp:lastPrinted>2026-05-28T08:35:00Z</cp:lastPrinted>
  <dcterms:created xsi:type="dcterms:W3CDTF">2026-07-06T09:41:00Z</dcterms:created>
  <dcterms:modified xsi:type="dcterms:W3CDTF">2026-07-06T09:41:00Z</dcterms:modified>
</cp:coreProperties>
</file>