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982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629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bookmarkStart w:id="0" w:name="_GoBack"/>
            <w:bookmarkEnd w:id="0"/>
            <w:r>
              <w:br w:type="page"/>
            </w:r>
            <w:r>
              <w:rPr>
                <w:b/>
                <w:sz w:val="26"/>
                <w:szCs w:val="28"/>
              </w:rPr>
              <w:t>HỘI ĐỒNG NHÂN DÂN</w:t>
            </w:r>
          </w:p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TỈNH KON TUM</w:t>
            </w:r>
          </w:p>
        </w:tc>
        <w:tc>
          <w:tcPr>
            <w:tcW w:w="6296" w:type="dxa"/>
            <w:vAlign w:val="center"/>
          </w:tcPr>
          <w:p>
            <w:pPr>
              <w:jc w:val="center"/>
              <w:rPr>
                <w:b/>
                <w:sz w:val="26"/>
                <w:szCs w:val="28"/>
              </w:rPr>
            </w:pPr>
            <w:r>
              <w:rPr>
                <w:b/>
                <w:sz w:val="26"/>
                <w:szCs w:val="28"/>
              </w:rPr>
              <w:t>CỘNG HÒA XÃ HỘI CHỦ NGHĨA VIỆT NAM</w:t>
            </w:r>
          </w:p>
          <w:p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</w:tc>
      </w:tr>
    </w:tbl>
    <w:p>
      <w:pPr>
        <w:spacing w:line="320" w:lineRule="exact"/>
        <w:jc w:val="center"/>
        <w:rPr>
          <w:b/>
        </w:rPr>
      </w:pPr>
      <w:r>
        <w:rPr>
          <w:b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872490</wp:posOffset>
                </wp:positionH>
                <wp:positionV relativeFrom="paragraph">
                  <wp:posOffset>34925</wp:posOffset>
                </wp:positionV>
                <wp:extent cx="609600" cy="0"/>
                <wp:effectExtent l="0" t="0" r="19050" b="19050"/>
                <wp:wrapNone/>
                <wp:docPr id="5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68.7pt;margin-top:2.75pt;height:0pt;width:48pt;z-index:251660288;mso-width-relative:page;mso-height-relative:page;" filled="f" stroked="t" coordsize="21600,21600" o:gfxdata="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eNVt3TAAAABwEAAA8AAAAAAAAAAQAgAAAAIgAA&#10;AGRycy9kb3ducmV2LnhtbFBLAQIUABQAAAAIAIdO4kBlAiYQ1AEAALIDAAAOAAAAAAAAAAEAIAAA&#10;ACI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3336925</wp:posOffset>
                </wp:positionH>
                <wp:positionV relativeFrom="paragraph">
                  <wp:posOffset>34925</wp:posOffset>
                </wp:positionV>
                <wp:extent cx="2025015" cy="0"/>
                <wp:effectExtent l="0" t="0" r="13335" b="19050"/>
                <wp:wrapNone/>
                <wp:docPr id="4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0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262.75pt;margin-top:2.75pt;height:0pt;width:159.45pt;z-index:251661312;mso-width-relative:page;mso-height-relative:page;" filled="f" stroked="t" coordsize="21600,21600" o:gfxdata="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G1pIXUAAAABwEAAA8AAAAAAAAAAQAgAAAA&#10;IgAAAGRycy9kb3ducmV2LnhtbFBLAQIUABQAAAAIAIdO4kAZN8JV1gEAALMDAAAOAAAAAAAAAAEA&#10;IAAAACM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264" w:lineRule="auto"/>
        <w:jc w:val="center"/>
        <w:rPr>
          <w:b/>
        </w:rPr>
      </w:pPr>
    </w:p>
    <w:p>
      <w:pPr>
        <w:spacing w:line="264" w:lineRule="auto"/>
        <w:jc w:val="center"/>
        <w:rPr>
          <w:b/>
        </w:rPr>
      </w:pPr>
      <w:r>
        <w:rPr>
          <w:b/>
        </w:rPr>
        <w:t>Phụ lục 10</w:t>
      </w:r>
    </w:p>
    <w:p>
      <w:pPr>
        <w:spacing w:line="264" w:lineRule="auto"/>
        <w:jc w:val="center"/>
        <w:rPr>
          <w:b/>
        </w:rPr>
      </w:pPr>
      <w:r>
        <w:rPr>
          <w:b/>
        </w:rPr>
        <w:t>PHÂN BỔ VỐN NGÂN SÁCH TRUNG ƯƠNG THỰC HIỆN DỰ ÁN 10</w:t>
      </w:r>
    </w:p>
    <w:p>
      <w:pPr>
        <w:spacing w:line="264" w:lineRule="auto"/>
        <w:jc w:val="center"/>
        <w:rPr>
          <w:b/>
        </w:rPr>
      </w:pPr>
      <w:r>
        <w:rPr>
          <w:b/>
        </w:rPr>
        <w:t>TRUYỀN THÔNG, TUYÊN TRUYỀN, VẬN ĐỘNG TRONG VÙNG ĐỒNG BÀO DÂN TỘC THIỂU SỐ VÀ MIỀN NÚI. KIỂM TRA, GIÁM SÁT, ĐÁNH GIÁ VIỆC TỔ CHỨC THỰC HIỆN CHƯƠNG TRÌNH</w:t>
      </w:r>
    </w:p>
    <w:p>
      <w:pPr>
        <w:spacing w:line="264" w:lineRule="auto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15875</wp:posOffset>
                </wp:positionV>
                <wp:extent cx="1314450" cy="0"/>
                <wp:effectExtent l="0" t="0" r="1905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0pt;margin-top:1.25pt;height:0pt;width:103.5pt;z-index:251659264;mso-width-relative:page;mso-height-relative:page;" filled="f" stroked="t" coordsize="21600,21600" o:gfxdata="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6pdkn1QAAAAcBAAAPAAAAAAAAAAEA&#10;IAAAACIAAABkcnMvZG93bnJldi54bWxQSwECFAAUAAAACACHTuJAppNMSNkBAADBAwAADgAAAAAA&#10;AAABACAAAAAkAQAAZHJzL2Uyb0RvYy54bWxQSwUGAAAAAAYABgBZAQAAb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before="120" w:after="120" w:line="264" w:lineRule="auto"/>
        <w:ind w:firstLine="544"/>
        <w:jc w:val="both"/>
        <w:rPr>
          <w:b/>
          <w:szCs w:val="28"/>
        </w:rPr>
      </w:pPr>
      <w:r>
        <w:rPr>
          <w:b/>
        </w:rPr>
        <w:t>1.</w:t>
      </w:r>
      <w:r>
        <w:t xml:space="preserve"> </w:t>
      </w:r>
      <w:r>
        <w:rPr>
          <w:b/>
        </w:rPr>
        <w:t>Tiểu Dự án 1:</w:t>
      </w:r>
      <w:r>
        <w:t xml:space="preserve"> </w:t>
      </w:r>
      <w:r>
        <w:rPr>
          <w:b/>
          <w:szCs w:val="28"/>
        </w:rPr>
        <w:t>Biểu dương, tôn vinh điển hình tiên tiến, phát huy vai trò của người có uy tín; phổ biến, giáo dục pháp luật, trợ giúp pháp lý và tuyên truyền, vận động đồng bào; truyền thông phục vụ tổ chức triển khai thực hiện Đề án Tổng thể và Chương trình mục tiêu quốc gia phát triển kinh tế- xã hội vùng dân tộc thiểu số và miền núi giai đoạn 2021-2030</w:t>
      </w:r>
    </w:p>
    <w:p>
      <w:pPr>
        <w:spacing w:before="120" w:after="120" w:line="264" w:lineRule="auto"/>
        <w:ind w:firstLine="544"/>
        <w:jc w:val="both"/>
      </w:pPr>
      <w:r>
        <w:t>1.1.</w:t>
      </w:r>
      <w:r>
        <w:rPr>
          <w:b/>
        </w:rPr>
        <w:t xml:space="preserve"> </w:t>
      </w:r>
      <w:r>
        <w:t>Phân bổ vốn đầu tư: Không.</w:t>
      </w:r>
    </w:p>
    <w:p>
      <w:pPr>
        <w:spacing w:before="120" w:after="120" w:line="264" w:lineRule="auto"/>
        <w:ind w:firstLine="544"/>
        <w:jc w:val="both"/>
      </w:pPr>
      <w:r>
        <w:t>1.2.</w:t>
      </w:r>
      <w:r>
        <w:rPr>
          <w:b/>
        </w:rPr>
        <w:t xml:space="preserve"> </w:t>
      </w:r>
      <w:r>
        <w:t xml:space="preserve">Phân bổ vốn sự nghiệp: </w:t>
      </w:r>
    </w:p>
    <w:p>
      <w:pPr>
        <w:spacing w:before="120" w:after="120" w:line="264" w:lineRule="auto"/>
        <w:ind w:firstLine="544"/>
        <w:jc w:val="both"/>
      </w:pPr>
      <w:r>
        <w:t>a) Phân bổ vốn cho sở, ban, ngành: Không quá 40,1% tổng số vốn của tiểu dự án (Ban Dân tộc không quá 36,1%, Sở Thông tin và Truyền thông không quá 3%, Sở Tư pháp không quá 1%).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Áp dụng phương pháp tính điểm theo các tiêu chí như sau: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45"/>
        <w:gridCol w:w="992"/>
        <w:gridCol w:w="993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524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điểm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thuộc vùng đồng bào dân tộc thiểu số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7,5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a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7,5 x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người có uy tín vùng đồng bào dân tộc thiểu số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1,5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b</w:t>
            </w: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1,5 x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  <w:rPr>
                <w:b/>
              </w:rPr>
            </w:pPr>
            <w:r>
              <w:rPr>
                <w:b/>
              </w:rPr>
              <w:t xml:space="preserve">Tổng cộng 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vertAlign w:val="subscript"/>
              </w:rPr>
              <w:t>k,i</w:t>
            </w:r>
          </w:p>
        </w:tc>
      </w:tr>
    </w:tbl>
    <w:p>
      <w:pPr>
        <w:spacing w:before="120" w:after="120" w:line="264" w:lineRule="auto"/>
        <w:ind w:firstLine="544"/>
        <w:jc w:val="both"/>
      </w:pPr>
      <w:r>
        <w:t>Xã thuộc vùng đồng bào dân tộc thiểu số được xác định theo Quyết định 861/QĐ-TTg và các Quyết định sửa đổi, bổ sung (nếu có).</w:t>
      </w:r>
    </w:p>
    <w:p>
      <w:pPr>
        <w:spacing w:before="120" w:after="120" w:line="264" w:lineRule="auto"/>
        <w:ind w:firstLine="544"/>
        <w:jc w:val="both"/>
        <w:rPr>
          <w:b/>
          <w:bCs/>
          <w:szCs w:val="28"/>
        </w:rPr>
      </w:pPr>
      <w:r>
        <w:rPr>
          <w:b/>
        </w:rPr>
        <w:t xml:space="preserve">2. Tiểu Dự án 2: </w:t>
      </w:r>
      <w:r>
        <w:rPr>
          <w:b/>
          <w:bCs/>
          <w:szCs w:val="28"/>
        </w:rPr>
        <w:t>Ứng dụng công nghệ thông tin hỗ trợ phát triển kinh tế - xã hội và đảm bảo an ninh trật tự vùng đồng bào dân tộc thiểu số và miền núi</w:t>
      </w:r>
    </w:p>
    <w:p>
      <w:pPr>
        <w:spacing w:before="120" w:after="120" w:line="264" w:lineRule="auto"/>
        <w:ind w:firstLine="544"/>
        <w:jc w:val="both"/>
      </w:pPr>
      <w:r>
        <w:t>2.1.</w:t>
      </w:r>
      <w:r>
        <w:rPr>
          <w:b/>
        </w:rPr>
        <w:t xml:space="preserve"> </w:t>
      </w:r>
      <w:r>
        <w:t xml:space="preserve">Phân bổ vốn đầu tư: </w:t>
      </w:r>
    </w:p>
    <w:p>
      <w:pPr>
        <w:spacing w:before="120" w:after="120" w:line="264" w:lineRule="auto"/>
        <w:ind w:firstLine="544"/>
        <w:jc w:val="both"/>
      </w:pPr>
      <w:r>
        <w:t>a) Phân bổ vốn cho sở, ban, ngành: Không quá 25% tổng số vốn của tiểu dự án (Sở Thông tin và Truyền thông không quá 15%, Liên Minh Hợp tác xã không quá 10%).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Áp dụng phương pháp tính điểm theo các tiêu chí như sau: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45"/>
        <w:gridCol w:w="992"/>
        <w:gridCol w:w="99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524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đặc biệt khó khăn thuộc vùng đồng bào dân tộc thiểu số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30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a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30 x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 xml:space="preserve">Mỗi thôn đặc biệt khó khăn không thuộc xã khu vực III </w:t>
            </w:r>
            <w:r>
              <w:rPr>
                <w:i/>
              </w:rPr>
              <w:t>(Số thôn đặc biệt khó khăn</w:t>
            </w:r>
            <w:r>
              <w:t xml:space="preserve"> </w:t>
            </w:r>
            <w:r>
              <w:rPr>
                <w:i/>
              </w:rPr>
              <w:t>được tính điểm phân bổ vốn không quá 4 thôn/xã)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0,5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b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0,5 x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  <w:rPr>
                <w:b/>
              </w:rPr>
            </w:pPr>
            <w:r>
              <w:rPr>
                <w:b/>
              </w:rPr>
              <w:t xml:space="preserve">Tổng cộng 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vertAlign w:val="subscript"/>
              </w:rPr>
              <w:t>k,i</w:t>
            </w:r>
          </w:p>
        </w:tc>
      </w:tr>
    </w:tbl>
    <w:p>
      <w:pPr>
        <w:spacing w:before="120" w:after="120" w:line="264" w:lineRule="auto"/>
        <w:ind w:firstLine="544"/>
        <w:jc w:val="both"/>
      </w:pPr>
      <w:r>
        <w:t>Xã thuộc vùng đồng bào dân tộc thiểu số được xác định theo Quyết định 861/QĐ-TTg và các Quyết định sửa đổi, bổ sung (nếu có).</w:t>
      </w:r>
    </w:p>
    <w:p>
      <w:pPr>
        <w:spacing w:before="120" w:after="120" w:line="264" w:lineRule="auto"/>
        <w:ind w:firstLine="544"/>
        <w:jc w:val="both"/>
      </w:pPr>
      <w:r>
        <w:t>2.2.</w:t>
      </w:r>
      <w:r>
        <w:rPr>
          <w:b/>
        </w:rPr>
        <w:t xml:space="preserve"> </w:t>
      </w:r>
      <w:r>
        <w:t xml:space="preserve">Phân bổ vốn sự nghiệp: </w:t>
      </w:r>
    </w:p>
    <w:p>
      <w:pPr>
        <w:spacing w:before="120" w:after="120" w:line="264" w:lineRule="auto"/>
        <w:ind w:firstLine="544"/>
        <w:jc w:val="both"/>
      </w:pPr>
      <w:r>
        <w:t>a) Phân bổ vốn cho sở, ban, ngành: Không quá 67% tổng số vốn của tiểu dự án (Ban Dân tộc không quá 50%, Sở Thông tin và Truyền thông không quá 2%, Liên Minh Hợp tác xã không quá 15%).</w:t>
      </w:r>
    </w:p>
    <w:p>
      <w:pPr>
        <w:spacing w:before="120" w:after="120" w:line="264" w:lineRule="auto"/>
        <w:ind w:firstLine="544"/>
        <w:jc w:val="both"/>
      </w:pPr>
      <w:r>
        <w:t>b) Phân bổ vốn cho các địa phương: Áp dụng phương pháp tính điểm theo các tiêu chí như sau: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45"/>
        <w:gridCol w:w="992"/>
        <w:gridCol w:w="99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524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điểm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đặc biệt khó khăn thuộc vùng đồng bào dân tộc thiểu số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30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a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30 x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 xml:space="preserve">Mỗi thôn đặc biệt khó khăn không thuộc xã khu vực III </w:t>
            </w:r>
            <w:r>
              <w:rPr>
                <w:i/>
              </w:rPr>
              <w:t>(Số thôn đặc biệt khó khăn</w:t>
            </w:r>
            <w:r>
              <w:t xml:space="preserve"> </w:t>
            </w:r>
            <w:r>
              <w:rPr>
                <w:i/>
              </w:rPr>
              <w:t>được tính điểm phân bổ vốn không quá 4 thôn/xã)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0,5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b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0,5 x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  <w:rPr>
                <w:b/>
              </w:rPr>
            </w:pPr>
            <w:r>
              <w:rPr>
                <w:b/>
              </w:rPr>
              <w:t xml:space="preserve">Tổng cộng 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vertAlign w:val="subscript"/>
              </w:rPr>
              <w:t>k,i</w:t>
            </w:r>
          </w:p>
        </w:tc>
      </w:tr>
    </w:tbl>
    <w:p>
      <w:pPr>
        <w:spacing w:before="120" w:after="120" w:line="264" w:lineRule="auto"/>
        <w:ind w:firstLine="544"/>
        <w:jc w:val="both"/>
      </w:pPr>
      <w:r>
        <w:t>Xã thuộc vùng đồng bào dân tộc thiểu số được xác định theo Quyết định 861/QĐ-TTg và các Quyết định sửa đổi, bổ sung (nếu có).</w:t>
      </w:r>
    </w:p>
    <w:p>
      <w:pPr>
        <w:pStyle w:val="9"/>
        <w:tabs>
          <w:tab w:val="left" w:pos="709"/>
        </w:tabs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</w:rPr>
        <w:t xml:space="preserve">3. Tiểu Dự án 3: </w:t>
      </w:r>
      <w:r>
        <w:rPr>
          <w:rFonts w:ascii="Times New Roman" w:hAnsi="Times New Roman" w:cs="Times New Roman"/>
          <w:sz w:val="28"/>
          <w:szCs w:val="28"/>
          <w:lang w:val="nl-NL"/>
        </w:rPr>
        <w:t>Kiểm tra, giám sát, đánh giá, đào tạo, tập huấn tổ chức thực hiện Chương trình</w:t>
      </w:r>
    </w:p>
    <w:p>
      <w:pPr>
        <w:spacing w:before="120" w:after="120" w:line="264" w:lineRule="auto"/>
        <w:ind w:firstLine="544"/>
        <w:jc w:val="both"/>
      </w:pPr>
      <w:r>
        <w:t>a)</w:t>
      </w:r>
      <w:r>
        <w:rPr>
          <w:b/>
        </w:rPr>
        <w:t xml:space="preserve"> </w:t>
      </w:r>
      <w:r>
        <w:t>Phân bổ vốn đầu tư: Không.</w:t>
      </w:r>
    </w:p>
    <w:p>
      <w:pPr>
        <w:spacing w:before="120" w:after="120" w:line="264" w:lineRule="auto"/>
        <w:ind w:firstLine="544"/>
        <w:jc w:val="both"/>
      </w:pPr>
      <w:r>
        <w:t>b) Phân bổ vốn sự nghiệp:</w:t>
      </w:r>
      <w:r>
        <w:rPr>
          <w:b/>
        </w:rPr>
        <w:t xml:space="preserve"> </w:t>
      </w:r>
    </w:p>
    <w:p>
      <w:pPr>
        <w:ind w:firstLine="544"/>
        <w:jc w:val="both"/>
        <w:rPr>
          <w:szCs w:val="28"/>
        </w:rPr>
      </w:pPr>
      <w:r>
        <w:rPr>
          <w:szCs w:val="28"/>
        </w:rPr>
        <w:t>- Phân bổ cho sở, ban, ngành: Không quá 54% tổng số vốn của tiểu dự án (Ban Dân tộc không quá 24%, Sở Nông nghiệp và Phát triển Nông thôn không quá 2%, Sở Giáo dục và Đào tạo không quá 2%, Sở Lao động Thương binh và Xã hội không quá 2%, Sở Văn hoá Thể thao và Du lịch không quá 2%, Sở Y tế không quá 1%, Sở Kế hoạch và Đầu tư không quá 1%, Sở Tài chính không quá 1%, Sở Nội vụ không quá 1%, Sở Công thương không quá 1%, Sở Thông tin và truyền thông không quá 2%, Sở Tư pháp không quá 1%, Sở Giao thông vận tải không quá 1%, Ngân hàng Nhà nước Việt Nam Chi nhánh tỉnh Kon Tum không quá 1%,  Liên Minh Hợp tác xã tỉnh không quá 1%, Công an tỉnh không quá 1%, Bộ Chỉ huy quân sự tỉnh không quá 1%; Bộ Chỉ huy biên phòng tỉnh không quá 1%, Hội Liên hiệp phụ nữ tỉnh Kon Tum không quá 2%, Uỷ ban Trung ương Mặt trận Tổ quốc Việt Nam tỉnh Kon Tum không quá 3%, Ban Dân vận Tỉnh uỷ  không quá 1%, Hội Nông dân tỉnh không quá 1%, Tỉnh đoàn không quá 1%).</w:t>
      </w:r>
    </w:p>
    <w:p>
      <w:pPr>
        <w:spacing w:before="120" w:after="120" w:line="264" w:lineRule="auto"/>
        <w:ind w:firstLine="544"/>
        <w:jc w:val="both"/>
      </w:pPr>
      <w:r>
        <w:t>- Phân bổ vốn cho các địa phương: Áp dụng phương pháp tính điểm theo các tiêu chí như sau: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5245"/>
        <w:gridCol w:w="992"/>
        <w:gridCol w:w="99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5245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Điểm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Tổng số điểm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khu vực III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5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a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5 x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khu vực II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2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b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2 x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  <w:r>
              <w:t>3</w:t>
            </w: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</w:pPr>
            <w:r>
              <w:t>Mỗi xã khu vực I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</w:t>
            </w: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c</w:t>
            </w: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</w:pPr>
            <w:r>
              <w:t>1 x 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line="264" w:lineRule="auto"/>
              <w:jc w:val="center"/>
            </w:pPr>
          </w:p>
        </w:tc>
        <w:tc>
          <w:tcPr>
            <w:tcW w:w="5245" w:type="dxa"/>
            <w:shd w:val="clear" w:color="auto" w:fill="auto"/>
          </w:tcPr>
          <w:p>
            <w:pPr>
              <w:spacing w:line="264" w:lineRule="auto"/>
              <w:jc w:val="both"/>
              <w:rPr>
                <w:b/>
              </w:rPr>
            </w:pPr>
            <w:r>
              <w:rPr>
                <w:b/>
              </w:rPr>
              <w:t>Tổng cộng điểm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383" w:type="dxa"/>
            <w:shd w:val="clear" w:color="auto" w:fill="auto"/>
            <w:vAlign w:val="center"/>
          </w:tcPr>
          <w:p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vertAlign w:val="subscript"/>
              </w:rPr>
              <w:t>k,i</w:t>
            </w:r>
          </w:p>
        </w:tc>
      </w:tr>
    </w:tbl>
    <w:p>
      <w:pPr>
        <w:spacing w:before="120" w:after="120" w:line="264" w:lineRule="auto"/>
        <w:ind w:firstLine="544"/>
        <w:jc w:val="both"/>
      </w:pPr>
      <w:r>
        <w:t>Xã khu vực I, II, III (a,b,c) được xác định theo Quyết định 861/QĐ-TTg và các Quyết định sửa đổi, bổ sung (nếu có)./.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134" w:right="851" w:bottom="1134" w:left="1701" w:header="720" w:footer="720" w:gutter="0"/>
      <w:cols w:space="720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51B"/>
    <w:rsid w:val="00003592"/>
    <w:rsid w:val="000D1CC5"/>
    <w:rsid w:val="001626DD"/>
    <w:rsid w:val="001771AD"/>
    <w:rsid w:val="001A72B0"/>
    <w:rsid w:val="001F23F5"/>
    <w:rsid w:val="001F28E8"/>
    <w:rsid w:val="00201283"/>
    <w:rsid w:val="0023773A"/>
    <w:rsid w:val="00265244"/>
    <w:rsid w:val="0027284B"/>
    <w:rsid w:val="002E6095"/>
    <w:rsid w:val="002F351D"/>
    <w:rsid w:val="002F5B97"/>
    <w:rsid w:val="003703EA"/>
    <w:rsid w:val="00371957"/>
    <w:rsid w:val="0043651B"/>
    <w:rsid w:val="00485C55"/>
    <w:rsid w:val="004A4E18"/>
    <w:rsid w:val="00573F6F"/>
    <w:rsid w:val="00597FB8"/>
    <w:rsid w:val="005C0940"/>
    <w:rsid w:val="005D05E3"/>
    <w:rsid w:val="005E6322"/>
    <w:rsid w:val="00612F86"/>
    <w:rsid w:val="006270D3"/>
    <w:rsid w:val="00646BCB"/>
    <w:rsid w:val="00661184"/>
    <w:rsid w:val="00694578"/>
    <w:rsid w:val="006A167C"/>
    <w:rsid w:val="006A710A"/>
    <w:rsid w:val="007A432A"/>
    <w:rsid w:val="008B1F98"/>
    <w:rsid w:val="008D21EF"/>
    <w:rsid w:val="009215D2"/>
    <w:rsid w:val="00930434"/>
    <w:rsid w:val="00986A14"/>
    <w:rsid w:val="009D4620"/>
    <w:rsid w:val="009E16EB"/>
    <w:rsid w:val="009F327B"/>
    <w:rsid w:val="00A250A4"/>
    <w:rsid w:val="00A40650"/>
    <w:rsid w:val="00A41D8C"/>
    <w:rsid w:val="00A52371"/>
    <w:rsid w:val="00A66F9B"/>
    <w:rsid w:val="00AC1845"/>
    <w:rsid w:val="00AF5212"/>
    <w:rsid w:val="00B00907"/>
    <w:rsid w:val="00B31876"/>
    <w:rsid w:val="00B758BE"/>
    <w:rsid w:val="00BA7BCE"/>
    <w:rsid w:val="00BC6F29"/>
    <w:rsid w:val="00BF4744"/>
    <w:rsid w:val="00C722E7"/>
    <w:rsid w:val="00D7753B"/>
    <w:rsid w:val="00D915A3"/>
    <w:rsid w:val="00DF5F49"/>
    <w:rsid w:val="00E65CDE"/>
    <w:rsid w:val="00E73ACF"/>
    <w:rsid w:val="00EB5E23"/>
    <w:rsid w:val="00ED3134"/>
    <w:rsid w:val="00ED687F"/>
    <w:rsid w:val="00EE4F3F"/>
    <w:rsid w:val="00F0447A"/>
    <w:rsid w:val="00F44963"/>
    <w:rsid w:val="00F661A7"/>
    <w:rsid w:val="00F85496"/>
    <w:rsid w:val="00FF797C"/>
    <w:rsid w:val="2DE5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6"/>
    <w:uiPriority w:val="99"/>
    <w:pPr>
      <w:tabs>
        <w:tab w:val="center" w:pos="4320"/>
        <w:tab w:val="right" w:pos="8640"/>
      </w:tabs>
    </w:pPr>
    <w:rPr>
      <w:rFonts w:eastAsia="Times New Roman"/>
      <w:sz w:val="24"/>
      <w:szCs w:val="24"/>
    </w:rPr>
  </w:style>
  <w:style w:type="character" w:customStyle="1" w:styleId="6">
    <w:name w:val="Header Char"/>
    <w:basedOn w:val="2"/>
    <w:link w:val="5"/>
    <w:uiPriority w:val="99"/>
    <w:rPr>
      <w:rFonts w:ascii="Times New Roman" w:hAnsi="Times New Roman" w:eastAsia="Times New Roman" w:cs="Times New Roman"/>
      <w:sz w:val="24"/>
      <w:szCs w:val="24"/>
    </w:rPr>
  </w:style>
  <w:style w:type="paragraph" w:customStyle="1" w:styleId="7">
    <w:name w:val="Char Char8 Char Char"/>
    <w:basedOn w:val="1"/>
    <w:semiHidden/>
    <w:uiPriority w:val="0"/>
    <w:pPr>
      <w:spacing w:after="160" w:line="240" w:lineRule="exact"/>
    </w:pPr>
    <w:rPr>
      <w:rFonts w:ascii="Arial" w:hAnsi="Arial" w:eastAsia="Times New Roman"/>
      <w:sz w:val="22"/>
    </w:rPr>
  </w:style>
  <w:style w:type="character" w:customStyle="1" w:styleId="8">
    <w:name w:val="Body text (2)_"/>
    <w:link w:val="9"/>
    <w:uiPriority w:val="0"/>
    <w:rPr>
      <w:rFonts w:eastAsia="Times New Roman"/>
      <w:b/>
      <w:bCs/>
      <w:sz w:val="26"/>
      <w:szCs w:val="26"/>
      <w:shd w:val="clear" w:color="auto" w:fill="FFFFFF"/>
    </w:rPr>
  </w:style>
  <w:style w:type="paragraph" w:customStyle="1" w:styleId="9">
    <w:name w:val="Body text (2)"/>
    <w:basedOn w:val="1"/>
    <w:link w:val="8"/>
    <w:uiPriority w:val="0"/>
    <w:pPr>
      <w:widowControl w:val="0"/>
      <w:shd w:val="clear" w:color="auto" w:fill="FFFFFF"/>
      <w:spacing w:line="0" w:lineRule="atLeast"/>
    </w:pPr>
    <w:rPr>
      <w:rFonts w:eastAsia="Times New Roman" w:asciiTheme="minorHAnsi" w:hAnsiTheme="minorHAnsi" w:cstheme="minorBidi"/>
      <w:b/>
      <w:bCs/>
      <w:sz w:val="26"/>
      <w:szCs w:val="26"/>
    </w:rPr>
  </w:style>
  <w:style w:type="character" w:customStyle="1" w:styleId="10">
    <w:name w:val="Footer Char"/>
    <w:basedOn w:val="2"/>
    <w:link w:val="4"/>
    <w:uiPriority w:val="99"/>
    <w:rPr>
      <w:rFonts w:ascii="Times New Roman" w:hAnsi="Times New Roman" w:eastAsia="Calibri" w:cs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header" Target="head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customXml" Target="../customXml/item4.xml"/><Relationship Id="rId6" Type="http://schemas.openxmlformats.org/officeDocument/2006/relationships/header" Target="header2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header" Target="header1.xml"/><Relationship Id="rId15" Type="http://schemas.openxmlformats.org/officeDocument/2006/relationships/customXml" Target="../customXml/item3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4" Type="http://schemas.openxmlformats.org/officeDocument/2006/relationships/endnotes" Target="endnotes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BE6ACFE-4721-4BE0-B80B-35D62D0DF0D7}"/>
</file>

<file path=customXml/itemProps3.xml><?xml version="1.0" encoding="utf-8"?>
<ds:datastoreItem xmlns:ds="http://schemas.openxmlformats.org/officeDocument/2006/customXml" ds:itemID="{A7A3CC73-C8C0-4A70-8792-C7C6CE862E92}"/>
</file>

<file path=customXml/itemProps4.xml><?xml version="1.0" encoding="utf-8"?>
<ds:datastoreItem xmlns:ds="http://schemas.openxmlformats.org/officeDocument/2006/customXml" ds:itemID="{77994A32-F063-4854-AF24-D5DA4BFCED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653</Words>
  <Characters>3728</Characters>
  <Lines>31</Lines>
  <Paragraphs>8</Paragraphs>
  <TotalTime>0</TotalTime>
  <ScaleCrop>false</ScaleCrop>
  <LinksUpToDate>false</LinksUpToDate>
  <CharactersWithSpaces>4373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trangvo</cp:lastModifiedBy>
  <cp:revision>4</cp:revision>
  <cp:lastPrinted>2022-06-24T06:52:00Z</cp:lastPrinted>
  <dcterms:created xsi:type="dcterms:W3CDTF">2022-06-22T22:31:00Z</dcterms:created>
  <dcterms:modified xsi:type="dcterms:W3CDTF">2022-06-27T02:32:55Z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05B8E681F7804F7F842DC88362D60225</vt:lpwstr>
  </property>
</Properties>
</file>