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5"/>
        <w:gridCol w:w="5861"/>
      </w:tblGrid>
      <w:tr>
        <w:trPr>
          <w:trHeight w:val="679" w:hRule="atLeast"/>
        </w:trPr>
        <w:tc>
          <w:tcPr>
            <w:tcW w:w="3365" w:type="dxa"/>
          </w:tcPr>
          <w:p>
            <w:pPr>
              <w:pStyle w:val="TableParagraph"/>
              <w:ind w:left="86" w:firstLine="203"/>
              <w:rPr>
                <w:b/>
                <w:sz w:val="26"/>
              </w:rPr>
            </w:pPr>
            <w:r>
              <w:rPr>
                <w:b/>
                <w:sz w:val="26"/>
              </w:rPr>
              <w:t>ỦY BAN NHÂN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z w:val="26"/>
              </w:rPr>
              <w:t> THÀNH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ĐÀ</w:t>
            </w:r>
            <w:r>
              <w:rPr>
                <w:b/>
                <w:spacing w:val="-14"/>
                <w:sz w:val="26"/>
              </w:rPr>
              <w:t> </w:t>
            </w:r>
            <w:r>
              <w:rPr>
                <w:b/>
                <w:sz w:val="26"/>
              </w:rPr>
              <w:t>NẴNG</w:t>
            </w:r>
          </w:p>
        </w:tc>
        <w:tc>
          <w:tcPr>
            <w:tcW w:w="5861" w:type="dxa"/>
          </w:tcPr>
          <w:p>
            <w:pPr>
              <w:pStyle w:val="TableParagraph"/>
              <w:spacing w:line="287" w:lineRule="exact"/>
              <w:ind w:left="349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/>
              <w:ind w:left="34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>
        <w:trPr>
          <w:trHeight w:val="485" w:hRule="atLeast"/>
        </w:trPr>
        <w:tc>
          <w:tcPr>
            <w:tcW w:w="3365" w:type="dxa"/>
          </w:tcPr>
          <w:p>
            <w:pPr>
              <w:pStyle w:val="TableParagraph"/>
              <w:spacing w:line="20" w:lineRule="exact"/>
              <w:ind w:left="7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0" cy="9525"/>
                      <wp:effectExtent l="9525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914400" cy="9525"/>
                                <a:chExt cx="91440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2pt;height:.75pt;mso-position-horizontal-relative:char;mso-position-vertical-relative:line" id="docshapegroup1" coordorigin="0,0" coordsize="1440,15">
                      <v:line style="position:absolute" from="0,8" to="1440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21" w:lineRule="exact" w:before="146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52"/>
                <w:w w:val="150"/>
                <w:sz w:val="26"/>
              </w:rPr>
              <w:t> </w:t>
            </w:r>
            <w:r>
              <w:rPr>
                <w:sz w:val="28"/>
              </w:rPr>
              <w:t>112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861" w:type="dxa"/>
          </w:tcPr>
          <w:p>
            <w:pPr>
              <w:pStyle w:val="TableParagraph"/>
              <w:spacing w:line="20" w:lineRule="exact"/>
              <w:ind w:left="14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03120" cy="9525"/>
                      <wp:effectExtent l="9525" t="0" r="1905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03120" cy="9525"/>
                                <a:chExt cx="210312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03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3120" h="0">
                                      <a:moveTo>
                                        <a:pt x="0" y="0"/>
                                      </a:moveTo>
                                      <a:lnTo>
                                        <a:pt x="210311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5.6pt;height:.75pt;mso-position-horizontal-relative:char;mso-position-vertical-relative:line" id="docshapegroup2" coordorigin="0,0" coordsize="3312,15">
                      <v:line style="position:absolute" from="0,8" to="3312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02" w:lineRule="exact" w:before="143"/>
              <w:ind w:left="349" w:right="4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Đà</w:t>
            </w:r>
            <w:r>
              <w:rPr>
                <w:i/>
                <w:spacing w:val="2"/>
                <w:sz w:val="28"/>
              </w:rPr>
              <w:t> </w:t>
            </w:r>
            <w:r>
              <w:rPr>
                <w:i/>
                <w:sz w:val="28"/>
              </w:rPr>
              <w:t>Nẵng,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3"/>
                <w:sz w:val="28"/>
              </w:rPr>
              <w:t> </w:t>
            </w:r>
            <w:r>
              <w:rPr>
                <w:i/>
                <w:position w:val="-1"/>
                <w:sz w:val="28"/>
              </w:rPr>
              <w:t>11</w:t>
            </w:r>
            <w:r>
              <w:rPr>
                <w:i/>
                <w:spacing w:val="-12"/>
                <w:position w:val="-1"/>
                <w:sz w:val="28"/>
              </w:rPr>
              <w:t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position w:val="-1"/>
                <w:sz w:val="28"/>
              </w:rPr>
              <w:t>7</w:t>
            </w:r>
            <w:r>
              <w:rPr>
                <w:i/>
                <w:spacing w:val="51"/>
                <w:position w:val="-1"/>
                <w:sz w:val="28"/>
              </w:rPr>
              <w:t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1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>
      <w:pPr>
        <w:spacing w:line="240" w:lineRule="auto" w:before="81"/>
        <w:rPr>
          <w:sz w:val="28"/>
        </w:rPr>
      </w:pPr>
    </w:p>
    <w:p>
      <w:pPr>
        <w:pStyle w:val="Heading1"/>
        <w:spacing w:line="322" w:lineRule="exact"/>
        <w:ind w:left="2002" w:right="2310"/>
        <w:jc w:val="center"/>
      </w:pPr>
      <w:r>
        <w:rPr/>
        <w:t>QUYẾT</w:t>
      </w:r>
      <w:r>
        <w:rPr>
          <w:spacing w:val="-7"/>
        </w:rPr>
        <w:t> </w:t>
      </w:r>
      <w:r>
        <w:rPr>
          <w:spacing w:val="-4"/>
        </w:rPr>
        <w:t>ĐỊNH</w:t>
      </w:r>
    </w:p>
    <w:p>
      <w:pPr>
        <w:spacing w:before="0"/>
        <w:ind w:left="2002" w:right="2301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Về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việc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ban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hành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khung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giá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cho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thuê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nhà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ở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vụ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trên địa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bàn thành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phố Đà Nẵng</w:t>
      </w:r>
    </w:p>
    <w:p>
      <w:pPr>
        <w:spacing w:line="240" w:lineRule="auto" w:before="173"/>
        <w:rPr>
          <w:b/>
          <w:sz w:val="28"/>
        </w:rPr>
      </w:pPr>
    </w:p>
    <w:p>
      <w:pPr>
        <w:pStyle w:val="BodyText"/>
        <w:spacing w:line="278" w:lineRule="auto" w:before="0"/>
        <w:ind w:right="430"/>
      </w:pPr>
      <w:r>
        <w:rPr/>
        <w:t>Căn cứ Luật Tổ chức chính quyền địa phương số 72/2025/QH15 ngày 1</w:t>
      </w:r>
      <w:r>
        <w:rPr/>
        <w:t>6</w:t>
      </w:r>
      <w:r>
        <w:rPr/>
        <w:t> tháng 6 năm 2025;</w:t>
      </w:r>
    </w:p>
    <w:p>
      <w:pPr>
        <w:pStyle w:val="BodyText"/>
        <w:spacing w:line="276" w:lineRule="auto" w:before="116"/>
        <w:ind w:right="422"/>
      </w:pPr>
      <w:r>
        <w:rPr/>
        <w:t>Căn cứ Luật Ban hành văn bản quy phạm pháp luật số 64/2025/QH15 ngà</w:t>
      </w:r>
      <w:r>
        <w:rPr/>
        <w:t>y</w:t>
      </w:r>
      <w:r>
        <w:rPr/>
        <w:t> 19 tháng 02 năm 2025 được sửa đổi, bổ sung bởi Luật số 87/2025/QH15 ngày</w:t>
      </w:r>
      <w:r>
        <w:rPr>
          <w:spacing w:val="-1"/>
        </w:rPr>
        <w:t> </w:t>
      </w:r>
      <w:r>
        <w:rPr/>
        <w:t>25</w:t>
      </w:r>
      <w:r>
        <w:rPr/>
        <w:t> tháng 6 năm 2025;</w:t>
      </w:r>
    </w:p>
    <w:p>
      <w:pPr>
        <w:pStyle w:val="BodyText"/>
        <w:spacing w:line="276" w:lineRule="auto"/>
        <w:ind w:right="421"/>
      </w:pPr>
      <w:r>
        <w:rPr/>
        <w:t>Căn cứ Luật Nhà ở số 27/2023/QH15 ngày 27 tháng 11 năm 2023 được sử</w:t>
      </w:r>
      <w:r>
        <w:rPr/>
        <w:t>a</w:t>
      </w:r>
      <w:r>
        <w:rPr/>
        <w:t> đổi, bổ sung bởi Luật số 43/2024/QH15 ngày 29 tháng 6 năm 2024;</w:t>
      </w:r>
    </w:p>
    <w:p>
      <w:pPr>
        <w:pStyle w:val="BodyText"/>
        <w:spacing w:line="276" w:lineRule="auto" w:before="119"/>
        <w:ind w:right="420"/>
      </w:pPr>
      <w:r>
        <w:rPr/>
        <w:t>Căn cứ Nghị định số 78/2025/NĐ-CP ngày 01 tháng 4 năm 2025 của Chín</w:t>
      </w:r>
      <w:r>
        <w:rPr/>
        <w:t>h</w:t>
      </w:r>
      <w:r>
        <w:rPr/>
        <w:t> phủ Quy định chi tiết một số điều và biện pháp để tổ chức, hướng dẫn thi hà</w:t>
      </w:r>
      <w:r>
        <w:rPr/>
        <w:t>nh</w:t>
      </w:r>
      <w:r>
        <w:rPr/>
        <w:t> Luật Ban hành văn bản quy phạm pháp luật được sửa đổi, bổ sung bởi Nghị </w:t>
      </w:r>
      <w:r>
        <w:rPr/>
        <w:t>định</w:t>
      </w:r>
      <w:r>
        <w:rPr/>
        <w:t> số 187/2025/NĐ-CP ngày 01 tháng 7 năm 2025 của Chính phủ;</w:t>
      </w:r>
    </w:p>
    <w:p>
      <w:pPr>
        <w:pStyle w:val="BodyText"/>
        <w:spacing w:line="278" w:lineRule="auto"/>
        <w:ind w:right="424"/>
      </w:pPr>
      <w:r>
        <w:rPr/>
        <w:t>Căn cứ Nghị định số 95/2024/NĐ-CP ngày 24 tháng 7 năm 2024 của Chín</w:t>
      </w:r>
      <w:r>
        <w:rPr/>
        <w:t>h</w:t>
      </w:r>
      <w:r>
        <w:rPr/>
        <w:t> phủ Quy định chi tiết một số điều của Luật Nhà ở;</w:t>
      </w:r>
    </w:p>
    <w:p>
      <w:pPr>
        <w:pStyle w:val="BodyText"/>
        <w:spacing w:line="276" w:lineRule="auto" w:before="114"/>
        <w:ind w:right="421"/>
      </w:pPr>
      <w:r>
        <w:rPr/>
        <w:t>Căn cứ Nghị định số 54/2026/NĐ-CP ngày 09 tháng 02 năm 2026 củ</w:t>
      </w:r>
      <w:r>
        <w:rPr/>
        <w:t>a</w:t>
      </w:r>
      <w:r>
        <w:rPr>
          <w:spacing w:val="80"/>
        </w:rPr>
        <w:t> </w:t>
      </w:r>
      <w:r>
        <w:rPr/>
        <w:t>Chính phủ về Sửa đổi, bổ sung một số điều của các Nghị định trong lĩnh vực n</w:t>
      </w:r>
      <w:r>
        <w:rPr/>
        <w:t>hà</w:t>
      </w:r>
      <w:r>
        <w:rPr/>
        <w:t> ở, kinh doanh bất động sản;</w:t>
      </w:r>
    </w:p>
    <w:p>
      <w:pPr>
        <w:pStyle w:val="BodyText"/>
        <w:spacing w:line="276" w:lineRule="auto" w:before="121"/>
        <w:ind w:right="419"/>
      </w:pPr>
      <w:r>
        <w:rPr/>
        <w:t>Theo</w:t>
      </w:r>
      <w:r>
        <w:rPr>
          <w:spacing w:val="-1"/>
        </w:rPr>
        <w:t> </w:t>
      </w:r>
      <w:r>
        <w:rPr/>
        <w:t>đề</w:t>
      </w:r>
      <w:r>
        <w:rPr>
          <w:spacing w:val="-2"/>
        </w:rPr>
        <w:t> </w:t>
      </w:r>
      <w:r>
        <w:rPr/>
        <w:t>nghị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Giám</w:t>
      </w:r>
      <w:r>
        <w:rPr>
          <w:spacing w:val="-3"/>
        </w:rPr>
        <w:t> </w:t>
      </w:r>
      <w:r>
        <w:rPr/>
        <w:t>đốc</w:t>
      </w:r>
      <w:r>
        <w:rPr>
          <w:spacing w:val="-2"/>
        </w:rPr>
        <w:t> </w:t>
      </w:r>
      <w:r>
        <w:rPr/>
        <w:t>Sở</w:t>
      </w:r>
      <w:r>
        <w:rPr>
          <w:spacing w:val="-3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Tờ</w:t>
      </w:r>
      <w:r>
        <w:rPr>
          <w:spacing w:val="-4"/>
        </w:rPr>
        <w:t> </w:t>
      </w:r>
      <w:r>
        <w:rPr/>
        <w:t>trình</w:t>
      </w:r>
      <w:r>
        <w:rPr>
          <w:spacing w:val="-2"/>
        </w:rPr>
        <w:t> </w:t>
      </w:r>
      <w:r>
        <w:rPr/>
        <w:t>số 8279/TTr-SXD</w:t>
      </w:r>
      <w:r>
        <w:rPr>
          <w:spacing w:val="-3"/>
        </w:rPr>
        <w:t> </w:t>
      </w:r>
      <w:r>
        <w:rPr/>
        <w:t>ngà</w:t>
      </w:r>
      <w:r>
        <w:rPr/>
        <w:t>y</w:t>
      </w:r>
      <w:r>
        <w:rPr/>
        <w:t> 19/5/2026, Công văn số 10873/SXD-QLN ngày 20/6/2026 và trên cơ sở ý kiế</w:t>
      </w:r>
      <w:r>
        <w:rPr/>
        <w:t>n</w:t>
      </w:r>
      <w:r>
        <w:rPr/>
        <w:t> thống nhất của các Thành viên UBND thành phố Đà Nẵng (tại Công văn </w:t>
      </w:r>
      <w:r>
        <w:rPr/>
        <w:t>số</w:t>
      </w:r>
      <w:r>
        <w:rPr/>
        <w:t> 5041/VP-ĐTĐT ngày 25/5/2026 của Văn phòng UBND thành phố);</w:t>
      </w:r>
    </w:p>
    <w:p>
      <w:pPr>
        <w:pStyle w:val="BodyText"/>
        <w:spacing w:line="276" w:lineRule="auto"/>
        <w:ind w:right="419"/>
      </w:pPr>
      <w:r>
        <w:rPr/>
        <w:t>UBND thành phố ban hành Quyết định về việc ban hành khung giá cho th</w:t>
      </w:r>
      <w:r>
        <w:rPr/>
        <w:t>uê</w:t>
      </w:r>
      <w:r>
        <w:rPr/>
        <w:t> nhà ở công vụ trên địa bàn thành phố Đà Nẵng.</w:t>
      </w:r>
    </w:p>
    <w:p>
      <w:pPr>
        <w:pStyle w:val="Heading1"/>
        <w:spacing w:before="126"/>
        <w:jc w:val="both"/>
      </w:pPr>
      <w:r>
        <w:rPr/>
        <w:t>Điều</w:t>
      </w:r>
      <w:r>
        <w:rPr>
          <w:spacing w:val="-6"/>
        </w:rPr>
        <w:t> </w:t>
      </w:r>
      <w:r>
        <w:rPr/>
        <w:t>1.</w:t>
      </w:r>
      <w:r>
        <w:rPr>
          <w:spacing w:val="-3"/>
        </w:rPr>
        <w:t> </w:t>
      </w:r>
      <w:r>
        <w:rPr/>
        <w:t>Phạm</w:t>
      </w:r>
      <w:r>
        <w:rPr>
          <w:spacing w:val="-6"/>
        </w:rPr>
        <w:t> </w:t>
      </w:r>
      <w:r>
        <w:rPr/>
        <w:t>vi</w:t>
      </w:r>
      <w:r>
        <w:rPr>
          <w:spacing w:val="-1"/>
        </w:rPr>
        <w:t> </w:t>
      </w:r>
      <w:r>
        <w:rPr/>
        <w:t>điều</w:t>
      </w:r>
      <w:r>
        <w:rPr>
          <w:spacing w:val="-2"/>
        </w:rPr>
        <w:t> chỉnh</w:t>
      </w:r>
    </w:p>
    <w:p>
      <w:pPr>
        <w:pStyle w:val="ListParagraph"/>
        <w:numPr>
          <w:ilvl w:val="0"/>
          <w:numId w:val="1"/>
        </w:numPr>
        <w:tabs>
          <w:tab w:pos="1009" w:val="left" w:leader="none"/>
        </w:tabs>
        <w:spacing w:line="276" w:lineRule="auto" w:before="163" w:after="0"/>
        <w:ind w:left="143" w:right="419" w:firstLine="566"/>
        <w:jc w:val="both"/>
        <w:rPr>
          <w:sz w:val="28"/>
        </w:rPr>
      </w:pPr>
      <w:r>
        <w:rPr>
          <w:sz w:val="28"/>
        </w:rPr>
        <w:t>Quyết định này quy định khung giá cho thuê nhà ở công vụ trên địa b</w:t>
      </w:r>
      <w:r>
        <w:rPr>
          <w:sz w:val="28"/>
        </w:rPr>
        <w:t>àn</w:t>
      </w:r>
      <w:r>
        <w:rPr>
          <w:sz w:val="28"/>
        </w:rPr>
        <w:t> thành phố Đà Nẵng theo Điều 31 Nghị định số 95/2024/NĐ-CP ngày 24 tháng </w:t>
      </w:r>
      <w:r>
        <w:rPr>
          <w:sz w:val="28"/>
        </w:rPr>
        <w:t>7</w:t>
      </w:r>
      <w:r>
        <w:rPr>
          <w:sz w:val="28"/>
        </w:rPr>
        <w:t> năm 2024 của Chính phủ.</w:t>
      </w:r>
    </w:p>
    <w:p>
      <w:pPr>
        <w:pStyle w:val="ListParagraph"/>
        <w:numPr>
          <w:ilvl w:val="0"/>
          <w:numId w:val="1"/>
        </w:numPr>
        <w:tabs>
          <w:tab w:pos="994" w:val="left" w:leader="none"/>
        </w:tabs>
        <w:spacing w:line="276" w:lineRule="auto" w:before="121" w:after="0"/>
        <w:ind w:left="143" w:right="431" w:firstLine="566"/>
        <w:jc w:val="both"/>
        <w:rPr>
          <w:sz w:val="28"/>
        </w:rPr>
      </w:pPr>
      <w:r>
        <w:rPr>
          <w:sz w:val="28"/>
        </w:rPr>
        <w:t>Những nội dung không quy định tại Quyết định này thì thực hiện theo c</w:t>
      </w:r>
      <w:r>
        <w:rPr>
          <w:sz w:val="28"/>
        </w:rPr>
        <w:t>ác</w:t>
      </w:r>
      <w:r>
        <w:rPr>
          <w:sz w:val="28"/>
        </w:rPr>
        <w:t> quy định của pháp luật hiện hành.</w:t>
      </w:r>
    </w:p>
    <w:p>
      <w:pPr>
        <w:pStyle w:val="ListParagraph"/>
        <w:spacing w:after="0" w:line="276" w:lineRule="auto"/>
        <w:jc w:val="both"/>
        <w:rPr>
          <w:sz w:val="28"/>
        </w:rPr>
        <w:sectPr>
          <w:type w:val="continuous"/>
          <w:pgSz w:w="11910" w:h="16850"/>
          <w:pgMar w:top="1120" w:bottom="280" w:left="1559" w:right="566"/>
        </w:sectPr>
      </w:pPr>
    </w:p>
    <w:p>
      <w:pPr>
        <w:spacing w:before="77"/>
        <w:ind w:left="2002" w:right="2312" w:firstLine="0"/>
        <w:jc w:val="center"/>
        <w:rPr>
          <w:sz w:val="24"/>
        </w:rPr>
      </w:pPr>
      <w:r>
        <w:rPr>
          <w:spacing w:val="-10"/>
          <w:sz w:val="24"/>
        </w:rPr>
        <w:t>2</w:t>
      </w:r>
    </w:p>
    <w:p>
      <w:pPr>
        <w:spacing w:line="240" w:lineRule="auto" w:before="20"/>
        <w:rPr>
          <w:sz w:val="24"/>
        </w:rPr>
      </w:pP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2.</w:t>
      </w:r>
      <w:r>
        <w:rPr>
          <w:spacing w:val="-4"/>
        </w:rPr>
        <w:t> </w:t>
      </w:r>
      <w:r>
        <w:rPr/>
        <w:t>Đối</w:t>
      </w:r>
      <w:r>
        <w:rPr>
          <w:spacing w:val="-2"/>
        </w:rPr>
        <w:t> </w:t>
      </w:r>
      <w:r>
        <w:rPr/>
        <w:t>tượng</w:t>
      </w:r>
      <w:r>
        <w:rPr>
          <w:spacing w:val="-2"/>
        </w:rPr>
        <w:t> </w:t>
      </w:r>
      <w:r>
        <w:rPr/>
        <w:t>áp</w:t>
      </w:r>
      <w:r>
        <w:rPr>
          <w:spacing w:val="-2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2"/>
        </w:numPr>
        <w:tabs>
          <w:tab w:pos="988" w:val="left" w:leader="none"/>
        </w:tabs>
        <w:spacing w:line="240" w:lineRule="auto" w:before="165" w:after="0"/>
        <w:ind w:left="988" w:right="0" w:hanging="279"/>
        <w:jc w:val="left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5"/>
          <w:sz w:val="28"/>
        </w:rPr>
        <w:t> </w:t>
      </w:r>
      <w:r>
        <w:rPr>
          <w:sz w:val="28"/>
        </w:rPr>
        <w:t>quan,</w:t>
      </w:r>
      <w:r>
        <w:rPr>
          <w:spacing w:val="-6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quản</w:t>
      </w:r>
      <w:r>
        <w:rPr>
          <w:spacing w:val="-1"/>
          <w:sz w:val="28"/>
        </w:rPr>
        <w:t> </w:t>
      </w:r>
      <w:r>
        <w:rPr>
          <w:sz w:val="28"/>
        </w:rPr>
        <w:t>lý,</w:t>
      </w:r>
      <w:r>
        <w:rPr>
          <w:spacing w:val="-4"/>
          <w:sz w:val="28"/>
        </w:rPr>
        <w:t> </w:t>
      </w:r>
      <w:r>
        <w:rPr>
          <w:sz w:val="28"/>
        </w:rPr>
        <w:t>vận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nhà</w:t>
      </w:r>
      <w:r>
        <w:rPr>
          <w:spacing w:val="-2"/>
          <w:sz w:val="28"/>
        </w:rPr>
        <w:t> </w:t>
      </w:r>
      <w:r>
        <w:rPr>
          <w:sz w:val="28"/>
        </w:rPr>
        <w:t>ở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5"/>
          <w:sz w:val="28"/>
        </w:rPr>
        <w:t> vụ.</w:t>
      </w:r>
    </w:p>
    <w:p>
      <w:pPr>
        <w:pStyle w:val="ListParagraph"/>
        <w:numPr>
          <w:ilvl w:val="0"/>
          <w:numId w:val="2"/>
        </w:numPr>
        <w:tabs>
          <w:tab w:pos="988" w:val="left" w:leader="none"/>
        </w:tabs>
        <w:spacing w:line="240" w:lineRule="auto" w:before="168" w:after="0"/>
        <w:ind w:left="988" w:right="0" w:hanging="279"/>
        <w:jc w:val="left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4"/>
          <w:sz w:val="28"/>
        </w:rPr>
        <w:t> </w:t>
      </w:r>
      <w:r>
        <w:rPr>
          <w:sz w:val="28"/>
        </w:rPr>
        <w:t>cá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5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đến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pacing w:val="-6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nhà</w:t>
      </w:r>
      <w:r>
        <w:rPr>
          <w:spacing w:val="-3"/>
          <w:sz w:val="28"/>
        </w:rPr>
        <w:t> </w:t>
      </w:r>
      <w:r>
        <w:rPr>
          <w:sz w:val="28"/>
        </w:rPr>
        <w:t>ở</w:t>
      </w:r>
      <w:r>
        <w:rPr>
          <w:spacing w:val="-2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vụ.</w:t>
      </w:r>
    </w:p>
    <w:p>
      <w:pPr>
        <w:pStyle w:val="Heading1"/>
        <w:spacing w:line="278" w:lineRule="auto" w:before="172"/>
        <w:ind w:left="143" w:firstLine="566"/>
      </w:pPr>
      <w:r>
        <w:rPr/>
        <w:t>Điều</w:t>
      </w:r>
      <w:r>
        <w:rPr>
          <w:spacing w:val="23"/>
        </w:rPr>
        <w:t> </w:t>
      </w:r>
      <w:r>
        <w:rPr/>
        <w:t>3. Khung</w:t>
      </w:r>
      <w:r>
        <w:rPr>
          <w:spacing w:val="24"/>
        </w:rPr>
        <w:t> </w:t>
      </w:r>
      <w:r>
        <w:rPr/>
        <w:t>giá cho</w:t>
      </w:r>
      <w:r>
        <w:rPr>
          <w:spacing w:val="24"/>
        </w:rPr>
        <w:t> </w:t>
      </w:r>
      <w:r>
        <w:rPr/>
        <w:t>thuê</w:t>
      </w:r>
      <w:r>
        <w:rPr>
          <w:spacing w:val="23"/>
        </w:rPr>
        <w:t> </w:t>
      </w:r>
      <w:r>
        <w:rPr/>
        <w:t>nhà</w:t>
      </w:r>
      <w:r>
        <w:rPr>
          <w:spacing w:val="24"/>
        </w:rPr>
        <w:t> </w:t>
      </w:r>
      <w:r>
        <w:rPr/>
        <w:t>ở</w:t>
      </w:r>
      <w:r>
        <w:rPr>
          <w:spacing w:val="24"/>
        </w:rPr>
        <w:t> </w:t>
      </w:r>
      <w:r>
        <w:rPr/>
        <w:t>công</w:t>
      </w:r>
      <w:r>
        <w:rPr>
          <w:spacing w:val="24"/>
        </w:rPr>
        <w:t> </w:t>
      </w:r>
      <w:r>
        <w:rPr/>
        <w:t>vụ</w:t>
      </w:r>
      <w:r>
        <w:rPr>
          <w:spacing w:val="23"/>
        </w:rPr>
        <w:t> </w:t>
      </w:r>
      <w:r>
        <w:rPr/>
        <w:t>trên</w:t>
      </w:r>
      <w:r>
        <w:rPr>
          <w:spacing w:val="24"/>
        </w:rPr>
        <w:t> </w:t>
      </w:r>
      <w:r>
        <w:rPr/>
        <w:t>địa</w:t>
      </w:r>
      <w:r>
        <w:rPr>
          <w:spacing w:val="24"/>
        </w:rPr>
        <w:t> </w:t>
      </w:r>
      <w:r>
        <w:rPr/>
        <w:t>bàn</w:t>
      </w:r>
      <w:r>
        <w:rPr>
          <w:spacing w:val="23"/>
        </w:rPr>
        <w:t> </w:t>
      </w:r>
      <w:r>
        <w:rPr/>
        <w:t>thành</w:t>
      </w:r>
      <w:r>
        <w:rPr>
          <w:spacing w:val="23"/>
        </w:rPr>
        <w:t> </w:t>
      </w:r>
      <w:r>
        <w:rPr/>
        <w:t>phố</w:t>
      </w:r>
      <w:r>
        <w:rPr>
          <w:spacing w:val="24"/>
        </w:rPr>
        <w:t> </w:t>
      </w:r>
      <w:r>
        <w:rPr/>
        <w:t>Đ</w:t>
      </w:r>
      <w:r>
        <w:rPr/>
        <w:t>à</w:t>
      </w:r>
      <w:r>
        <w:rPr/>
        <w:t> </w:t>
      </w:r>
      <w:r>
        <w:rPr>
          <w:spacing w:val="-4"/>
        </w:rPr>
        <w:t>Nẵng</w:t>
      </w:r>
    </w:p>
    <w:tbl>
      <w:tblPr>
        <w:tblW w:w="0" w:type="auto"/>
        <w:jc w:val="left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6"/>
        <w:gridCol w:w="4361"/>
        <w:gridCol w:w="2409"/>
        <w:gridCol w:w="2070"/>
      </w:tblGrid>
      <w:tr>
        <w:trPr>
          <w:trHeight w:val="861" w:hRule="atLeast"/>
        </w:trPr>
        <w:tc>
          <w:tcPr>
            <w:tcW w:w="746" w:type="dxa"/>
          </w:tcPr>
          <w:p>
            <w:pPr>
              <w:pStyle w:val="TableParagraph"/>
              <w:spacing w:before="299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STT</w:t>
            </w:r>
          </w:p>
        </w:tc>
        <w:tc>
          <w:tcPr>
            <w:tcW w:w="4361" w:type="dxa"/>
          </w:tcPr>
          <w:p>
            <w:pPr>
              <w:pStyle w:val="TableParagraph"/>
              <w:spacing w:before="299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Loại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nhà</w:t>
            </w:r>
          </w:p>
        </w:tc>
        <w:tc>
          <w:tcPr>
            <w:tcW w:w="2409" w:type="dxa"/>
          </w:tcPr>
          <w:p>
            <w:pPr>
              <w:pStyle w:val="TableParagraph"/>
              <w:spacing w:line="370" w:lineRule="atLeast" w:before="67"/>
              <w:ind w:left="212" w:right="221" w:hanging="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Giá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thuê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tối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thiể</w:t>
            </w:r>
            <w:r>
              <w:rPr>
                <w:b/>
                <w:spacing w:val="-2"/>
                <w:sz w:val="28"/>
              </w:rPr>
              <w:t>u</w:t>
            </w:r>
            <w:r>
              <w:rPr>
                <w:b/>
                <w:spacing w:val="-2"/>
                <w:sz w:val="28"/>
              </w:rPr>
              <w:t> (đồng/m</w:t>
            </w:r>
            <w:r>
              <w:rPr>
                <w:b/>
                <w:spacing w:val="-2"/>
                <w:sz w:val="28"/>
                <w:vertAlign w:val="superscript"/>
              </w:rPr>
              <w:t>2</w:t>
            </w:r>
            <w:r>
              <w:rPr>
                <w:b/>
                <w:spacing w:val="-2"/>
                <w:sz w:val="28"/>
                <w:vertAlign w:val="baseline"/>
              </w:rPr>
              <w:t>/tháng)</w:t>
            </w:r>
          </w:p>
        </w:tc>
        <w:tc>
          <w:tcPr>
            <w:tcW w:w="2070" w:type="dxa"/>
          </w:tcPr>
          <w:p>
            <w:pPr>
              <w:pStyle w:val="TableParagraph"/>
              <w:spacing w:line="370" w:lineRule="atLeast" w:before="67"/>
              <w:ind w:left="42" w:firstLine="81"/>
              <w:rPr>
                <w:b/>
                <w:sz w:val="28"/>
              </w:rPr>
            </w:pPr>
            <w:r>
              <w:rPr>
                <w:b/>
                <w:sz w:val="28"/>
              </w:rPr>
              <w:t>Giá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thuê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tối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đ</w:t>
            </w:r>
            <w:r>
              <w:rPr>
                <w:b/>
                <w:sz w:val="28"/>
              </w:rPr>
              <w:t>a</w:t>
            </w:r>
            <w:r>
              <w:rPr>
                <w:b/>
                <w:sz w:val="28"/>
              </w:rPr>
              <w:t> </w:t>
            </w:r>
            <w:r>
              <w:rPr>
                <w:b/>
                <w:spacing w:val="-6"/>
                <w:sz w:val="28"/>
              </w:rPr>
              <w:t>(đồng/m</w:t>
            </w:r>
            <w:r>
              <w:rPr>
                <w:b/>
                <w:spacing w:val="-6"/>
                <w:sz w:val="28"/>
                <w:vertAlign w:val="superscript"/>
              </w:rPr>
              <w:t>2</w:t>
            </w:r>
            <w:r>
              <w:rPr>
                <w:b/>
                <w:spacing w:val="-6"/>
                <w:sz w:val="28"/>
                <w:vertAlign w:val="baseline"/>
              </w:rPr>
              <w:t>/tháng)</w:t>
            </w:r>
          </w:p>
        </w:tc>
      </w:tr>
      <w:tr>
        <w:trPr>
          <w:trHeight w:val="489" w:hRule="atLeast"/>
        </w:trPr>
        <w:tc>
          <w:tcPr>
            <w:tcW w:w="746" w:type="dxa"/>
          </w:tcPr>
          <w:p>
            <w:pPr>
              <w:pStyle w:val="TableParagraph"/>
              <w:spacing w:before="110"/>
              <w:ind w:left="9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361" w:type="dxa"/>
          </w:tcPr>
          <w:p>
            <w:pPr>
              <w:pStyle w:val="TableParagraph"/>
              <w:spacing w:before="110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Nhà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công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vụ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(không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có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thang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máy)</w:t>
            </w:r>
          </w:p>
        </w:tc>
        <w:tc>
          <w:tcPr>
            <w:tcW w:w="2409" w:type="dxa"/>
          </w:tcPr>
          <w:p>
            <w:pPr>
              <w:pStyle w:val="TableParagraph"/>
              <w:spacing w:before="110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6.200</w:t>
            </w:r>
          </w:p>
        </w:tc>
        <w:tc>
          <w:tcPr>
            <w:tcW w:w="2070" w:type="dxa"/>
          </w:tcPr>
          <w:p>
            <w:pPr>
              <w:pStyle w:val="TableParagraph"/>
              <w:spacing w:before="110"/>
              <w:ind w:left="652"/>
              <w:rPr>
                <w:sz w:val="28"/>
              </w:rPr>
            </w:pPr>
            <w:r>
              <w:rPr>
                <w:spacing w:val="-2"/>
                <w:sz w:val="28"/>
              </w:rPr>
              <w:t>18.400</w:t>
            </w:r>
          </w:p>
        </w:tc>
      </w:tr>
    </w:tbl>
    <w:p>
      <w:pPr>
        <w:spacing w:before="115"/>
        <w:ind w:left="709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4.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Tổ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chức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hiện</w:t>
      </w:r>
    </w:p>
    <w:p>
      <w:pPr>
        <w:pStyle w:val="ListParagraph"/>
        <w:numPr>
          <w:ilvl w:val="0"/>
          <w:numId w:val="3"/>
        </w:numPr>
        <w:tabs>
          <w:tab w:pos="1015" w:val="left" w:leader="none"/>
        </w:tabs>
        <w:spacing w:line="276" w:lineRule="auto" w:before="166" w:after="0"/>
        <w:ind w:left="143" w:right="446" w:firstLine="566"/>
        <w:jc w:val="both"/>
        <w:rPr>
          <w:sz w:val="28"/>
        </w:rPr>
      </w:pPr>
      <w:r>
        <w:rPr>
          <w:sz w:val="28"/>
        </w:rPr>
        <w:t>Sở Xây dựng có trách nhiệm hướng dẫn, kiểm tra việc thực hiện khun</w:t>
      </w:r>
      <w:r>
        <w:rPr>
          <w:sz w:val="28"/>
        </w:rPr>
        <w:t>g</w:t>
      </w:r>
      <w:r>
        <w:rPr>
          <w:sz w:val="28"/>
        </w:rPr>
        <w:t> giá cho thuê nhà ở công vụ trên địa bàn thành phố Đà Nẵng theo quy định phá</w:t>
      </w:r>
      <w:r>
        <w:rPr>
          <w:sz w:val="28"/>
        </w:rPr>
        <w:t>p</w:t>
      </w:r>
      <w:r>
        <w:rPr>
          <w:sz w:val="28"/>
        </w:rPr>
        <w:t> luật và Quyết định này. Khi có sự thay đổi về các quy định của pháp luật, điề</w:t>
      </w:r>
      <w:r>
        <w:rPr>
          <w:sz w:val="28"/>
        </w:rPr>
        <w:t>u</w:t>
      </w:r>
      <w:r>
        <w:rPr>
          <w:sz w:val="28"/>
        </w:rPr>
        <w:t> kiện kinh tế - xã hội dẫn đến làm tăng hoặc giảm khung giá thuê từ 10% trở lên</w:t>
      </w:r>
      <w:r>
        <w:rPr>
          <w:sz w:val="28"/>
        </w:rPr>
        <w:t>,</w:t>
      </w:r>
      <w:r>
        <w:rPr>
          <w:sz w:val="28"/>
        </w:rPr>
        <w:t> Sở Xây dựng có trách nhiệm rà soát, tham mưu UBND thành phố ban hành </w:t>
      </w:r>
      <w:r>
        <w:rPr>
          <w:sz w:val="28"/>
        </w:rPr>
        <w:t>xem</w:t>
      </w:r>
      <w:r>
        <w:rPr>
          <w:sz w:val="28"/>
        </w:rPr>
        <w:t> xét, điều chỉnh cho phù hợp.</w:t>
      </w:r>
    </w:p>
    <w:p>
      <w:pPr>
        <w:pStyle w:val="ListParagraph"/>
        <w:numPr>
          <w:ilvl w:val="0"/>
          <w:numId w:val="3"/>
        </w:numPr>
        <w:tabs>
          <w:tab w:pos="1008" w:val="left" w:leader="none"/>
        </w:tabs>
        <w:spacing w:line="276" w:lineRule="auto" w:before="118" w:after="0"/>
        <w:ind w:left="143" w:right="446" w:firstLine="566"/>
        <w:jc w:val="both"/>
        <w:rPr>
          <w:sz w:val="28"/>
        </w:rPr>
      </w:pPr>
      <w:r>
        <w:rPr>
          <w:sz w:val="28"/>
        </w:rPr>
        <w:t>Tổ chức, đơn vị quản lý vận hành nhà ở công vụ</w:t>
      </w:r>
      <w:r>
        <w:rPr>
          <w:spacing w:val="26"/>
          <w:sz w:val="28"/>
        </w:rPr>
        <w:t> </w:t>
      </w:r>
      <w:r>
        <w:rPr>
          <w:sz w:val="28"/>
        </w:rPr>
        <w:t>theo quy định tại Đi</w:t>
      </w:r>
      <w:r>
        <w:rPr>
          <w:sz w:val="28"/>
        </w:rPr>
        <w:t>ều</w:t>
      </w:r>
      <w:r>
        <w:rPr>
          <w:sz w:val="28"/>
        </w:rPr>
        <w:t> 34 Nghị định số 95/2024/NĐ-CP ngày 24 tháng 7 năm 2024 của Chính phủ </w:t>
      </w:r>
      <w:r>
        <w:rPr>
          <w:sz w:val="28"/>
        </w:rPr>
        <w:t>xây</w:t>
      </w:r>
      <w:r>
        <w:rPr>
          <w:sz w:val="28"/>
        </w:rPr>
        <w:t> dựng giá thuê nhà ở công vụ phù hợp theo khung giá quy định tại</w:t>
      </w:r>
      <w:r>
        <w:rPr>
          <w:spacing w:val="40"/>
          <w:sz w:val="28"/>
        </w:rPr>
        <w:t> </w:t>
      </w:r>
      <w:r>
        <w:rPr>
          <w:sz w:val="28"/>
        </w:rPr>
        <w:t>Quyết địn</w:t>
      </w:r>
      <w:r>
        <w:rPr>
          <w:sz w:val="28"/>
        </w:rPr>
        <w:t>h</w:t>
      </w:r>
      <w:r>
        <w:rPr>
          <w:spacing w:val="40"/>
          <w:sz w:val="28"/>
        </w:rPr>
        <w:t> </w:t>
      </w:r>
      <w:r>
        <w:rPr>
          <w:spacing w:val="-4"/>
          <w:sz w:val="28"/>
        </w:rPr>
        <w:t>này.</w:t>
      </w:r>
    </w:p>
    <w:p>
      <w:pPr>
        <w:spacing w:before="116"/>
        <w:ind w:left="709" w:right="0" w:firstLine="0"/>
        <w:jc w:val="left"/>
        <w:rPr>
          <w:position w:val="2"/>
          <w:sz w:val="28"/>
        </w:rPr>
      </w:pPr>
      <w:r>
        <w:rPr>
          <w:b/>
          <w:position w:val="2"/>
          <w:sz w:val="28"/>
        </w:rPr>
        <w:t>Điều</w:t>
      </w:r>
      <w:r>
        <w:rPr>
          <w:b/>
          <w:spacing w:val="-8"/>
          <w:position w:val="2"/>
          <w:sz w:val="28"/>
        </w:rPr>
        <w:t> </w:t>
      </w:r>
      <w:r>
        <w:rPr>
          <w:b/>
          <w:position w:val="2"/>
          <w:sz w:val="28"/>
        </w:rPr>
        <w:t>5.</w:t>
      </w:r>
      <w:r>
        <w:rPr>
          <w:b/>
          <w:spacing w:val="-2"/>
          <w:position w:val="2"/>
          <w:sz w:val="28"/>
        </w:rPr>
        <w:t> </w:t>
      </w:r>
      <w:r>
        <w:rPr>
          <w:position w:val="2"/>
          <w:sz w:val="28"/>
        </w:rPr>
        <w:t>Quyết</w:t>
      </w:r>
      <w:r>
        <w:rPr>
          <w:spacing w:val="-1"/>
          <w:position w:val="2"/>
          <w:sz w:val="28"/>
        </w:rPr>
        <w:t> </w:t>
      </w:r>
      <w:r>
        <w:rPr>
          <w:position w:val="2"/>
          <w:sz w:val="28"/>
        </w:rPr>
        <w:t>định</w:t>
      </w:r>
      <w:r>
        <w:rPr>
          <w:spacing w:val="-5"/>
          <w:position w:val="2"/>
          <w:sz w:val="28"/>
        </w:rPr>
        <w:t> </w:t>
      </w:r>
      <w:r>
        <w:rPr>
          <w:position w:val="2"/>
          <w:sz w:val="28"/>
        </w:rPr>
        <w:t>này</w:t>
      </w:r>
      <w:r>
        <w:rPr>
          <w:spacing w:val="-5"/>
          <w:position w:val="2"/>
          <w:sz w:val="28"/>
        </w:rPr>
        <w:t> </w:t>
      </w:r>
      <w:r>
        <w:rPr>
          <w:position w:val="2"/>
          <w:sz w:val="28"/>
        </w:rPr>
        <w:t>có</w:t>
      </w:r>
      <w:r>
        <w:rPr>
          <w:spacing w:val="-2"/>
          <w:position w:val="2"/>
          <w:sz w:val="28"/>
        </w:rPr>
        <w:t> </w:t>
      </w:r>
      <w:r>
        <w:rPr>
          <w:position w:val="2"/>
          <w:sz w:val="28"/>
        </w:rPr>
        <w:t>hiệu</w:t>
      </w:r>
      <w:r>
        <w:rPr>
          <w:spacing w:val="-1"/>
          <w:position w:val="2"/>
          <w:sz w:val="28"/>
        </w:rPr>
        <w:t> </w:t>
      </w:r>
      <w:r>
        <w:rPr>
          <w:position w:val="2"/>
          <w:sz w:val="28"/>
        </w:rPr>
        <w:t>lực</w:t>
      </w:r>
      <w:r>
        <w:rPr>
          <w:spacing w:val="-3"/>
          <w:position w:val="2"/>
          <w:sz w:val="28"/>
        </w:rPr>
        <w:t> </w:t>
      </w:r>
      <w:r>
        <w:rPr>
          <w:position w:val="2"/>
          <w:sz w:val="28"/>
        </w:rPr>
        <w:t>thi</w:t>
      </w:r>
      <w:r>
        <w:rPr>
          <w:spacing w:val="-1"/>
          <w:position w:val="2"/>
          <w:sz w:val="28"/>
        </w:rPr>
        <w:t> </w:t>
      </w:r>
      <w:r>
        <w:rPr>
          <w:position w:val="2"/>
          <w:sz w:val="28"/>
        </w:rPr>
        <w:t>hành kể</w:t>
      </w:r>
      <w:r>
        <w:rPr>
          <w:spacing w:val="-4"/>
          <w:position w:val="2"/>
          <w:sz w:val="28"/>
        </w:rPr>
        <w:t> </w:t>
      </w:r>
      <w:r>
        <w:rPr>
          <w:position w:val="2"/>
          <w:sz w:val="28"/>
        </w:rPr>
        <w:t>từ</w:t>
      </w:r>
      <w:r>
        <w:rPr>
          <w:spacing w:val="-3"/>
          <w:position w:val="2"/>
          <w:sz w:val="28"/>
        </w:rPr>
        <w:t> </w:t>
      </w:r>
      <w:r>
        <w:rPr>
          <w:position w:val="2"/>
          <w:sz w:val="28"/>
        </w:rPr>
        <w:t>ngày</w:t>
      </w:r>
      <w:r>
        <w:rPr>
          <w:spacing w:val="-32"/>
          <w:position w:val="2"/>
          <w:sz w:val="28"/>
        </w:rPr>
        <w:t> </w:t>
      </w:r>
      <w:r>
        <w:rPr>
          <w:i/>
          <w:sz w:val="28"/>
        </w:rPr>
        <w:t>21</w:t>
      </w:r>
      <w:r>
        <w:rPr>
          <w:i/>
          <w:spacing w:val="-40"/>
          <w:sz w:val="28"/>
        </w:rPr>
        <w:t> </w:t>
      </w:r>
      <w:r>
        <w:rPr>
          <w:position w:val="2"/>
          <w:sz w:val="28"/>
        </w:rPr>
        <w:t>tháng</w:t>
      </w:r>
      <w:r>
        <w:rPr>
          <w:spacing w:val="-46"/>
          <w:position w:val="2"/>
          <w:sz w:val="28"/>
        </w:rPr>
        <w:t> </w:t>
      </w:r>
      <w:r>
        <w:rPr>
          <w:i/>
          <w:position w:val="2"/>
          <w:sz w:val="28"/>
        </w:rPr>
        <w:t>7</w:t>
      </w:r>
      <w:r>
        <w:rPr>
          <w:i/>
          <w:spacing w:val="42"/>
          <w:position w:val="2"/>
          <w:sz w:val="28"/>
        </w:rPr>
        <w:t> </w:t>
      </w:r>
      <w:r>
        <w:rPr>
          <w:position w:val="2"/>
          <w:sz w:val="28"/>
        </w:rPr>
        <w:t>năm</w:t>
      </w:r>
      <w:r>
        <w:rPr>
          <w:spacing w:val="-3"/>
          <w:position w:val="2"/>
          <w:sz w:val="28"/>
        </w:rPr>
        <w:t> </w:t>
      </w:r>
      <w:r>
        <w:rPr>
          <w:spacing w:val="-2"/>
          <w:position w:val="2"/>
          <w:sz w:val="28"/>
        </w:rPr>
        <w:t>2026.</w:t>
      </w:r>
    </w:p>
    <w:p>
      <w:pPr>
        <w:spacing w:line="276" w:lineRule="auto" w:before="154"/>
        <w:ind w:left="143" w:right="450" w:firstLine="566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6064250</wp:posOffset>
            </wp:positionH>
            <wp:positionV relativeFrom="paragraph">
              <wp:posOffset>571958</wp:posOffset>
            </wp:positionV>
            <wp:extent cx="533400" cy="24104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Điều 6. </w:t>
      </w:r>
      <w:r>
        <w:rPr>
          <w:sz w:val="28"/>
        </w:rPr>
        <w:t>Chánh Văn phòng UBND thành phố, Giám đốc Sở Xây dựng, G</w:t>
      </w:r>
      <w:r>
        <w:rPr>
          <w:sz w:val="28"/>
        </w:rPr>
        <w:t>iám</w:t>
      </w:r>
      <w:r>
        <w:rPr>
          <w:sz w:val="28"/>
        </w:rPr>
        <w:t> đốc Sở Tài chính, Chủ tịch UBND các phường, xã, đặc khu và các cơ quan, t</w:t>
      </w:r>
      <w:r>
        <w:rPr>
          <w:sz w:val="28"/>
        </w:rPr>
        <w:t>ổ</w:t>
      </w:r>
      <w:r>
        <w:rPr>
          <w:sz w:val="28"/>
        </w:rPr>
        <w:t> chức, cá nhân có liên quan chịu trách nhiệm thi hành Quyết định này./.</w:t>
      </w:r>
    </w:p>
    <w:p>
      <w:pPr>
        <w:spacing w:line="240" w:lineRule="auto" w:before="5" w:after="1"/>
        <w:rPr>
          <w:sz w:val="11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3"/>
        <w:gridCol w:w="3699"/>
      </w:tblGrid>
      <w:tr>
        <w:trPr>
          <w:trHeight w:val="4313" w:hRule="atLeast"/>
        </w:trPr>
        <w:tc>
          <w:tcPr>
            <w:tcW w:w="4953" w:type="dxa"/>
          </w:tcPr>
          <w:p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Văn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Chính </w:t>
            </w:r>
            <w:r>
              <w:rPr>
                <w:spacing w:val="-4"/>
                <w:sz w:val="22"/>
              </w:rPr>
              <w:t>phủ;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3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Bộ Xây</w:t>
            </w:r>
            <w:r>
              <w:rPr>
                <w:spacing w:val="-2"/>
                <w:sz w:val="22"/>
              </w:rPr>
              <w:t> dựng;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40" w:lineRule="auto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Vụ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Pháp chế 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Bộ Xây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dựng;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40" w:lineRule="auto" w:before="1" w:after="0"/>
              <w:ind w:left="50" w:right="546" w:firstLine="0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Kiểm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văn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chức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hành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z w:val="22"/>
              </w:rPr>
              <w:t> luật - Bộ Tư pháp;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51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Thành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ủy;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52" w:lineRule="exact" w:before="2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thành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Đoàn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Đại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biểu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hội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thành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Uỷ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Mặt trận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Việt Nam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thành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PCT UBND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thành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sở,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ngành,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đoàn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thành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2" w:lineRule="exact" w:before="2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UBND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phường,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xã,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đặc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khu;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Chi nhánh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Văn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ĐKĐĐ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thành </w:t>
            </w:r>
            <w:r>
              <w:rPr>
                <w:spacing w:val="-4"/>
                <w:sz w:val="22"/>
              </w:rPr>
              <w:t>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5" w:val="left" w:leader="none"/>
              </w:tabs>
              <w:spacing w:line="240" w:lineRule="auto" w:before="1" w:after="0"/>
              <w:ind w:left="50" w:right="420" w:firstLine="0"/>
              <w:jc w:val="left"/>
              <w:rPr>
                <w:sz w:val="22"/>
              </w:rPr>
            </w:pPr>
            <w:r>
              <w:rPr>
                <w:sz w:val="22"/>
              </w:rPr>
              <w:t>Công báo, Báo Đà Nẵng, Đài PTTH Đà Nẵng</w:t>
            </w:r>
            <w:r>
              <w:rPr>
                <w:sz w:val="22"/>
              </w:rPr>
              <w:t>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Cổng TTĐT thành phố;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74" w:val="left" w:leader="none"/>
              </w:tabs>
              <w:spacing w:line="233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Lưu: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SXD,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ĐTĐT,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NC,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TH.</w:t>
            </w:r>
          </w:p>
        </w:tc>
        <w:tc>
          <w:tcPr>
            <w:tcW w:w="3699" w:type="dxa"/>
          </w:tcPr>
          <w:p>
            <w:pPr>
              <w:pStyle w:val="TableParagraph"/>
              <w:spacing w:line="242" w:lineRule="auto"/>
              <w:ind w:left="378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UỶ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DÂ</w:t>
            </w:r>
            <w:r>
              <w:rPr>
                <w:b/>
                <w:sz w:val="28"/>
              </w:rPr>
              <w:t>N</w:t>
            </w:r>
            <w:r>
              <w:rPr>
                <w:b/>
                <w:sz w:val="28"/>
              </w:rPr>
              <w:t> KT. CHỦ TỊCH</w:t>
            </w:r>
          </w:p>
          <w:p>
            <w:pPr>
              <w:pStyle w:val="TableParagraph"/>
              <w:spacing w:line="297" w:lineRule="exact" w:after="53"/>
              <w:ind w:left="378" w:righ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TỊCH</w:t>
            </w:r>
          </w:p>
          <w:p>
            <w:pPr>
              <w:pStyle w:val="TableParagraph"/>
              <w:ind w:left="45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8208">
                      <wp:simplePos x="0" y="0"/>
                      <wp:positionH relativeFrom="column">
                        <wp:posOffset>-54217</wp:posOffset>
                      </wp:positionH>
                      <wp:positionV relativeFrom="paragraph">
                        <wp:posOffset>-169418</wp:posOffset>
                      </wp:positionV>
                      <wp:extent cx="1397000" cy="13970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397000" cy="1397000"/>
                                <a:chExt cx="1397000" cy="13970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1125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269132pt;margin-top:-13.34pt;width:110pt;height:110pt;mso-position-horizontal-relative:column;mso-position-vertical-relative:paragraph;z-index:-15798272" id="docshapegroup3" coordorigin="-85,-267" coordsize="2200,2200">
                      <v:shape style="position:absolute;left:-86;top:-267;width:2175;height:2175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2015021" cy="84782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021" cy="84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6"/>
              <w:ind w:left="0"/>
              <w:rPr>
                <w:sz w:val="26"/>
              </w:rPr>
            </w:pPr>
          </w:p>
          <w:p>
            <w:pPr>
              <w:pStyle w:val="TableParagraph"/>
              <w:ind w:left="37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Lê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Quang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</w:tc>
      </w:tr>
    </w:tbl>
    <w:sectPr>
      <w:pgSz w:w="11910" w:h="16850"/>
      <w:pgMar w:top="480" w:bottom="28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50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549" w:hanging="12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38" w:hanging="1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27" w:hanging="1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17" w:hanging="1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6" w:hanging="1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95" w:hanging="1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85" w:hanging="1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74" w:hanging="12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3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104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68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32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96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4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8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3" w:hanging="30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89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60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0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20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0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8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60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40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21" w:hanging="28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3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104" w:hanging="3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68" w:hanging="3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32" w:hanging="3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96" w:hanging="3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3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24" w:hanging="3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88" w:hanging="3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53" w:hanging="303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143" w:firstLine="566"/>
      <w:jc w:val="both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0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143" w:firstLine="566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7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SỞ XÂY DỰNG THÀNH PHỐ ĐÀ NẴNG</dc:title>
  <dcterms:created xsi:type="dcterms:W3CDTF">2026-07-13T10:21:57Z</dcterms:created>
  <dcterms:modified xsi:type="dcterms:W3CDTF">2026-07-13T10:21:57Z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2026-07-13T00:00:00Z</vt:filetime>
  </property>
  <property fmtid="{D5CDD505-2E9C-101B-9397-08002B2CF9AE}" pid="5" name="Producer">
    <vt:lpwstr>Microsoft® Word 2010;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</vt:lpwstr>
  </property>
</Properties>
</file>