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323"/>
      </w:tblGrid>
      <w:tr w:rsidR="002C7A00" w:rsidRPr="002C7A00" w:rsidTr="002C7A00">
        <w:trPr>
          <w:trHeight w:val="707"/>
        </w:trPr>
        <w:tc>
          <w:tcPr>
            <w:tcW w:w="3085" w:type="dxa"/>
          </w:tcPr>
          <w:p w:rsidR="002C7A00" w:rsidRPr="002C7A00" w:rsidRDefault="002C7A00" w:rsidP="002C7A00">
            <w:pPr>
              <w:pStyle w:val="BodyText"/>
              <w:spacing w:after="0"/>
              <w:ind w:firstLine="0"/>
              <w:jc w:val="center"/>
              <w:rPr>
                <w:b/>
                <w:bCs/>
                <w:sz w:val="26"/>
                <w:szCs w:val="26"/>
                <w:lang w:val="en-US"/>
              </w:rPr>
            </w:pPr>
            <w:r>
              <w:rPr>
                <w:b/>
                <w:bCs/>
                <w:sz w:val="26"/>
                <w:szCs w:val="26"/>
                <w:lang w:val="en-US"/>
              </w:rPr>
              <w:t>Ủ</w:t>
            </w:r>
            <w:r w:rsidRPr="002C7A00">
              <w:rPr>
                <w:b/>
                <w:bCs/>
                <w:sz w:val="26"/>
                <w:szCs w:val="26"/>
              </w:rPr>
              <w:t>Y BAN NHÂN DÂN</w:t>
            </w:r>
          </w:p>
          <w:p w:rsidR="002C7A00" w:rsidRPr="002C7A00" w:rsidRDefault="002C7A00" w:rsidP="002C7A00">
            <w:pPr>
              <w:pStyle w:val="BodyText"/>
              <w:spacing w:after="0"/>
              <w:ind w:firstLine="0"/>
              <w:jc w:val="center"/>
              <w:rPr>
                <w:b/>
                <w:bCs/>
                <w:sz w:val="26"/>
                <w:szCs w:val="26"/>
                <w:lang w:val="en-US"/>
              </w:rPr>
            </w:pPr>
            <w:r>
              <w:rPr>
                <w:b/>
                <w:bCs/>
                <w:noProof/>
                <w:sz w:val="26"/>
                <w:szCs w:val="26"/>
                <w:lang w:val="en-US" w:eastAsia="en-US" w:bidi="ar-SA"/>
              </w:rPr>
              <mc:AlternateContent>
                <mc:Choice Requires="wps">
                  <w:drawing>
                    <wp:anchor distT="0" distB="0" distL="114300" distR="114300" simplePos="0" relativeHeight="251660288" behindDoc="0" locked="0" layoutInCell="1" allowOverlap="1">
                      <wp:simplePos x="0" y="0"/>
                      <wp:positionH relativeFrom="column">
                        <wp:posOffset>441486</wp:posOffset>
                      </wp:positionH>
                      <wp:positionV relativeFrom="paragraph">
                        <wp:posOffset>191770</wp:posOffset>
                      </wp:positionV>
                      <wp:extent cx="920750" cy="0"/>
                      <wp:effectExtent l="0" t="0" r="12700" b="19050"/>
                      <wp:wrapNone/>
                      <wp:docPr id="6" name="Straight Connector 6"/>
                      <wp:cNvGraphicFramePr/>
                      <a:graphic xmlns:a="http://schemas.openxmlformats.org/drawingml/2006/main">
                        <a:graphicData uri="http://schemas.microsoft.com/office/word/2010/wordprocessingShape">
                          <wps:wsp>
                            <wps:cNvCnPr/>
                            <wps:spPr>
                              <a:xfrm>
                                <a:off x="0" y="0"/>
                                <a:ext cx="92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6"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75pt,15.1pt" to="107.2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" strokecolor="black [3040]"/>
                  </w:pict>
                </mc:Fallback>
              </mc:AlternateContent>
            </w:r>
            <w:r w:rsidRPr="002C7A00">
              <w:rPr>
                <w:b/>
                <w:bCs/>
                <w:sz w:val="26"/>
                <w:szCs w:val="26"/>
              </w:rPr>
              <w:t>TỈNH VĨNH LONG</w:t>
            </w:r>
          </w:p>
        </w:tc>
        <w:tc>
          <w:tcPr>
            <w:tcW w:w="6323" w:type="dxa"/>
          </w:tcPr>
          <w:p w:rsidR="002C7A00" w:rsidRDefault="002C7A00" w:rsidP="002C7A00">
            <w:pPr>
              <w:pStyle w:val="BodyText"/>
              <w:spacing w:after="0"/>
              <w:ind w:firstLine="0"/>
              <w:jc w:val="center"/>
              <w:rPr>
                <w:b/>
                <w:bCs/>
                <w:sz w:val="24"/>
                <w:szCs w:val="24"/>
                <w:lang w:val="en-US"/>
              </w:rPr>
            </w:pPr>
            <w:r>
              <w:rPr>
                <w:b/>
                <w:bCs/>
                <w:sz w:val="24"/>
                <w:szCs w:val="24"/>
              </w:rPr>
              <w:t>CỘNG HÒA XÃ HỘI CHỦ NGHĨA VIỆT NAM</w:t>
            </w:r>
          </w:p>
          <w:p w:rsidR="002C7A00" w:rsidRPr="002C7A00" w:rsidRDefault="002C7A00" w:rsidP="002C7A00">
            <w:pPr>
              <w:pStyle w:val="BodyText"/>
              <w:spacing w:after="0"/>
              <w:ind w:firstLine="0"/>
              <w:jc w:val="center"/>
              <w:rPr>
                <w:b/>
                <w:bCs/>
                <w:sz w:val="26"/>
                <w:szCs w:val="26"/>
                <w:lang w:val="en-US"/>
              </w:rPr>
            </w:pPr>
            <w:r>
              <w:rPr>
                <w:b/>
                <w:bCs/>
                <w:noProof/>
                <w:sz w:val="26"/>
                <w:szCs w:val="26"/>
                <w:lang w:val="en-US" w:eastAsia="en-US" w:bidi="ar-SA"/>
              </w:rPr>
              <mc:AlternateContent>
                <mc:Choice Requires="wps">
                  <w:drawing>
                    <wp:anchor distT="0" distB="0" distL="114300" distR="114300" simplePos="0" relativeHeight="251661312" behindDoc="0" locked="0" layoutInCell="1" allowOverlap="1">
                      <wp:simplePos x="0" y="0"/>
                      <wp:positionH relativeFrom="column">
                        <wp:posOffset>870746</wp:posOffset>
                      </wp:positionH>
                      <wp:positionV relativeFrom="paragraph">
                        <wp:posOffset>206375</wp:posOffset>
                      </wp:positionV>
                      <wp:extent cx="2108579" cy="0"/>
                      <wp:effectExtent l="0" t="0" r="25400" b="19050"/>
                      <wp:wrapNone/>
                      <wp:docPr id="8" name="Straight Connector 8"/>
                      <wp:cNvGraphicFramePr/>
                      <a:graphic xmlns:a="http://schemas.openxmlformats.org/drawingml/2006/main">
                        <a:graphicData uri="http://schemas.microsoft.com/office/word/2010/wordprocessingShape">
                          <wps:wsp>
                            <wps:cNvCnPr/>
                            <wps:spPr>
                              <a:xfrm>
                                <a:off x="0" y="0"/>
                                <a:ext cx="21085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8"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55pt,16.25pt" to="234.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" strokecolor="black [3040]"/>
                  </w:pict>
                </mc:Fallback>
              </mc:AlternateContent>
            </w:r>
            <w:r>
              <w:rPr>
                <w:b/>
                <w:bCs/>
                <w:sz w:val="26"/>
                <w:szCs w:val="26"/>
              </w:rPr>
              <w:t>Độc lập - Tự do - Hạnh phúc</w:t>
            </w:r>
          </w:p>
        </w:tc>
      </w:tr>
      <w:tr w:rsidR="002C7A00" w:rsidRPr="002C7A00" w:rsidTr="002C7A00">
        <w:trPr>
          <w:trHeight w:val="420"/>
        </w:trPr>
        <w:tc>
          <w:tcPr>
            <w:tcW w:w="3085" w:type="dxa"/>
          </w:tcPr>
          <w:p w:rsidR="002C7A00" w:rsidRPr="002C7A00" w:rsidRDefault="002C7A00" w:rsidP="002C7A00">
            <w:pPr>
              <w:pStyle w:val="BodyText"/>
              <w:spacing w:after="0"/>
              <w:ind w:firstLine="0"/>
              <w:jc w:val="center"/>
              <w:rPr>
                <w:b/>
                <w:bCs/>
                <w:sz w:val="26"/>
                <w:szCs w:val="26"/>
                <w:lang w:val="en-US"/>
              </w:rPr>
            </w:pPr>
            <w:r>
              <w:rPr>
                <w:sz w:val="26"/>
                <w:szCs w:val="26"/>
              </w:rPr>
              <w:t>Số: 80/2026/QĐ-UBND</w:t>
            </w:r>
          </w:p>
        </w:tc>
        <w:tc>
          <w:tcPr>
            <w:tcW w:w="6323" w:type="dxa"/>
          </w:tcPr>
          <w:p w:rsidR="002C7A00" w:rsidRPr="002C7A00" w:rsidRDefault="002C7A00" w:rsidP="002C7A00">
            <w:pPr>
              <w:pStyle w:val="BodyText"/>
              <w:spacing w:after="0"/>
              <w:ind w:firstLine="0"/>
              <w:jc w:val="center"/>
              <w:rPr>
                <w:b/>
                <w:bCs/>
                <w:sz w:val="26"/>
                <w:szCs w:val="26"/>
                <w:lang w:val="en-US"/>
              </w:rPr>
            </w:pPr>
            <w:r>
              <w:rPr>
                <w:i/>
                <w:iCs/>
                <w:sz w:val="26"/>
                <w:szCs w:val="26"/>
              </w:rPr>
              <w:t>Vĩnh Long, ngày 27 tháng 7 năm 2026</w:t>
            </w:r>
          </w:p>
        </w:tc>
      </w:tr>
    </w:tbl>
    <w:p w:rsidR="007D0BAB" w:rsidRDefault="00CB6F8B" w:rsidP="002C7A00">
      <w:pPr>
        <w:pStyle w:val="BodyText"/>
        <w:spacing w:before="120"/>
        <w:ind w:firstLine="0"/>
        <w:jc w:val="center"/>
      </w:pPr>
      <w:r>
        <w:rPr>
          <w:b/>
          <w:bCs/>
        </w:rPr>
        <w:t>QUYẾT ĐỊNH</w:t>
      </w:r>
      <w:r>
        <w:rPr>
          <w:b/>
          <w:bCs/>
        </w:rPr>
        <w:br/>
        <w:t>Ban hành hệ số điều chỉnh giá đất</w:t>
      </w:r>
      <w:r>
        <w:rPr>
          <w:b/>
          <w:bCs/>
        </w:rPr>
        <w:br/>
        <w:t>trên địa bàn tỉnh Vĩnh Long năm 2026</w:t>
      </w:r>
    </w:p>
    <w:p w:rsidR="007D0BAB" w:rsidRDefault="00CB6F8B" w:rsidP="002C7A00">
      <w:pPr>
        <w:pStyle w:val="BodyText"/>
        <w:spacing w:before="120"/>
        <w:ind w:firstLine="560"/>
        <w:jc w:val="both"/>
      </w:pPr>
      <w:r>
        <w:rPr>
          <w:i/>
          <w:iCs/>
        </w:rPr>
        <w:t xml:space="preserve">Căn cứ Luật Tổ chức </w:t>
      </w:r>
      <w:r>
        <w:rPr>
          <w:i/>
          <w:iCs/>
        </w:rPr>
        <w:t>chính quyền địa phương s</w:t>
      </w:r>
      <w:r w:rsidR="002C7A00">
        <w:rPr>
          <w:i/>
          <w:iCs/>
          <w:lang w:val="en-US"/>
        </w:rPr>
        <w:t>ố</w:t>
      </w:r>
      <w:r>
        <w:rPr>
          <w:i/>
          <w:iCs/>
        </w:rPr>
        <w:t xml:space="preserve"> 72/2025/QH15;</w:t>
      </w:r>
    </w:p>
    <w:p w:rsidR="007D0BAB" w:rsidRDefault="00CB6F8B" w:rsidP="002C7A00">
      <w:pPr>
        <w:pStyle w:val="BodyText"/>
        <w:spacing w:before="120"/>
        <w:ind w:firstLine="600"/>
        <w:jc w:val="both"/>
      </w:pPr>
      <w:r>
        <w:rPr>
          <w:i/>
          <w:iCs/>
        </w:rPr>
        <w:t>Căn cứ Luật Ban hành văn bản quy phạm pháp luật s</w:t>
      </w:r>
      <w:r w:rsidR="002C7A00">
        <w:rPr>
          <w:i/>
          <w:iCs/>
          <w:lang w:val="en-US"/>
        </w:rPr>
        <w:t>ố</w:t>
      </w:r>
      <w:r>
        <w:rPr>
          <w:i/>
          <w:iCs/>
        </w:rPr>
        <w:t xml:space="preserve"> 64/2025/QH15, được sửa đổi, bổ sung bởi Luật s</w:t>
      </w:r>
      <w:r w:rsidR="002C7A00">
        <w:rPr>
          <w:i/>
          <w:iCs/>
          <w:lang w:val="en-US"/>
        </w:rPr>
        <w:t>ố</w:t>
      </w:r>
      <w:r>
        <w:rPr>
          <w:i/>
          <w:iCs/>
        </w:rPr>
        <w:t xml:space="preserve"> 87/2025/QH15;</w:t>
      </w:r>
    </w:p>
    <w:p w:rsidR="007D0BAB" w:rsidRDefault="00CB6F8B" w:rsidP="002C7A00">
      <w:pPr>
        <w:pStyle w:val="BodyText"/>
        <w:tabs>
          <w:tab w:val="left" w:pos="8520"/>
        </w:tabs>
        <w:spacing w:before="120"/>
        <w:ind w:firstLine="720"/>
        <w:jc w:val="both"/>
      </w:pPr>
      <w:r>
        <w:rPr>
          <w:i/>
          <w:iCs/>
        </w:rPr>
        <w:t>Căn cứ Luật Đất đai s</w:t>
      </w:r>
      <w:r w:rsidR="002C7A00">
        <w:rPr>
          <w:i/>
          <w:iCs/>
          <w:lang w:val="en-US"/>
        </w:rPr>
        <w:t>ố</w:t>
      </w:r>
      <w:r>
        <w:rPr>
          <w:i/>
          <w:iCs/>
        </w:rPr>
        <w:t xml:space="preserve"> 31/2024/QH15 được sửa đổi, bổ sung một s</w:t>
      </w:r>
      <w:r w:rsidR="002C7A00">
        <w:rPr>
          <w:i/>
          <w:iCs/>
          <w:lang w:val="en-US"/>
        </w:rPr>
        <w:t>ố</w:t>
      </w:r>
      <w:r>
        <w:rPr>
          <w:i/>
          <w:iCs/>
        </w:rPr>
        <w:t xml:space="preserve"> điều bởi các</w:t>
      </w:r>
      <w:r>
        <w:rPr>
          <w:i/>
          <w:iCs/>
        </w:rPr>
        <w:t xml:space="preserve"> Luật s</w:t>
      </w:r>
      <w:r w:rsidR="002C7A00">
        <w:rPr>
          <w:i/>
          <w:iCs/>
          <w:lang w:val="en-US"/>
        </w:rPr>
        <w:t>ố</w:t>
      </w:r>
      <w:r>
        <w:rPr>
          <w:i/>
          <w:iCs/>
        </w:rPr>
        <w:t xml:space="preserve"> 43</w:t>
      </w:r>
      <w:r w:rsidR="002C7A00">
        <w:rPr>
          <w:i/>
          <w:iCs/>
          <w:lang w:val="en-US"/>
        </w:rPr>
        <w:t>/</w:t>
      </w:r>
      <w:r>
        <w:rPr>
          <w:i/>
          <w:iCs/>
        </w:rPr>
        <w:t>2024</w:t>
      </w:r>
      <w:r w:rsidR="002C7A00">
        <w:rPr>
          <w:i/>
          <w:iCs/>
          <w:lang w:val="en-US"/>
        </w:rPr>
        <w:t>/</w:t>
      </w:r>
      <w:r>
        <w:rPr>
          <w:i/>
          <w:iCs/>
        </w:rPr>
        <w:t>Q</w:t>
      </w:r>
      <w:r w:rsidR="002C7A00">
        <w:rPr>
          <w:i/>
          <w:iCs/>
          <w:lang w:val="en-US"/>
        </w:rPr>
        <w:t>H</w:t>
      </w:r>
      <w:r>
        <w:rPr>
          <w:i/>
          <w:iCs/>
        </w:rPr>
        <w:t>15,</w:t>
      </w:r>
      <w:r w:rsidR="002C7A00">
        <w:rPr>
          <w:i/>
          <w:iCs/>
          <w:lang w:val="en-US"/>
        </w:rPr>
        <w:t xml:space="preserve"> </w:t>
      </w:r>
      <w:r>
        <w:rPr>
          <w:i/>
          <w:iCs/>
        </w:rPr>
        <w:t>Luật s</w:t>
      </w:r>
      <w:r w:rsidR="002C7A00">
        <w:rPr>
          <w:i/>
          <w:iCs/>
          <w:lang w:val="en-US"/>
        </w:rPr>
        <w:t>ố</w:t>
      </w:r>
      <w:r>
        <w:rPr>
          <w:i/>
          <w:iCs/>
        </w:rPr>
        <w:t xml:space="preserve"> 47/2024/QH15, </w:t>
      </w:r>
      <w:r>
        <w:rPr>
          <w:i/>
          <w:iCs/>
        </w:rPr>
        <w:t>Luật s</w:t>
      </w:r>
      <w:r w:rsidR="002C7A00">
        <w:rPr>
          <w:i/>
          <w:iCs/>
          <w:lang w:val="en-US"/>
        </w:rPr>
        <w:t>ố</w:t>
      </w:r>
      <w:r>
        <w:rPr>
          <w:i/>
          <w:iCs/>
        </w:rPr>
        <w:t xml:space="preserve"> 58</w:t>
      </w:r>
      <w:r w:rsidR="002C7A00">
        <w:rPr>
          <w:i/>
          <w:iCs/>
          <w:lang w:val="en-US"/>
        </w:rPr>
        <w:t>/</w:t>
      </w:r>
      <w:r>
        <w:rPr>
          <w:i/>
          <w:iCs/>
        </w:rPr>
        <w:t>2024</w:t>
      </w:r>
      <w:r w:rsidR="002C7A00">
        <w:rPr>
          <w:i/>
          <w:iCs/>
          <w:lang w:val="en-US"/>
        </w:rPr>
        <w:t>/</w:t>
      </w:r>
      <w:r>
        <w:rPr>
          <w:i/>
          <w:iCs/>
        </w:rPr>
        <w:t>Q</w:t>
      </w:r>
      <w:r w:rsidR="002C7A00">
        <w:rPr>
          <w:i/>
          <w:iCs/>
          <w:lang w:val="en-US"/>
        </w:rPr>
        <w:t>H</w:t>
      </w:r>
      <w:r>
        <w:rPr>
          <w:i/>
          <w:iCs/>
        </w:rPr>
        <w:t>15,</w:t>
      </w:r>
      <w:r>
        <w:rPr>
          <w:i/>
          <w:iCs/>
        </w:rPr>
        <w:t xml:space="preserve"> Luật s</w:t>
      </w:r>
      <w:r w:rsidR="002C7A00">
        <w:rPr>
          <w:i/>
          <w:iCs/>
          <w:lang w:val="en-US"/>
        </w:rPr>
        <w:t>ố</w:t>
      </w:r>
      <w:r>
        <w:rPr>
          <w:i/>
          <w:iCs/>
        </w:rPr>
        <w:t xml:space="preserve"> 71/2025/QH15, Luật s</w:t>
      </w:r>
      <w:r w:rsidR="002C7A00">
        <w:rPr>
          <w:i/>
          <w:iCs/>
          <w:lang w:val="en-US"/>
        </w:rPr>
        <w:t>ố</w:t>
      </w:r>
      <w:r>
        <w:rPr>
          <w:i/>
          <w:iCs/>
        </w:rPr>
        <w:t xml:space="preserve"> 84/2025/QH15, Luật s</w:t>
      </w:r>
      <w:r w:rsidR="002C7A00">
        <w:rPr>
          <w:i/>
          <w:iCs/>
          <w:lang w:val="en-US"/>
        </w:rPr>
        <w:t>ố</w:t>
      </w:r>
      <w:r>
        <w:rPr>
          <w:i/>
          <w:iCs/>
        </w:rPr>
        <w:t xml:space="preserve"> 93/2025/QH15, Luật s</w:t>
      </w:r>
      <w:r w:rsidR="002C7A00">
        <w:rPr>
          <w:i/>
          <w:iCs/>
          <w:lang w:val="en-US"/>
        </w:rPr>
        <w:t>ố</w:t>
      </w:r>
      <w:r>
        <w:rPr>
          <w:i/>
          <w:iCs/>
        </w:rPr>
        <w:t xml:space="preserve"> 95/2025/QH15, Luật s</w:t>
      </w:r>
      <w:r w:rsidR="002C7A00">
        <w:rPr>
          <w:i/>
          <w:iCs/>
          <w:lang w:val="en-US"/>
        </w:rPr>
        <w:t>ố</w:t>
      </w:r>
      <w:r>
        <w:rPr>
          <w:i/>
          <w:iCs/>
        </w:rPr>
        <w:t xml:space="preserve"> 146/2025/QH15 và Luật s</w:t>
      </w:r>
      <w:r w:rsidR="002C7A00">
        <w:rPr>
          <w:i/>
          <w:iCs/>
          <w:lang w:val="en-US"/>
        </w:rPr>
        <w:t xml:space="preserve">ố </w:t>
      </w:r>
      <w:r>
        <w:rPr>
          <w:i/>
          <w:iCs/>
        </w:rPr>
        <w:t>147/2025/QH15;</w:t>
      </w:r>
      <w:r>
        <w:rPr>
          <w:i/>
          <w:iCs/>
        </w:rPr>
        <w:tab/>
      </w:r>
    </w:p>
    <w:p w:rsidR="007D0BAB" w:rsidRDefault="00CB6F8B" w:rsidP="002C7A00">
      <w:pPr>
        <w:pStyle w:val="BodyText"/>
        <w:spacing w:before="120"/>
        <w:ind w:firstLine="600"/>
        <w:jc w:val="both"/>
      </w:pPr>
      <w:r>
        <w:rPr>
          <w:i/>
          <w:iCs/>
        </w:rPr>
        <w:t>Căn cứ Nghị quyết s</w:t>
      </w:r>
      <w:r w:rsidR="002C7A00">
        <w:rPr>
          <w:i/>
          <w:iCs/>
          <w:lang w:val="en-US"/>
        </w:rPr>
        <w:t>ố</w:t>
      </w:r>
      <w:r w:rsidR="002C7A00">
        <w:rPr>
          <w:i/>
          <w:iCs/>
        </w:rPr>
        <w:t xml:space="preserve"> 254/2025/QH15 được Qu</w:t>
      </w:r>
      <w:r w:rsidR="002C7A00">
        <w:rPr>
          <w:i/>
          <w:iCs/>
          <w:lang w:val="en-US"/>
        </w:rPr>
        <w:t>ố</w:t>
      </w:r>
      <w:r>
        <w:rPr>
          <w:i/>
          <w:iCs/>
        </w:rPr>
        <w:t>c hội thông qua ngày 11 t</w:t>
      </w:r>
      <w:r>
        <w:rPr>
          <w:i/>
          <w:iCs/>
        </w:rPr>
        <w:t>háng 12 năm 2025 quy định một s</w:t>
      </w:r>
      <w:r w:rsidR="002C7A00">
        <w:rPr>
          <w:i/>
          <w:iCs/>
          <w:lang w:val="en-US"/>
        </w:rPr>
        <w:t>ố</w:t>
      </w:r>
      <w:r>
        <w:rPr>
          <w:i/>
          <w:iCs/>
        </w:rPr>
        <w:t xml:space="preserve"> cơ chế, chính sách tháo gỡ khó khăn, vướng mắc trong tổ chức thi hành Luật Đất đai;</w:t>
      </w:r>
    </w:p>
    <w:p w:rsidR="007D0BAB" w:rsidRDefault="002C7A00" w:rsidP="002C7A00">
      <w:pPr>
        <w:pStyle w:val="BodyText"/>
        <w:spacing w:before="120"/>
        <w:ind w:firstLine="600"/>
        <w:jc w:val="both"/>
      </w:pPr>
      <w:r>
        <w:rPr>
          <w:i/>
          <w:iCs/>
        </w:rPr>
        <w:t>Căn cứ Nghị định s</w:t>
      </w:r>
      <w:r>
        <w:rPr>
          <w:i/>
          <w:iCs/>
          <w:lang w:val="en-US"/>
        </w:rPr>
        <w:t>ố</w:t>
      </w:r>
      <w:r w:rsidR="00CB6F8B">
        <w:rPr>
          <w:i/>
          <w:iCs/>
        </w:rPr>
        <w:t xml:space="preserve"> 49/2026/NĐ-CP ngày 31 tháng 01 năm 2026 của Chính p</w:t>
      </w:r>
      <w:r>
        <w:rPr>
          <w:i/>
          <w:iCs/>
        </w:rPr>
        <w:t>hủ quy định chi tiết và hướng d</w:t>
      </w:r>
      <w:r>
        <w:rPr>
          <w:i/>
          <w:iCs/>
          <w:lang w:val="en-US"/>
        </w:rPr>
        <w:t>ẫ</w:t>
      </w:r>
      <w:r>
        <w:rPr>
          <w:i/>
          <w:iCs/>
        </w:rPr>
        <w:t>n một s</w:t>
      </w:r>
      <w:r>
        <w:rPr>
          <w:i/>
          <w:iCs/>
          <w:lang w:val="en-US"/>
        </w:rPr>
        <w:t>ố</w:t>
      </w:r>
      <w:r>
        <w:rPr>
          <w:i/>
          <w:iCs/>
        </w:rPr>
        <w:t xml:space="preserve"> điều của Nghị quyết s</w:t>
      </w:r>
      <w:r>
        <w:rPr>
          <w:i/>
          <w:iCs/>
          <w:lang w:val="en-US"/>
        </w:rPr>
        <w:t>ố</w:t>
      </w:r>
      <w:r w:rsidR="00CB6F8B">
        <w:rPr>
          <w:i/>
          <w:iCs/>
        </w:rPr>
        <w:t xml:space="preserve"> 254/</w:t>
      </w:r>
      <w:r w:rsidR="00CB6F8B">
        <w:rPr>
          <w:i/>
          <w:iCs/>
        </w:rPr>
        <w:t>2025/QH15 của Qu</w:t>
      </w:r>
      <w:r>
        <w:rPr>
          <w:i/>
          <w:iCs/>
          <w:lang w:val="en-US"/>
        </w:rPr>
        <w:t>ố</w:t>
      </w:r>
      <w:r w:rsidR="00CB6F8B">
        <w:rPr>
          <w:i/>
          <w:iCs/>
        </w:rPr>
        <w:t>c hội quy định một s</w:t>
      </w:r>
      <w:r>
        <w:rPr>
          <w:i/>
          <w:iCs/>
          <w:lang w:val="en-US"/>
        </w:rPr>
        <w:t>ố</w:t>
      </w:r>
      <w:r w:rsidR="00CB6F8B">
        <w:rPr>
          <w:i/>
          <w:iCs/>
        </w:rPr>
        <w:t xml:space="preserve"> cơ chế, chính sách tháo gỡ khó khăn, vướng mắc trong tổ chức thi hành Luật Đất đai;</w:t>
      </w:r>
    </w:p>
    <w:p w:rsidR="007D0BAB" w:rsidRDefault="00CB6F8B" w:rsidP="002C7A00">
      <w:pPr>
        <w:pStyle w:val="BodyText"/>
        <w:spacing w:before="120"/>
        <w:ind w:firstLine="600"/>
        <w:jc w:val="both"/>
      </w:pPr>
      <w:r>
        <w:rPr>
          <w:i/>
          <w:iCs/>
        </w:rPr>
        <w:t>Căn cứ Nghị quyết s</w:t>
      </w:r>
      <w:r w:rsidR="002C7A00">
        <w:rPr>
          <w:i/>
          <w:iCs/>
          <w:lang w:val="en-US"/>
        </w:rPr>
        <w:t>ố</w:t>
      </w:r>
      <w:r>
        <w:rPr>
          <w:i/>
          <w:iCs/>
        </w:rPr>
        <w:t xml:space="preserve"> 39/2025/NQ-HĐND ngày 22 tháng 12 năm 2025 của Hội đồng nhân dân tỉnh ban hành Quy định Bảng giá đất lần đầu trên</w:t>
      </w:r>
      <w:r>
        <w:rPr>
          <w:i/>
          <w:iCs/>
        </w:rPr>
        <w:t xml:space="preserve"> địa bàn tỉnh Vĩnh Long;</w:t>
      </w:r>
    </w:p>
    <w:p w:rsidR="007D0BAB" w:rsidRDefault="002C7A00" w:rsidP="002C7A00">
      <w:pPr>
        <w:pStyle w:val="BodyText"/>
        <w:spacing w:before="120"/>
        <w:ind w:firstLine="560"/>
        <w:jc w:val="both"/>
      </w:pPr>
      <w:r>
        <w:rPr>
          <w:i/>
          <w:iCs/>
        </w:rPr>
        <w:t>Theo đề nghị của Giám đ</w:t>
      </w:r>
      <w:r>
        <w:rPr>
          <w:i/>
          <w:iCs/>
          <w:lang w:val="en-US"/>
        </w:rPr>
        <w:t>ố</w:t>
      </w:r>
      <w:r w:rsidR="00CB6F8B">
        <w:rPr>
          <w:i/>
          <w:iCs/>
        </w:rPr>
        <w:t>c Sở Nông nghiệp và Môi trường;</w:t>
      </w:r>
    </w:p>
    <w:p w:rsidR="007D0BAB" w:rsidRDefault="00CB6F8B" w:rsidP="002C7A00">
      <w:pPr>
        <w:pStyle w:val="BodyText"/>
        <w:spacing w:before="120"/>
        <w:ind w:firstLine="600"/>
        <w:jc w:val="both"/>
      </w:pPr>
      <w:r>
        <w:rPr>
          <w:i/>
          <w:iCs/>
        </w:rPr>
        <w:t>Ủy ban nhân dân ban hành Quyết định ban hành hệ s</w:t>
      </w:r>
      <w:r w:rsidR="002C7A00">
        <w:rPr>
          <w:i/>
          <w:iCs/>
          <w:lang w:val="en-US"/>
        </w:rPr>
        <w:t>ố</w:t>
      </w:r>
      <w:bookmarkStart w:id="0" w:name="_GoBack"/>
      <w:bookmarkEnd w:id="0"/>
      <w:r>
        <w:rPr>
          <w:i/>
          <w:iCs/>
        </w:rPr>
        <w:t xml:space="preserve"> điều chỉnh giá đất trên địa bàn tỉnh Vĩnh Long năm 2026.</w:t>
      </w:r>
    </w:p>
    <w:p w:rsidR="007D0BAB" w:rsidRDefault="00CB6F8B" w:rsidP="002C7A00">
      <w:pPr>
        <w:pStyle w:val="BodyText"/>
        <w:spacing w:before="120"/>
        <w:ind w:firstLine="600"/>
        <w:jc w:val="both"/>
      </w:pPr>
      <w:r>
        <w:rPr>
          <w:b/>
          <w:bCs/>
        </w:rPr>
        <w:t>Điều 1</w:t>
      </w:r>
      <w:r>
        <w:t xml:space="preserve">. </w:t>
      </w:r>
      <w:r>
        <w:rPr>
          <w:b/>
          <w:bCs/>
        </w:rPr>
        <w:t>Phạm vi điều chỉnh, đối tượng áp dụng</w:t>
      </w:r>
    </w:p>
    <w:p w:rsidR="007D0BAB" w:rsidRDefault="00CB6F8B" w:rsidP="002C7A00">
      <w:pPr>
        <w:pStyle w:val="BodyText"/>
        <w:numPr>
          <w:ilvl w:val="0"/>
          <w:numId w:val="1"/>
        </w:numPr>
        <w:tabs>
          <w:tab w:val="left" w:pos="949"/>
        </w:tabs>
        <w:spacing w:before="120"/>
        <w:ind w:firstLine="600"/>
        <w:jc w:val="both"/>
      </w:pPr>
      <w:bookmarkStart w:id="1" w:name="bookmark0"/>
      <w:bookmarkEnd w:id="1"/>
      <w:r>
        <w:t>Phạm vi điều chỉnh</w:t>
      </w:r>
    </w:p>
    <w:p w:rsidR="007D0BAB" w:rsidRDefault="00CB6F8B" w:rsidP="002C7A00">
      <w:pPr>
        <w:pStyle w:val="BodyText"/>
        <w:spacing w:before="120"/>
        <w:ind w:firstLine="600"/>
        <w:jc w:val="both"/>
      </w:pPr>
      <w:r>
        <w:t>Qu</w:t>
      </w:r>
      <w:r>
        <w:t xml:space="preserve">yết định này ban hành hệ số điều chỉnh giá đất năm 2026 trên địa bàn tỉnh Vĩnh Long theo quy định tại khoản 2 Điều 8 Nghị quyết số 254/2025/QH15 ngày 11 tháng 12 năm 2025 của Quốc hội quy định một số cơ chế, chính sách tháo gỡ khó khăn, vướng mắc trong tổ </w:t>
      </w:r>
      <w:r>
        <w:t>chức thi hành Luật Đất đai.</w:t>
      </w:r>
    </w:p>
    <w:p w:rsidR="007D0BAB" w:rsidRDefault="00CB6F8B" w:rsidP="002C7A00">
      <w:pPr>
        <w:pStyle w:val="BodyText"/>
        <w:numPr>
          <w:ilvl w:val="0"/>
          <w:numId w:val="1"/>
        </w:numPr>
        <w:tabs>
          <w:tab w:val="left" w:pos="978"/>
        </w:tabs>
        <w:spacing w:before="120"/>
        <w:ind w:firstLine="600"/>
        <w:jc w:val="both"/>
      </w:pPr>
      <w:bookmarkStart w:id="2" w:name="bookmark1"/>
      <w:bookmarkEnd w:id="2"/>
      <w:r>
        <w:t>Đối tượng áp dụng</w:t>
      </w:r>
    </w:p>
    <w:p w:rsidR="007D0BAB" w:rsidRDefault="00CB6F8B" w:rsidP="002C7A00">
      <w:pPr>
        <w:pStyle w:val="BodyText"/>
        <w:numPr>
          <w:ilvl w:val="0"/>
          <w:numId w:val="2"/>
        </w:numPr>
        <w:tabs>
          <w:tab w:val="left" w:pos="963"/>
        </w:tabs>
        <w:spacing w:before="120"/>
        <w:ind w:firstLine="600"/>
        <w:jc w:val="both"/>
      </w:pPr>
      <w:bookmarkStart w:id="3" w:name="bookmark2"/>
      <w:bookmarkEnd w:id="3"/>
      <w:r>
        <w:t>Cơ quan có chức năng quản lý đất đai; cơ quan có chức năng quản lý xây dựng; cơ quan thuế; cơ quan tài chính; các cơ quan và đơn vị có liên quan;</w:t>
      </w:r>
    </w:p>
    <w:p w:rsidR="007D0BAB" w:rsidRDefault="00CB6F8B" w:rsidP="002C7A00">
      <w:pPr>
        <w:pStyle w:val="BodyText"/>
        <w:numPr>
          <w:ilvl w:val="0"/>
          <w:numId w:val="2"/>
        </w:numPr>
        <w:tabs>
          <w:tab w:val="left" w:pos="1021"/>
        </w:tabs>
        <w:spacing w:before="120"/>
        <w:ind w:firstLine="600"/>
        <w:jc w:val="both"/>
      </w:pPr>
      <w:bookmarkStart w:id="4" w:name="bookmark3"/>
      <w:bookmarkEnd w:id="4"/>
      <w:r>
        <w:t>Tổ chức, cá nhân có chức năng tư vấn xác định giá đất;</w:t>
      </w:r>
    </w:p>
    <w:p w:rsidR="007D0BAB" w:rsidRDefault="00CB6F8B" w:rsidP="002C7A00">
      <w:pPr>
        <w:pStyle w:val="BodyText"/>
        <w:numPr>
          <w:ilvl w:val="0"/>
          <w:numId w:val="2"/>
        </w:numPr>
        <w:tabs>
          <w:tab w:val="left" w:pos="968"/>
        </w:tabs>
        <w:spacing w:before="120"/>
        <w:ind w:firstLine="580"/>
        <w:jc w:val="both"/>
      </w:pPr>
      <w:bookmarkStart w:id="5" w:name="bookmark4"/>
      <w:bookmarkEnd w:id="5"/>
      <w:r>
        <w:t xml:space="preserve">Người sử </w:t>
      </w:r>
      <w:r>
        <w:t>dụng đất theo quy định của pháp luật về đất đai và các tổ chức, cá nhân khác có liên quan.</w:t>
      </w:r>
    </w:p>
    <w:p w:rsidR="007D0BAB" w:rsidRDefault="00CB6F8B" w:rsidP="002C7A00">
      <w:pPr>
        <w:pStyle w:val="BodyText"/>
        <w:spacing w:before="120"/>
        <w:ind w:firstLine="580"/>
        <w:jc w:val="both"/>
      </w:pPr>
      <w:r>
        <w:rPr>
          <w:b/>
          <w:bCs/>
        </w:rPr>
        <w:lastRenderedPageBreak/>
        <w:t>Điều 2</w:t>
      </w:r>
      <w:r>
        <w:t xml:space="preserve">. </w:t>
      </w:r>
      <w:r>
        <w:rPr>
          <w:b/>
          <w:bCs/>
        </w:rPr>
        <w:t>Hệ số điều chỉnh giá đất</w:t>
      </w:r>
    </w:p>
    <w:p w:rsidR="007D0BAB" w:rsidRDefault="00CB6F8B" w:rsidP="002C7A00">
      <w:pPr>
        <w:pStyle w:val="BodyText"/>
        <w:spacing w:before="120"/>
        <w:ind w:firstLine="580"/>
        <w:jc w:val="both"/>
      </w:pPr>
      <w:r>
        <w:t xml:space="preserve">Hệ số điều chỉnh giá đất đối với các loại đất tương ứng với khu vực, vị trí được quy định tại Nghị quyết số 39/2025/NQ-HĐND ngày 22 </w:t>
      </w:r>
      <w:r>
        <w:t>tháng 12 năm 2025 của Hội đồng nhân dân tỉnh ban hành Quy định Bảng giá đất lần đầu trên địa bàn tỉnh Vĩnh Long, cụ thể như sau:</w:t>
      </w:r>
    </w:p>
    <w:p w:rsidR="007D0BAB" w:rsidRPr="000E1FDF" w:rsidRDefault="000E1FDF" w:rsidP="000E1FDF">
      <w:pPr>
        <w:jc w:val="center"/>
        <w:rPr>
          <w:rFonts w:ascii="Times New Roman" w:hAnsi="Times New Roman" w:cs="Times New Roman"/>
          <w:sz w:val="28"/>
          <w:szCs w:val="28"/>
        </w:rPr>
      </w:pPr>
      <w:r w:rsidRPr="000E1FDF">
        <w:rPr>
          <w:rFonts w:ascii="Times New Roman" w:hAnsi="Times New Roman" w:cs="Times New Roman"/>
          <w:sz w:val="28"/>
          <w:szCs w:val="28"/>
        </w:rPr>
        <w:t>K</w:t>
      </w:r>
      <w:r w:rsidRPr="000E1FDF">
        <w:rPr>
          <w:rFonts w:ascii="Times New Roman" w:hAnsi="Times New Roman" w:cs="Times New Roman"/>
          <w:sz w:val="28"/>
          <w:szCs w:val="28"/>
          <w:lang w:val="en-US"/>
        </w:rPr>
        <w:t xml:space="preserve"> = </w:t>
      </w:r>
      <w:r w:rsidRPr="000E1FDF">
        <w:rPr>
          <w:rFonts w:ascii="Times New Roman" w:hAnsi="Times New Roman" w:cs="Times New Roman"/>
          <w:sz w:val="28"/>
          <w:szCs w:val="28"/>
        </w:rPr>
        <w:t>K</w:t>
      </w:r>
      <w:r w:rsidRPr="000E1FDF">
        <w:rPr>
          <w:rFonts w:ascii="Times New Roman" w:hAnsi="Times New Roman" w:cs="Times New Roman"/>
          <w:sz w:val="28"/>
          <w:szCs w:val="28"/>
          <w:vertAlign w:val="subscript"/>
        </w:rPr>
        <w:t>tt</w:t>
      </w:r>
      <w:r w:rsidRPr="000E1FDF">
        <w:rPr>
          <w:rFonts w:ascii="Times New Roman" w:hAnsi="Times New Roman" w:cs="Times New Roman"/>
          <w:sz w:val="28"/>
          <w:szCs w:val="28"/>
        </w:rPr>
        <w:t xml:space="preserve"> </w:t>
      </w:r>
      <w:r w:rsidRPr="000E1FDF">
        <w:rPr>
          <w:rFonts w:ascii="Times New Roman" w:hAnsi="Times New Roman" w:cs="Times New Roman"/>
          <w:sz w:val="28"/>
          <w:szCs w:val="28"/>
          <w:lang w:val="en-US"/>
        </w:rPr>
        <w:t>x</w:t>
      </w:r>
      <w:r w:rsidRPr="000E1FDF">
        <w:rPr>
          <w:rFonts w:ascii="Times New Roman" w:hAnsi="Times New Roman" w:cs="Times New Roman"/>
          <w:sz w:val="28"/>
          <w:szCs w:val="28"/>
        </w:rPr>
        <w:t xml:space="preserve"> K</w:t>
      </w:r>
      <w:r w:rsidRPr="000E1FDF">
        <w:rPr>
          <w:rFonts w:ascii="Times New Roman" w:hAnsi="Times New Roman" w:cs="Times New Roman"/>
          <w:sz w:val="28"/>
          <w:szCs w:val="28"/>
          <w:vertAlign w:val="subscript"/>
        </w:rPr>
        <w:t>qh</w:t>
      </w:r>
      <w:r w:rsidRPr="000E1FDF">
        <w:rPr>
          <w:rFonts w:ascii="Times New Roman" w:hAnsi="Times New Roman" w:cs="Times New Roman"/>
          <w:sz w:val="28"/>
          <w:szCs w:val="28"/>
        </w:rPr>
        <w:t xml:space="preserve"> </w:t>
      </w:r>
      <w:r w:rsidRPr="000E1FDF">
        <w:rPr>
          <w:rFonts w:ascii="Times New Roman" w:hAnsi="Times New Roman" w:cs="Times New Roman"/>
          <w:sz w:val="28"/>
          <w:szCs w:val="28"/>
          <w:lang w:val="en-US"/>
        </w:rPr>
        <w:t>x</w:t>
      </w:r>
      <w:r w:rsidRPr="000E1FDF">
        <w:rPr>
          <w:rFonts w:ascii="Times New Roman" w:hAnsi="Times New Roman" w:cs="Times New Roman"/>
          <w:sz w:val="28"/>
          <w:szCs w:val="28"/>
        </w:rPr>
        <w:t xml:space="preserve"> K</w:t>
      </w:r>
      <w:r w:rsidRPr="000E1FDF">
        <w:rPr>
          <w:rFonts w:ascii="Times New Roman" w:hAnsi="Times New Roman" w:cs="Times New Roman"/>
          <w:sz w:val="28"/>
          <w:szCs w:val="28"/>
          <w:vertAlign w:val="subscript"/>
        </w:rPr>
        <w:t>ah</w:t>
      </w:r>
    </w:p>
    <w:p w:rsidR="007D0BAB" w:rsidRDefault="00CB6F8B">
      <w:pPr>
        <w:pStyle w:val="BodyText"/>
        <w:ind w:firstLine="580"/>
        <w:jc w:val="both"/>
      </w:pPr>
      <w:r>
        <w:t>Trong đó:</w:t>
      </w:r>
    </w:p>
    <w:p w:rsidR="007D0BAB" w:rsidRDefault="00CB6F8B">
      <w:pPr>
        <w:pStyle w:val="BodyText"/>
        <w:numPr>
          <w:ilvl w:val="0"/>
          <w:numId w:val="3"/>
        </w:numPr>
        <w:tabs>
          <w:tab w:val="left" w:pos="929"/>
        </w:tabs>
        <w:ind w:firstLine="580"/>
        <w:jc w:val="both"/>
      </w:pPr>
      <w:bookmarkStart w:id="6" w:name="bookmark5"/>
      <w:bookmarkEnd w:id="6"/>
      <w:r>
        <w:t>K: Hệ số điều chỉnh giá đất;</w:t>
      </w:r>
    </w:p>
    <w:p w:rsidR="007D0BAB" w:rsidRDefault="00CB6F8B">
      <w:pPr>
        <w:pStyle w:val="BodyText"/>
        <w:numPr>
          <w:ilvl w:val="0"/>
          <w:numId w:val="3"/>
        </w:numPr>
        <w:tabs>
          <w:tab w:val="left" w:pos="953"/>
        </w:tabs>
        <w:ind w:firstLine="580"/>
        <w:jc w:val="both"/>
      </w:pPr>
      <w:bookmarkStart w:id="7" w:name="bookmark6"/>
      <w:bookmarkEnd w:id="7"/>
      <w:r>
        <w:t>K</w:t>
      </w:r>
      <w:r>
        <w:rPr>
          <w:vertAlign w:val="subscript"/>
        </w:rPr>
        <w:t>tt</w:t>
      </w:r>
      <w:r>
        <w:t>: Hệ số điều chỉnh mức biến động thị trường, được xác định: K</w:t>
      </w:r>
      <w:r>
        <w:rPr>
          <w:vertAlign w:val="subscript"/>
        </w:rPr>
        <w:t>tt</w:t>
      </w:r>
      <w:r>
        <w:t xml:space="preserve"> = 1</w:t>
      </w:r>
      <w:r>
        <w:t>,00;</w:t>
      </w:r>
    </w:p>
    <w:p w:rsidR="007D0BAB" w:rsidRDefault="00CB6F8B">
      <w:pPr>
        <w:pStyle w:val="BodyText"/>
        <w:numPr>
          <w:ilvl w:val="0"/>
          <w:numId w:val="3"/>
        </w:numPr>
        <w:tabs>
          <w:tab w:val="left" w:pos="953"/>
        </w:tabs>
        <w:ind w:firstLine="580"/>
        <w:jc w:val="both"/>
      </w:pPr>
      <w:bookmarkStart w:id="8" w:name="bookmark7"/>
      <w:bookmarkEnd w:id="8"/>
      <w:r>
        <w:t>K</w:t>
      </w:r>
      <w:r>
        <w:rPr>
          <w:vertAlign w:val="subscript"/>
        </w:rPr>
        <w:t>qh</w:t>
      </w:r>
      <w:r>
        <w:t>: Hệ số điều chỉnh theo quy hoạch, được xác định như sau:</w:t>
      </w:r>
    </w:p>
    <w:p w:rsidR="007D0BAB" w:rsidRDefault="00CB6F8B">
      <w:pPr>
        <w:pStyle w:val="Tablecaption0"/>
        <w:ind w:left="3850" w:firstLine="0"/>
      </w:pPr>
      <w:r>
        <w:rPr>
          <w:b/>
          <w:bCs/>
        </w:rPr>
        <w:t>Bảng hệ số</w:t>
      </w:r>
    </w:p>
    <w:tbl>
      <w:tblPr>
        <w:tblOverlap w:val="never"/>
        <w:tblW w:w="0" w:type="auto"/>
        <w:jc w:val="center"/>
        <w:tblInd w:w="-76" w:type="dxa"/>
        <w:tblLayout w:type="fixed"/>
        <w:tblCellMar>
          <w:left w:w="10" w:type="dxa"/>
          <w:right w:w="10" w:type="dxa"/>
        </w:tblCellMar>
        <w:tblLook w:val="0000" w:firstRow="0" w:lastRow="0" w:firstColumn="0" w:lastColumn="0" w:noHBand="0" w:noVBand="0"/>
      </w:tblPr>
      <w:tblGrid>
        <w:gridCol w:w="921"/>
        <w:gridCol w:w="4666"/>
        <w:gridCol w:w="3528"/>
      </w:tblGrid>
      <w:tr w:rsidR="007D0BAB" w:rsidTr="000E1FDF">
        <w:tblPrEx>
          <w:tblCellMar>
            <w:top w:w="0" w:type="dxa"/>
            <w:bottom w:w="0" w:type="dxa"/>
          </w:tblCellMar>
        </w:tblPrEx>
        <w:trPr>
          <w:trHeight w:hRule="exact" w:val="739"/>
          <w:jc w:val="center"/>
        </w:trPr>
        <w:tc>
          <w:tcPr>
            <w:tcW w:w="921" w:type="dxa"/>
            <w:tcBorders>
              <w:top w:val="single" w:sz="4" w:space="0" w:color="auto"/>
              <w:left w:val="single" w:sz="4" w:space="0" w:color="auto"/>
            </w:tcBorders>
            <w:shd w:val="clear" w:color="auto" w:fill="FFFFFF"/>
            <w:vAlign w:val="center"/>
          </w:tcPr>
          <w:p w:rsidR="007D0BAB" w:rsidRDefault="00CB6F8B">
            <w:pPr>
              <w:pStyle w:val="Other0"/>
              <w:spacing w:after="0"/>
              <w:ind w:firstLine="0"/>
              <w:jc w:val="center"/>
              <w:rPr>
                <w:sz w:val="26"/>
                <w:szCs w:val="26"/>
              </w:rPr>
            </w:pPr>
            <w:r>
              <w:rPr>
                <w:b/>
                <w:bCs/>
                <w:sz w:val="26"/>
                <w:szCs w:val="26"/>
              </w:rPr>
              <w:t>STT</w:t>
            </w:r>
          </w:p>
        </w:tc>
        <w:tc>
          <w:tcPr>
            <w:tcW w:w="4666" w:type="dxa"/>
            <w:tcBorders>
              <w:top w:val="single" w:sz="4" w:space="0" w:color="auto"/>
              <w:left w:val="single" w:sz="4" w:space="0" w:color="auto"/>
            </w:tcBorders>
            <w:shd w:val="clear" w:color="auto" w:fill="FFFFFF"/>
            <w:vAlign w:val="center"/>
          </w:tcPr>
          <w:p w:rsidR="007D0BAB" w:rsidRDefault="00CB6F8B">
            <w:pPr>
              <w:pStyle w:val="Other0"/>
              <w:spacing w:after="0"/>
              <w:ind w:firstLine="0"/>
              <w:jc w:val="center"/>
              <w:rPr>
                <w:sz w:val="26"/>
                <w:szCs w:val="26"/>
              </w:rPr>
            </w:pPr>
            <w:r>
              <w:rPr>
                <w:b/>
                <w:bCs/>
                <w:sz w:val="26"/>
                <w:szCs w:val="26"/>
              </w:rPr>
              <w:t>Hệ số sử dụng đất (H)</w:t>
            </w:r>
          </w:p>
        </w:tc>
        <w:tc>
          <w:tcPr>
            <w:tcW w:w="3528" w:type="dxa"/>
            <w:tcBorders>
              <w:top w:val="single" w:sz="4" w:space="0" w:color="auto"/>
              <w:left w:val="single" w:sz="4" w:space="0" w:color="auto"/>
              <w:right w:val="single" w:sz="4" w:space="0" w:color="auto"/>
            </w:tcBorders>
            <w:shd w:val="clear" w:color="auto" w:fill="FFFFFF"/>
            <w:vAlign w:val="bottom"/>
          </w:tcPr>
          <w:p w:rsidR="007D0BAB" w:rsidRDefault="00CB6F8B">
            <w:pPr>
              <w:pStyle w:val="Other0"/>
              <w:spacing w:after="0"/>
              <w:ind w:firstLine="0"/>
              <w:jc w:val="center"/>
              <w:rPr>
                <w:sz w:val="26"/>
                <w:szCs w:val="26"/>
              </w:rPr>
            </w:pPr>
            <w:r>
              <w:rPr>
                <w:b/>
                <w:bCs/>
                <w:sz w:val="26"/>
                <w:szCs w:val="26"/>
              </w:rPr>
              <w:t>Hệ số điều chỉnh theo quy hoạch (K</w:t>
            </w:r>
            <w:r>
              <w:rPr>
                <w:b/>
                <w:bCs/>
                <w:sz w:val="17"/>
                <w:szCs w:val="17"/>
              </w:rPr>
              <w:t>qh</w:t>
            </w:r>
            <w:r>
              <w:rPr>
                <w:b/>
                <w:bCs/>
                <w:sz w:val="26"/>
                <w:szCs w:val="26"/>
              </w:rPr>
              <w:t>)</w:t>
            </w:r>
          </w:p>
        </w:tc>
      </w:tr>
      <w:tr w:rsidR="007D0BAB" w:rsidTr="000E1FDF">
        <w:tblPrEx>
          <w:tblCellMar>
            <w:top w:w="0" w:type="dxa"/>
            <w:bottom w:w="0" w:type="dxa"/>
          </w:tblCellMar>
        </w:tblPrEx>
        <w:trPr>
          <w:trHeight w:hRule="exact" w:val="403"/>
          <w:jc w:val="center"/>
        </w:trPr>
        <w:tc>
          <w:tcPr>
            <w:tcW w:w="921" w:type="dxa"/>
            <w:tcBorders>
              <w:top w:val="single" w:sz="4" w:space="0" w:color="auto"/>
              <w:left w:val="single" w:sz="4" w:space="0" w:color="auto"/>
            </w:tcBorders>
            <w:shd w:val="clear" w:color="auto" w:fill="FFFFFF"/>
            <w:vAlign w:val="bottom"/>
          </w:tcPr>
          <w:p w:rsidR="007D0BAB" w:rsidRDefault="00CB6F8B">
            <w:pPr>
              <w:pStyle w:val="Other0"/>
              <w:spacing w:after="0"/>
              <w:ind w:firstLine="0"/>
              <w:jc w:val="center"/>
              <w:rPr>
                <w:sz w:val="24"/>
                <w:szCs w:val="24"/>
              </w:rPr>
            </w:pPr>
            <w:r>
              <w:rPr>
                <w:sz w:val="24"/>
                <w:szCs w:val="24"/>
              </w:rPr>
              <w:t>(1)</w:t>
            </w:r>
          </w:p>
        </w:tc>
        <w:tc>
          <w:tcPr>
            <w:tcW w:w="4666" w:type="dxa"/>
            <w:tcBorders>
              <w:top w:val="single" w:sz="4" w:space="0" w:color="auto"/>
              <w:left w:val="single" w:sz="4" w:space="0" w:color="auto"/>
            </w:tcBorders>
            <w:shd w:val="clear" w:color="auto" w:fill="FFFFFF"/>
            <w:vAlign w:val="bottom"/>
          </w:tcPr>
          <w:p w:rsidR="007D0BAB" w:rsidRDefault="00CB6F8B">
            <w:pPr>
              <w:pStyle w:val="Other0"/>
              <w:spacing w:after="0"/>
              <w:ind w:firstLine="0"/>
              <w:jc w:val="center"/>
              <w:rPr>
                <w:sz w:val="24"/>
                <w:szCs w:val="24"/>
              </w:rPr>
            </w:pPr>
            <w:r>
              <w:rPr>
                <w:sz w:val="24"/>
                <w:szCs w:val="24"/>
              </w:rPr>
              <w:t>(2)</w:t>
            </w:r>
          </w:p>
        </w:tc>
        <w:tc>
          <w:tcPr>
            <w:tcW w:w="3528" w:type="dxa"/>
            <w:tcBorders>
              <w:top w:val="single" w:sz="4" w:space="0" w:color="auto"/>
              <w:left w:val="single" w:sz="4" w:space="0" w:color="auto"/>
              <w:right w:val="single" w:sz="4" w:space="0" w:color="auto"/>
            </w:tcBorders>
            <w:shd w:val="clear" w:color="auto" w:fill="FFFFFF"/>
            <w:vAlign w:val="bottom"/>
          </w:tcPr>
          <w:p w:rsidR="007D0BAB" w:rsidRDefault="00CB6F8B">
            <w:pPr>
              <w:pStyle w:val="Other0"/>
              <w:spacing w:after="0"/>
              <w:ind w:firstLine="0"/>
              <w:jc w:val="center"/>
              <w:rPr>
                <w:sz w:val="24"/>
                <w:szCs w:val="24"/>
              </w:rPr>
            </w:pPr>
            <w:r>
              <w:rPr>
                <w:sz w:val="24"/>
                <w:szCs w:val="24"/>
              </w:rPr>
              <w:t>(3)</w:t>
            </w:r>
          </w:p>
        </w:tc>
      </w:tr>
      <w:tr w:rsidR="007D0BAB" w:rsidTr="000E1FDF">
        <w:tblPrEx>
          <w:tblCellMar>
            <w:top w:w="0" w:type="dxa"/>
            <w:bottom w:w="0" w:type="dxa"/>
          </w:tblCellMar>
        </w:tblPrEx>
        <w:trPr>
          <w:trHeight w:hRule="exact" w:val="1027"/>
          <w:jc w:val="center"/>
        </w:trPr>
        <w:tc>
          <w:tcPr>
            <w:tcW w:w="921" w:type="dxa"/>
            <w:tcBorders>
              <w:top w:val="single" w:sz="4" w:space="0" w:color="auto"/>
              <w:left w:val="single" w:sz="4" w:space="0" w:color="auto"/>
            </w:tcBorders>
            <w:shd w:val="clear" w:color="auto" w:fill="FFFFFF"/>
            <w:vAlign w:val="center"/>
          </w:tcPr>
          <w:p w:rsidR="007D0BAB" w:rsidRDefault="00CB6F8B">
            <w:pPr>
              <w:pStyle w:val="Other0"/>
              <w:spacing w:after="0"/>
              <w:ind w:firstLine="360"/>
              <w:rPr>
                <w:sz w:val="26"/>
                <w:szCs w:val="26"/>
              </w:rPr>
            </w:pPr>
            <w:r>
              <w:rPr>
                <w:sz w:val="26"/>
                <w:szCs w:val="26"/>
              </w:rPr>
              <w:t>1</w:t>
            </w:r>
          </w:p>
        </w:tc>
        <w:tc>
          <w:tcPr>
            <w:tcW w:w="4666" w:type="dxa"/>
            <w:tcBorders>
              <w:top w:val="single" w:sz="4" w:space="0" w:color="auto"/>
              <w:left w:val="single" w:sz="4" w:space="0" w:color="auto"/>
            </w:tcBorders>
            <w:shd w:val="clear" w:color="auto" w:fill="FFFFFF"/>
            <w:vAlign w:val="bottom"/>
          </w:tcPr>
          <w:p w:rsidR="007D0BAB" w:rsidRDefault="00CB6F8B">
            <w:pPr>
              <w:pStyle w:val="Other0"/>
              <w:spacing w:after="0"/>
              <w:ind w:firstLine="0"/>
              <w:jc w:val="center"/>
              <w:rPr>
                <w:sz w:val="26"/>
                <w:szCs w:val="26"/>
              </w:rPr>
            </w:pPr>
            <w:r>
              <w:rPr>
                <w:sz w:val="26"/>
                <w:szCs w:val="26"/>
              </w:rPr>
              <w:t xml:space="preserve">H &lt; 1,5 hoặc chưa có quy hoạch chi tiết được phê duyệt hoặc loại đất không có chỉ tiêu hệ số sử </w:t>
            </w:r>
            <w:r>
              <w:rPr>
                <w:sz w:val="26"/>
                <w:szCs w:val="26"/>
              </w:rPr>
              <w:t>dụng đất</w:t>
            </w:r>
          </w:p>
        </w:tc>
        <w:tc>
          <w:tcPr>
            <w:tcW w:w="3528" w:type="dxa"/>
            <w:tcBorders>
              <w:top w:val="single" w:sz="4" w:space="0" w:color="auto"/>
              <w:left w:val="single" w:sz="4" w:space="0" w:color="auto"/>
              <w:right w:val="single" w:sz="4" w:space="0" w:color="auto"/>
            </w:tcBorders>
            <w:shd w:val="clear" w:color="auto" w:fill="FFFFFF"/>
            <w:vAlign w:val="center"/>
          </w:tcPr>
          <w:p w:rsidR="007D0BAB" w:rsidRDefault="00CB6F8B">
            <w:pPr>
              <w:pStyle w:val="Other0"/>
              <w:spacing w:after="0"/>
              <w:ind w:firstLine="0"/>
              <w:jc w:val="center"/>
              <w:rPr>
                <w:sz w:val="26"/>
                <w:szCs w:val="26"/>
              </w:rPr>
            </w:pPr>
            <w:r>
              <w:rPr>
                <w:sz w:val="26"/>
                <w:szCs w:val="26"/>
              </w:rPr>
              <w:t>K</w:t>
            </w:r>
            <w:r>
              <w:rPr>
                <w:sz w:val="17"/>
                <w:szCs w:val="17"/>
              </w:rPr>
              <w:t xml:space="preserve">qh </w:t>
            </w:r>
            <w:r>
              <w:rPr>
                <w:sz w:val="26"/>
                <w:szCs w:val="26"/>
              </w:rPr>
              <w:t>= 1,00</w:t>
            </w:r>
          </w:p>
        </w:tc>
      </w:tr>
      <w:tr w:rsidR="007D0BAB" w:rsidTr="000E1FDF">
        <w:tblPrEx>
          <w:tblCellMar>
            <w:top w:w="0" w:type="dxa"/>
            <w:bottom w:w="0" w:type="dxa"/>
          </w:tblCellMar>
        </w:tblPrEx>
        <w:trPr>
          <w:trHeight w:hRule="exact" w:val="432"/>
          <w:jc w:val="center"/>
        </w:trPr>
        <w:tc>
          <w:tcPr>
            <w:tcW w:w="921" w:type="dxa"/>
            <w:tcBorders>
              <w:top w:val="single" w:sz="4" w:space="0" w:color="auto"/>
              <w:left w:val="single" w:sz="4" w:space="0" w:color="auto"/>
            </w:tcBorders>
            <w:shd w:val="clear" w:color="auto" w:fill="FFFFFF"/>
            <w:vAlign w:val="bottom"/>
          </w:tcPr>
          <w:p w:rsidR="007D0BAB" w:rsidRDefault="00CB6F8B">
            <w:pPr>
              <w:pStyle w:val="Other0"/>
              <w:spacing w:after="0"/>
              <w:ind w:firstLine="360"/>
              <w:rPr>
                <w:sz w:val="26"/>
                <w:szCs w:val="26"/>
              </w:rPr>
            </w:pPr>
            <w:r>
              <w:rPr>
                <w:sz w:val="26"/>
                <w:szCs w:val="26"/>
              </w:rPr>
              <w:t>2</w:t>
            </w:r>
          </w:p>
        </w:tc>
        <w:tc>
          <w:tcPr>
            <w:tcW w:w="4666" w:type="dxa"/>
            <w:tcBorders>
              <w:top w:val="single" w:sz="4" w:space="0" w:color="auto"/>
              <w:left w:val="single" w:sz="4" w:space="0" w:color="auto"/>
            </w:tcBorders>
            <w:shd w:val="clear" w:color="auto" w:fill="FFFFFF"/>
            <w:vAlign w:val="bottom"/>
          </w:tcPr>
          <w:p w:rsidR="007D0BAB" w:rsidRDefault="00CB6F8B">
            <w:pPr>
              <w:pStyle w:val="Other0"/>
              <w:spacing w:after="0"/>
              <w:ind w:firstLine="0"/>
              <w:jc w:val="center"/>
              <w:rPr>
                <w:sz w:val="26"/>
                <w:szCs w:val="26"/>
              </w:rPr>
            </w:pPr>
            <w:r>
              <w:rPr>
                <w:sz w:val="26"/>
                <w:szCs w:val="26"/>
              </w:rPr>
              <w:t>1,5 &lt; H &lt; 3,0</w:t>
            </w:r>
          </w:p>
        </w:tc>
        <w:tc>
          <w:tcPr>
            <w:tcW w:w="3528" w:type="dxa"/>
            <w:tcBorders>
              <w:top w:val="single" w:sz="4" w:space="0" w:color="auto"/>
              <w:left w:val="single" w:sz="4" w:space="0" w:color="auto"/>
              <w:right w:val="single" w:sz="4" w:space="0" w:color="auto"/>
            </w:tcBorders>
            <w:shd w:val="clear" w:color="auto" w:fill="FFFFFF"/>
            <w:vAlign w:val="bottom"/>
          </w:tcPr>
          <w:p w:rsidR="007D0BAB" w:rsidRDefault="00CB6F8B">
            <w:pPr>
              <w:pStyle w:val="Other0"/>
              <w:spacing w:after="0"/>
              <w:ind w:firstLine="0"/>
              <w:jc w:val="center"/>
              <w:rPr>
                <w:sz w:val="26"/>
                <w:szCs w:val="26"/>
              </w:rPr>
            </w:pPr>
            <w:r>
              <w:rPr>
                <w:sz w:val="26"/>
                <w:szCs w:val="26"/>
              </w:rPr>
              <w:t>1,00 &lt; K</w:t>
            </w:r>
            <w:r>
              <w:rPr>
                <w:sz w:val="17"/>
                <w:szCs w:val="17"/>
              </w:rPr>
              <w:t xml:space="preserve">qh </w:t>
            </w:r>
            <w:r>
              <w:rPr>
                <w:sz w:val="26"/>
                <w:szCs w:val="26"/>
              </w:rPr>
              <w:t>&lt; 1,20</w:t>
            </w:r>
          </w:p>
        </w:tc>
      </w:tr>
      <w:tr w:rsidR="007D0BAB" w:rsidTr="000E1FDF">
        <w:tblPrEx>
          <w:tblCellMar>
            <w:top w:w="0" w:type="dxa"/>
            <w:bottom w:w="0" w:type="dxa"/>
          </w:tblCellMar>
        </w:tblPrEx>
        <w:trPr>
          <w:trHeight w:hRule="exact" w:val="427"/>
          <w:jc w:val="center"/>
        </w:trPr>
        <w:tc>
          <w:tcPr>
            <w:tcW w:w="921" w:type="dxa"/>
            <w:tcBorders>
              <w:top w:val="single" w:sz="4" w:space="0" w:color="auto"/>
              <w:left w:val="single" w:sz="4" w:space="0" w:color="auto"/>
            </w:tcBorders>
            <w:shd w:val="clear" w:color="auto" w:fill="FFFFFF"/>
            <w:vAlign w:val="bottom"/>
          </w:tcPr>
          <w:p w:rsidR="007D0BAB" w:rsidRDefault="00CB6F8B">
            <w:pPr>
              <w:pStyle w:val="Other0"/>
              <w:spacing w:after="0"/>
              <w:ind w:firstLine="360"/>
              <w:rPr>
                <w:sz w:val="26"/>
                <w:szCs w:val="26"/>
              </w:rPr>
            </w:pPr>
            <w:r>
              <w:rPr>
                <w:sz w:val="26"/>
                <w:szCs w:val="26"/>
              </w:rPr>
              <w:t>3</w:t>
            </w:r>
          </w:p>
        </w:tc>
        <w:tc>
          <w:tcPr>
            <w:tcW w:w="4666" w:type="dxa"/>
            <w:tcBorders>
              <w:top w:val="single" w:sz="4" w:space="0" w:color="auto"/>
              <w:left w:val="single" w:sz="4" w:space="0" w:color="auto"/>
            </w:tcBorders>
            <w:shd w:val="clear" w:color="auto" w:fill="FFFFFF"/>
            <w:vAlign w:val="bottom"/>
          </w:tcPr>
          <w:p w:rsidR="007D0BAB" w:rsidRDefault="00CB6F8B">
            <w:pPr>
              <w:pStyle w:val="Other0"/>
              <w:spacing w:after="0"/>
              <w:ind w:firstLine="0"/>
              <w:jc w:val="center"/>
              <w:rPr>
                <w:sz w:val="26"/>
                <w:szCs w:val="26"/>
              </w:rPr>
            </w:pPr>
            <w:r>
              <w:rPr>
                <w:sz w:val="26"/>
                <w:szCs w:val="26"/>
              </w:rPr>
              <w:t>3,0 &lt; H &lt; 5,0</w:t>
            </w:r>
          </w:p>
        </w:tc>
        <w:tc>
          <w:tcPr>
            <w:tcW w:w="3528" w:type="dxa"/>
            <w:tcBorders>
              <w:top w:val="single" w:sz="4" w:space="0" w:color="auto"/>
              <w:left w:val="single" w:sz="4" w:space="0" w:color="auto"/>
              <w:right w:val="single" w:sz="4" w:space="0" w:color="auto"/>
            </w:tcBorders>
            <w:shd w:val="clear" w:color="auto" w:fill="FFFFFF"/>
            <w:vAlign w:val="bottom"/>
          </w:tcPr>
          <w:p w:rsidR="007D0BAB" w:rsidRDefault="00CB6F8B">
            <w:pPr>
              <w:pStyle w:val="Other0"/>
              <w:spacing w:after="0"/>
              <w:ind w:firstLine="0"/>
              <w:jc w:val="center"/>
              <w:rPr>
                <w:sz w:val="26"/>
                <w:szCs w:val="26"/>
              </w:rPr>
            </w:pPr>
            <w:r>
              <w:rPr>
                <w:sz w:val="26"/>
                <w:szCs w:val="26"/>
              </w:rPr>
              <w:t>1,20 &lt; K</w:t>
            </w:r>
            <w:r>
              <w:rPr>
                <w:sz w:val="17"/>
                <w:szCs w:val="17"/>
              </w:rPr>
              <w:t xml:space="preserve">qh </w:t>
            </w:r>
            <w:r>
              <w:rPr>
                <w:sz w:val="26"/>
                <w:szCs w:val="26"/>
              </w:rPr>
              <w:t>&lt; 1,25</w:t>
            </w:r>
          </w:p>
        </w:tc>
      </w:tr>
      <w:tr w:rsidR="007D0BAB" w:rsidTr="000E1FDF">
        <w:tblPrEx>
          <w:tblCellMar>
            <w:top w:w="0" w:type="dxa"/>
            <w:bottom w:w="0" w:type="dxa"/>
          </w:tblCellMar>
        </w:tblPrEx>
        <w:trPr>
          <w:trHeight w:hRule="exact" w:val="427"/>
          <w:jc w:val="center"/>
        </w:trPr>
        <w:tc>
          <w:tcPr>
            <w:tcW w:w="921" w:type="dxa"/>
            <w:tcBorders>
              <w:top w:val="single" w:sz="4" w:space="0" w:color="auto"/>
              <w:left w:val="single" w:sz="4" w:space="0" w:color="auto"/>
            </w:tcBorders>
            <w:shd w:val="clear" w:color="auto" w:fill="FFFFFF"/>
            <w:vAlign w:val="bottom"/>
          </w:tcPr>
          <w:p w:rsidR="007D0BAB" w:rsidRDefault="00CB6F8B">
            <w:pPr>
              <w:pStyle w:val="Other0"/>
              <w:spacing w:after="0"/>
              <w:ind w:firstLine="360"/>
              <w:rPr>
                <w:sz w:val="26"/>
                <w:szCs w:val="26"/>
              </w:rPr>
            </w:pPr>
            <w:r>
              <w:rPr>
                <w:sz w:val="26"/>
                <w:szCs w:val="26"/>
              </w:rPr>
              <w:t>4</w:t>
            </w:r>
          </w:p>
        </w:tc>
        <w:tc>
          <w:tcPr>
            <w:tcW w:w="4666" w:type="dxa"/>
            <w:tcBorders>
              <w:top w:val="single" w:sz="4" w:space="0" w:color="auto"/>
              <w:left w:val="single" w:sz="4" w:space="0" w:color="auto"/>
            </w:tcBorders>
            <w:shd w:val="clear" w:color="auto" w:fill="FFFFFF"/>
            <w:vAlign w:val="bottom"/>
          </w:tcPr>
          <w:p w:rsidR="007D0BAB" w:rsidRDefault="00CB6F8B">
            <w:pPr>
              <w:pStyle w:val="Other0"/>
              <w:spacing w:after="0"/>
              <w:ind w:firstLine="0"/>
              <w:jc w:val="center"/>
              <w:rPr>
                <w:sz w:val="26"/>
                <w:szCs w:val="26"/>
              </w:rPr>
            </w:pPr>
            <w:r>
              <w:rPr>
                <w:sz w:val="26"/>
                <w:szCs w:val="26"/>
              </w:rPr>
              <w:t>5,0 &lt; H &lt; 7,0</w:t>
            </w:r>
          </w:p>
        </w:tc>
        <w:tc>
          <w:tcPr>
            <w:tcW w:w="3528" w:type="dxa"/>
            <w:tcBorders>
              <w:top w:val="single" w:sz="4" w:space="0" w:color="auto"/>
              <w:left w:val="single" w:sz="4" w:space="0" w:color="auto"/>
              <w:right w:val="single" w:sz="4" w:space="0" w:color="auto"/>
            </w:tcBorders>
            <w:shd w:val="clear" w:color="auto" w:fill="FFFFFF"/>
            <w:vAlign w:val="bottom"/>
          </w:tcPr>
          <w:p w:rsidR="007D0BAB" w:rsidRDefault="00CB6F8B">
            <w:pPr>
              <w:pStyle w:val="Other0"/>
              <w:spacing w:after="0"/>
              <w:ind w:firstLine="0"/>
              <w:jc w:val="center"/>
              <w:rPr>
                <w:sz w:val="26"/>
                <w:szCs w:val="26"/>
              </w:rPr>
            </w:pPr>
            <w:r>
              <w:rPr>
                <w:sz w:val="26"/>
                <w:szCs w:val="26"/>
              </w:rPr>
              <w:t>1,25 &lt; K</w:t>
            </w:r>
            <w:r>
              <w:rPr>
                <w:sz w:val="17"/>
                <w:szCs w:val="17"/>
              </w:rPr>
              <w:t xml:space="preserve">qh </w:t>
            </w:r>
            <w:r>
              <w:rPr>
                <w:sz w:val="26"/>
                <w:szCs w:val="26"/>
              </w:rPr>
              <w:t>&lt; 1,30</w:t>
            </w:r>
          </w:p>
        </w:tc>
      </w:tr>
      <w:tr w:rsidR="007D0BAB" w:rsidTr="000E1FDF">
        <w:tblPrEx>
          <w:tblCellMar>
            <w:top w:w="0" w:type="dxa"/>
            <w:bottom w:w="0" w:type="dxa"/>
          </w:tblCellMar>
        </w:tblPrEx>
        <w:trPr>
          <w:trHeight w:hRule="exact" w:val="442"/>
          <w:jc w:val="center"/>
        </w:trPr>
        <w:tc>
          <w:tcPr>
            <w:tcW w:w="921" w:type="dxa"/>
            <w:tcBorders>
              <w:top w:val="single" w:sz="4" w:space="0" w:color="auto"/>
              <w:left w:val="single" w:sz="4" w:space="0" w:color="auto"/>
              <w:bottom w:val="single" w:sz="4" w:space="0" w:color="auto"/>
            </w:tcBorders>
            <w:shd w:val="clear" w:color="auto" w:fill="FFFFFF"/>
            <w:vAlign w:val="bottom"/>
          </w:tcPr>
          <w:p w:rsidR="007D0BAB" w:rsidRDefault="00CB6F8B">
            <w:pPr>
              <w:pStyle w:val="Other0"/>
              <w:spacing w:after="0"/>
              <w:ind w:firstLine="360"/>
              <w:rPr>
                <w:sz w:val="26"/>
                <w:szCs w:val="26"/>
              </w:rPr>
            </w:pPr>
            <w:r>
              <w:rPr>
                <w:sz w:val="26"/>
                <w:szCs w:val="26"/>
              </w:rPr>
              <w:t>5</w:t>
            </w:r>
          </w:p>
        </w:tc>
        <w:tc>
          <w:tcPr>
            <w:tcW w:w="4666" w:type="dxa"/>
            <w:tcBorders>
              <w:top w:val="single" w:sz="4" w:space="0" w:color="auto"/>
              <w:left w:val="single" w:sz="4" w:space="0" w:color="auto"/>
              <w:bottom w:val="single" w:sz="4" w:space="0" w:color="auto"/>
            </w:tcBorders>
            <w:shd w:val="clear" w:color="auto" w:fill="FFFFFF"/>
            <w:vAlign w:val="bottom"/>
          </w:tcPr>
          <w:p w:rsidR="007D0BAB" w:rsidRDefault="00CB6F8B">
            <w:pPr>
              <w:pStyle w:val="Other0"/>
              <w:spacing w:after="0"/>
              <w:ind w:firstLine="0"/>
              <w:jc w:val="center"/>
              <w:rPr>
                <w:sz w:val="26"/>
                <w:szCs w:val="26"/>
              </w:rPr>
            </w:pPr>
            <w:r>
              <w:rPr>
                <w:sz w:val="26"/>
                <w:szCs w:val="26"/>
              </w:rPr>
              <w:t>H &gt;7,0</w:t>
            </w:r>
          </w:p>
        </w:tc>
        <w:tc>
          <w:tcPr>
            <w:tcW w:w="3528" w:type="dxa"/>
            <w:tcBorders>
              <w:top w:val="single" w:sz="4" w:space="0" w:color="auto"/>
              <w:left w:val="single" w:sz="4" w:space="0" w:color="auto"/>
              <w:bottom w:val="single" w:sz="4" w:space="0" w:color="auto"/>
              <w:right w:val="single" w:sz="4" w:space="0" w:color="auto"/>
            </w:tcBorders>
            <w:shd w:val="clear" w:color="auto" w:fill="FFFFFF"/>
            <w:vAlign w:val="bottom"/>
          </w:tcPr>
          <w:p w:rsidR="007D0BAB" w:rsidRDefault="00CB6F8B">
            <w:pPr>
              <w:pStyle w:val="Other0"/>
              <w:spacing w:after="0"/>
              <w:ind w:firstLine="0"/>
              <w:jc w:val="center"/>
              <w:rPr>
                <w:sz w:val="26"/>
                <w:szCs w:val="26"/>
              </w:rPr>
            </w:pPr>
            <w:r>
              <w:rPr>
                <w:sz w:val="26"/>
                <w:szCs w:val="26"/>
              </w:rPr>
              <w:t>K</w:t>
            </w:r>
            <w:r>
              <w:rPr>
                <w:sz w:val="17"/>
                <w:szCs w:val="17"/>
              </w:rPr>
              <w:t xml:space="preserve">qh </w:t>
            </w:r>
            <w:r>
              <w:rPr>
                <w:sz w:val="26"/>
                <w:szCs w:val="26"/>
              </w:rPr>
              <w:t>= 1,35</w:t>
            </w:r>
          </w:p>
        </w:tc>
      </w:tr>
    </w:tbl>
    <w:p w:rsidR="007D0BAB" w:rsidRDefault="00CB6F8B">
      <w:pPr>
        <w:pStyle w:val="Tablecaption0"/>
        <w:ind w:firstLine="0"/>
        <w:rPr>
          <w:lang w:val="en-US"/>
        </w:rPr>
      </w:pPr>
      <w:r>
        <w:t>Hệ số điều chỉnh theo quy hoạch (K</w:t>
      </w:r>
      <w:r>
        <w:rPr>
          <w:vertAlign w:val="subscript"/>
        </w:rPr>
        <w:t>qh</w:t>
      </w:r>
      <w:r>
        <w:t>) làm tròn đến 02 số thập phân và được xác định theo công thức sau:</w:t>
      </w:r>
    </w:p>
    <w:tbl>
      <w:tblPr>
        <w:tblW w:w="0" w:type="auto"/>
        <w:tblBorders>
          <w:top w:val="nil"/>
          <w:left w:val="nil"/>
          <w:bottom w:val="nil"/>
          <w:right w:val="nil"/>
        </w:tblBorders>
        <w:tblLayout w:type="fixed"/>
        <w:tblLook w:val="0000" w:firstRow="0" w:lastRow="0" w:firstColumn="0" w:lastColumn="0" w:noHBand="0" w:noVBand="0"/>
      </w:tblPr>
      <w:tblGrid>
        <w:gridCol w:w="4639"/>
        <w:gridCol w:w="4639"/>
      </w:tblGrid>
      <w:tr w:rsidR="000E1FDF" w:rsidTr="00F61FD1">
        <w:tblPrEx>
          <w:tblCellMar>
            <w:top w:w="0" w:type="dxa"/>
            <w:bottom w:w="0" w:type="dxa"/>
          </w:tblCellMar>
        </w:tblPrEx>
        <w:trPr>
          <w:trHeight w:val="526"/>
        </w:trPr>
        <w:tc>
          <w:tcPr>
            <w:tcW w:w="4639" w:type="dxa"/>
          </w:tcPr>
          <w:p w:rsidR="000E1FDF" w:rsidRPr="00F61FD1" w:rsidRDefault="000E1FDF" w:rsidP="00F61FD1">
            <w:pPr>
              <w:pStyle w:val="Default"/>
              <w:spacing w:before="240"/>
              <w:jc w:val="right"/>
              <w:rPr>
                <w:sz w:val="28"/>
                <w:szCs w:val="28"/>
              </w:rPr>
            </w:pPr>
            <w:r w:rsidRPr="00F61FD1">
              <w:rPr>
                <w:sz w:val="28"/>
                <w:szCs w:val="28"/>
              </w:rPr>
              <w:t xml:space="preserve">Kqh = Kqh.2 – </w:t>
            </w:r>
          </w:p>
        </w:tc>
        <w:tc>
          <w:tcPr>
            <w:tcW w:w="4639" w:type="dxa"/>
          </w:tcPr>
          <w:p w:rsidR="000E1FDF" w:rsidRPr="00F61FD1" w:rsidRDefault="00F61FD1">
            <w:pPr>
              <w:pStyle w:val="Default"/>
              <w:rPr>
                <w:sz w:val="28"/>
                <w:szCs w:val="28"/>
              </w:rPr>
            </w:pPr>
            <w:r w:rsidRPr="00F61FD1">
              <w:rPr>
                <w:noProof/>
                <w:sz w:val="28"/>
                <w:szCs w:val="28"/>
                <w:lang w:eastAsia="en-US"/>
              </w:rPr>
              <mc:AlternateContent>
                <mc:Choice Requires="wps">
                  <w:drawing>
                    <wp:anchor distT="0" distB="0" distL="114300" distR="114300" simplePos="0" relativeHeight="251659264" behindDoc="0" locked="0" layoutInCell="1" allowOverlap="1" wp14:anchorId="75F63A2E" wp14:editId="0222FEDC">
                      <wp:simplePos x="0" y="0"/>
                      <wp:positionH relativeFrom="column">
                        <wp:posOffset>28291</wp:posOffset>
                      </wp:positionH>
                      <wp:positionV relativeFrom="paragraph">
                        <wp:posOffset>271306</wp:posOffset>
                      </wp:positionV>
                      <wp:extent cx="1862919"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18629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1.35pt" to="148.9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" strokecolor="black [3040]"/>
                  </w:pict>
                </mc:Fallback>
              </mc:AlternateContent>
            </w:r>
            <w:r w:rsidR="000E1FDF" w:rsidRPr="00F61FD1">
              <w:rPr>
                <w:sz w:val="28"/>
                <w:szCs w:val="28"/>
              </w:rPr>
              <w:t xml:space="preserve">(H2 - H) x (Kqh.2 - Kqh.1) </w:t>
            </w:r>
          </w:p>
        </w:tc>
      </w:tr>
      <w:tr w:rsidR="000E1FDF" w:rsidTr="000E1FDF">
        <w:tblPrEx>
          <w:tblCellMar>
            <w:top w:w="0" w:type="dxa"/>
            <w:bottom w:w="0" w:type="dxa"/>
          </w:tblCellMar>
        </w:tblPrEx>
        <w:trPr>
          <w:trHeight w:val="110"/>
        </w:trPr>
        <w:tc>
          <w:tcPr>
            <w:tcW w:w="9277" w:type="dxa"/>
            <w:gridSpan w:val="2"/>
          </w:tcPr>
          <w:p w:rsidR="000E1FDF" w:rsidRPr="00F61FD1" w:rsidRDefault="00F61FD1" w:rsidP="00F61FD1">
            <w:pPr>
              <w:pStyle w:val="Default"/>
              <w:jc w:val="center"/>
              <w:rPr>
                <w:sz w:val="28"/>
                <w:szCs w:val="28"/>
              </w:rPr>
            </w:pPr>
            <w:r w:rsidRPr="00F61FD1">
              <w:rPr>
                <w:sz w:val="28"/>
                <w:szCs w:val="28"/>
              </w:rPr>
              <w:t xml:space="preserve">                                           </w:t>
            </w:r>
            <w:r w:rsidR="000E1FDF" w:rsidRPr="00F61FD1">
              <w:rPr>
                <w:sz w:val="28"/>
                <w:szCs w:val="28"/>
              </w:rPr>
              <w:t>(H2 - H1)</w:t>
            </w:r>
          </w:p>
        </w:tc>
      </w:tr>
    </w:tbl>
    <w:p w:rsidR="007D0BAB" w:rsidRDefault="007D0BAB">
      <w:pPr>
        <w:spacing w:after="119" w:line="1" w:lineRule="exact"/>
      </w:pPr>
    </w:p>
    <w:p w:rsidR="007D0BAB" w:rsidRDefault="00CB6F8B">
      <w:pPr>
        <w:pStyle w:val="BodyText"/>
        <w:ind w:firstLine="580"/>
        <w:jc w:val="both"/>
      </w:pPr>
      <w:r>
        <w:rPr>
          <w:i/>
          <w:iCs/>
        </w:rPr>
        <w:t>Trong đó:</w:t>
      </w:r>
    </w:p>
    <w:p w:rsidR="007D0BAB" w:rsidRDefault="00CB6F8B">
      <w:pPr>
        <w:pStyle w:val="BodyText"/>
        <w:numPr>
          <w:ilvl w:val="0"/>
          <w:numId w:val="4"/>
        </w:numPr>
        <w:tabs>
          <w:tab w:val="left" w:pos="968"/>
        </w:tabs>
        <w:ind w:firstLine="580"/>
        <w:jc w:val="both"/>
      </w:pPr>
      <w:bookmarkStart w:id="9" w:name="bookmark8"/>
      <w:bookmarkEnd w:id="9"/>
      <w:r>
        <w:t>H: Hệ số sử dụng đất của khu đất, thửa đất (xác định theo quy hoạch xây dựng chi tiết hoặc quy hoạch tổng thể mặt bằng của dự án đầu tư xây dựng);</w:t>
      </w:r>
    </w:p>
    <w:p w:rsidR="007D0BAB" w:rsidRDefault="00CB6F8B">
      <w:pPr>
        <w:pStyle w:val="BodyText"/>
        <w:numPr>
          <w:ilvl w:val="0"/>
          <w:numId w:val="4"/>
        </w:numPr>
        <w:tabs>
          <w:tab w:val="left" w:pos="982"/>
        </w:tabs>
        <w:ind w:firstLine="580"/>
        <w:jc w:val="both"/>
      </w:pPr>
      <w:bookmarkStart w:id="10" w:name="bookmark9"/>
      <w:bookmarkEnd w:id="10"/>
      <w:r>
        <w:t>H</w:t>
      </w:r>
      <w:r>
        <w:rPr>
          <w:sz w:val="18"/>
          <w:szCs w:val="18"/>
        </w:rPr>
        <w:t>1</w:t>
      </w:r>
      <w:r>
        <w:t xml:space="preserve">: Hệ số sử dụng đất nằm ở vị trí cận dưới (nhỏ </w:t>
      </w:r>
      <w:r>
        <w:t>hơn và gần nhất với H có trong Bảng hệ số);</w:t>
      </w:r>
    </w:p>
    <w:p w:rsidR="007D0BAB" w:rsidRDefault="00CB6F8B">
      <w:pPr>
        <w:pStyle w:val="BodyText"/>
        <w:numPr>
          <w:ilvl w:val="0"/>
          <w:numId w:val="4"/>
        </w:numPr>
        <w:tabs>
          <w:tab w:val="left" w:pos="987"/>
        </w:tabs>
        <w:ind w:firstLine="580"/>
        <w:jc w:val="both"/>
      </w:pPr>
      <w:bookmarkStart w:id="11" w:name="bookmark10"/>
      <w:bookmarkEnd w:id="11"/>
      <w:r>
        <w:t>H</w:t>
      </w:r>
      <w:r>
        <w:rPr>
          <w:sz w:val="18"/>
          <w:szCs w:val="18"/>
        </w:rPr>
        <w:t>2</w:t>
      </w:r>
      <w:r>
        <w:t>: Hệ số sử dụng đất nằm ở vị trí cận trên (lớn hơn và gần nhất với H có trong Bảng hệ số);</w:t>
      </w:r>
    </w:p>
    <w:p w:rsidR="007D0BAB" w:rsidRDefault="00CB6F8B">
      <w:pPr>
        <w:pStyle w:val="BodyText"/>
        <w:numPr>
          <w:ilvl w:val="0"/>
          <w:numId w:val="4"/>
        </w:numPr>
        <w:tabs>
          <w:tab w:val="left" w:pos="1001"/>
        </w:tabs>
        <w:ind w:firstLine="580"/>
        <w:jc w:val="both"/>
      </w:pPr>
      <w:bookmarkStart w:id="12" w:name="bookmark11"/>
      <w:bookmarkEnd w:id="12"/>
      <w:r>
        <w:t>K</w:t>
      </w:r>
      <w:r>
        <w:rPr>
          <w:vertAlign w:val="subscript"/>
        </w:rPr>
        <w:t>qh1</w:t>
      </w:r>
      <w:r>
        <w:t>: Hệ số điều chỉnh theo quy hoạch tương ứng với hệ số sử dụng đất H</w:t>
      </w:r>
      <w:r>
        <w:rPr>
          <w:vertAlign w:val="subscript"/>
        </w:rPr>
        <w:t>1</w:t>
      </w:r>
      <w:r>
        <w:t>;</w:t>
      </w:r>
    </w:p>
    <w:p w:rsidR="007D0BAB" w:rsidRDefault="00CB6F8B">
      <w:pPr>
        <w:pStyle w:val="BodyText"/>
        <w:ind w:firstLine="580"/>
        <w:jc w:val="both"/>
      </w:pPr>
      <w:r>
        <w:t>đ) K</w:t>
      </w:r>
      <w:r>
        <w:rPr>
          <w:vertAlign w:val="subscript"/>
        </w:rPr>
        <w:t>qh2</w:t>
      </w:r>
      <w:r>
        <w:t>: Hệ số điều chỉnh theo quy hoạch tươn</w:t>
      </w:r>
      <w:r>
        <w:t>g ứng với hệ số sử dụng đất H</w:t>
      </w:r>
      <w:r>
        <w:rPr>
          <w:vertAlign w:val="subscript"/>
        </w:rPr>
        <w:t>2</w:t>
      </w:r>
      <w:r>
        <w:t>.</w:t>
      </w:r>
    </w:p>
    <w:p w:rsidR="007D0BAB" w:rsidRDefault="00CB6F8B">
      <w:pPr>
        <w:pStyle w:val="BodyText"/>
        <w:ind w:firstLine="580"/>
        <w:jc w:val="both"/>
      </w:pPr>
      <w:r>
        <w:rPr>
          <w:b/>
          <w:bCs/>
          <w:i/>
          <w:iCs/>
          <w:u w:val="single"/>
        </w:rPr>
        <w:t>Ví dụ cụ thể</w:t>
      </w:r>
      <w:r>
        <w:rPr>
          <w:i/>
          <w:iCs/>
        </w:rPr>
        <w:t>:</w:t>
      </w:r>
      <w:r>
        <w:t xml:space="preserve"> Xác định K</w:t>
      </w:r>
      <w:r>
        <w:rPr>
          <w:sz w:val="18"/>
          <w:szCs w:val="18"/>
        </w:rPr>
        <w:t xml:space="preserve">qh, </w:t>
      </w:r>
      <w:r>
        <w:t>khi H là 2,5; theo Bảng hệ số ta có:</w:t>
      </w:r>
    </w:p>
    <w:p w:rsidR="007D0BAB" w:rsidRDefault="00CB6F8B">
      <w:pPr>
        <w:pStyle w:val="BodyText"/>
        <w:numPr>
          <w:ilvl w:val="0"/>
          <w:numId w:val="5"/>
        </w:numPr>
        <w:tabs>
          <w:tab w:val="left" w:pos="848"/>
        </w:tabs>
        <w:ind w:firstLine="580"/>
        <w:jc w:val="both"/>
      </w:pPr>
      <w:bookmarkStart w:id="13" w:name="bookmark12"/>
      <w:bookmarkEnd w:id="13"/>
      <w:r>
        <w:t xml:space="preserve">Khi hệ số sử dụng đất của khu đất, thửa đất H = 2,5; H nằm trong giá trị </w:t>
      </w:r>
      <w:r>
        <w:lastRenderedPageBreak/>
        <w:t>thuộc hàng thứ 2, cột 2 Bảng hệ số.</w:t>
      </w:r>
    </w:p>
    <w:p w:rsidR="007D0BAB" w:rsidRDefault="00CB6F8B">
      <w:pPr>
        <w:pStyle w:val="BodyText"/>
        <w:numPr>
          <w:ilvl w:val="0"/>
          <w:numId w:val="5"/>
        </w:numPr>
        <w:tabs>
          <w:tab w:val="left" w:pos="848"/>
        </w:tabs>
        <w:ind w:firstLine="580"/>
        <w:jc w:val="both"/>
      </w:pPr>
      <w:bookmarkStart w:id="14" w:name="bookmark13"/>
      <w:bookmarkEnd w:id="14"/>
      <w:r>
        <w:t>Hệ số sử dụng đất nằm ở vị trí cận dưới (nhỏ hơn v</w:t>
      </w:r>
      <w:r>
        <w:t>à gần nhất với H có trong Bảng hệ số tại hàng thứ 2, cột 2): H</w:t>
      </w:r>
      <w:r>
        <w:rPr>
          <w:sz w:val="18"/>
          <w:szCs w:val="18"/>
        </w:rPr>
        <w:t xml:space="preserve">1 </w:t>
      </w:r>
      <w:r>
        <w:t>= 1,5;</w:t>
      </w:r>
    </w:p>
    <w:p w:rsidR="007D0BAB" w:rsidRDefault="00CB6F8B">
      <w:pPr>
        <w:pStyle w:val="BodyText"/>
        <w:numPr>
          <w:ilvl w:val="0"/>
          <w:numId w:val="5"/>
        </w:numPr>
        <w:tabs>
          <w:tab w:val="left" w:pos="848"/>
        </w:tabs>
        <w:ind w:firstLine="580"/>
        <w:jc w:val="both"/>
      </w:pPr>
      <w:bookmarkStart w:id="15" w:name="bookmark14"/>
      <w:bookmarkEnd w:id="15"/>
      <w:r>
        <w:t>Hệ số sử dụng đất nằm ở vị trí cận trên (lớn hơn và gần nhất với H có trong Bảng hệ số tại hàng thứ 2, cột 2): H</w:t>
      </w:r>
      <w:r>
        <w:rPr>
          <w:sz w:val="18"/>
          <w:szCs w:val="18"/>
        </w:rPr>
        <w:t xml:space="preserve">2 </w:t>
      </w:r>
      <w:r>
        <w:t>= 3,0;</w:t>
      </w:r>
    </w:p>
    <w:p w:rsidR="007D0BAB" w:rsidRDefault="00CB6F8B">
      <w:pPr>
        <w:pStyle w:val="BodyText"/>
        <w:numPr>
          <w:ilvl w:val="0"/>
          <w:numId w:val="5"/>
        </w:numPr>
        <w:tabs>
          <w:tab w:val="left" w:pos="848"/>
        </w:tabs>
        <w:ind w:firstLine="580"/>
        <w:jc w:val="both"/>
      </w:pPr>
      <w:bookmarkStart w:id="16" w:name="bookmark15"/>
      <w:bookmarkEnd w:id="16"/>
      <w:r>
        <w:t xml:space="preserve">Hệ số điều chỉnh theo quy hoạch tương ứng với hệ số sử dụng đất </w:t>
      </w:r>
      <w:r>
        <w:t>H</w:t>
      </w:r>
      <w:r>
        <w:rPr>
          <w:vertAlign w:val="subscript"/>
        </w:rPr>
        <w:t>1</w:t>
      </w:r>
      <w:r>
        <w:t xml:space="preserve"> (có trong Bảng hệ số tại hàng thứ 2, cột 3): K</w:t>
      </w:r>
      <w:r>
        <w:rPr>
          <w:vertAlign w:val="subscript"/>
        </w:rPr>
        <w:t>qh1</w:t>
      </w:r>
      <w:r>
        <w:t xml:space="preserve"> = 1,00;</w:t>
      </w:r>
    </w:p>
    <w:p w:rsidR="007D0BAB" w:rsidRDefault="00CB6F8B">
      <w:pPr>
        <w:pStyle w:val="BodyText"/>
        <w:numPr>
          <w:ilvl w:val="0"/>
          <w:numId w:val="5"/>
        </w:numPr>
        <w:tabs>
          <w:tab w:val="left" w:pos="848"/>
        </w:tabs>
        <w:ind w:firstLine="580"/>
        <w:jc w:val="both"/>
      </w:pPr>
      <w:bookmarkStart w:id="17" w:name="bookmark16"/>
      <w:bookmarkEnd w:id="17"/>
      <w:r>
        <w:t>Hệ số điều chỉnh theo quy hoạch tương ứng với hệ số sử dụng đất H</w:t>
      </w:r>
      <w:r>
        <w:rPr>
          <w:vertAlign w:val="subscript"/>
        </w:rPr>
        <w:t>2</w:t>
      </w:r>
      <w:r>
        <w:t xml:space="preserve"> (có trong Bảng hệ số tại hàng thứ 2, cột 3): K</w:t>
      </w:r>
      <w:r>
        <w:rPr>
          <w:vertAlign w:val="subscript"/>
        </w:rPr>
        <w:t>qh2</w:t>
      </w:r>
      <w:r>
        <w:t xml:space="preserve"> = 1,20.</w:t>
      </w:r>
    </w:p>
    <w:p w:rsidR="007D0BAB" w:rsidRDefault="00CB6F8B">
      <w:pPr>
        <w:pStyle w:val="BodyText"/>
        <w:ind w:firstLine="580"/>
        <w:jc w:val="both"/>
      </w:pPr>
      <w:r>
        <w:t>Theo công thức nêu trên, ta có hệ số điều chỉnh theo quy hoạch (K</w:t>
      </w:r>
      <w:r>
        <w:rPr>
          <w:vertAlign w:val="subscript"/>
        </w:rPr>
        <w:t>qh</w:t>
      </w:r>
      <w:r>
        <w:t>) đ</w:t>
      </w:r>
      <w:r>
        <w:t>ược xác định như sau:</w:t>
      </w:r>
    </w:p>
    <w:p w:rsidR="007D0BAB" w:rsidRDefault="00CB6F8B">
      <w:pPr>
        <w:pStyle w:val="BodyText"/>
        <w:pBdr>
          <w:bottom w:val="single" w:sz="4" w:space="0" w:color="auto"/>
        </w:pBdr>
        <w:spacing w:after="160"/>
        <w:ind w:firstLine="0"/>
        <w:jc w:val="center"/>
      </w:pPr>
      <w:r>
        <w:rPr>
          <w:noProof/>
          <w:lang w:val="en-US" w:eastAsia="en-US" w:bidi="ar-SA"/>
        </w:rPr>
        <mc:AlternateContent>
          <mc:Choice Requires="wps">
            <w:drawing>
              <wp:anchor distT="0" distB="0" distL="114300" distR="114300" simplePos="0" relativeHeight="125829380" behindDoc="0" locked="0" layoutInCell="1" allowOverlap="1">
                <wp:simplePos x="0" y="0"/>
                <wp:positionH relativeFrom="page">
                  <wp:posOffset>2134870</wp:posOffset>
                </wp:positionH>
                <wp:positionV relativeFrom="paragraph">
                  <wp:posOffset>114300</wp:posOffset>
                </wp:positionV>
                <wp:extent cx="774065" cy="222250"/>
                <wp:effectExtent l="0" t="0" r="0" b="0"/>
                <wp:wrapSquare wrapText="right"/>
                <wp:docPr id="3" name="Shape 3"/>
                <wp:cNvGraphicFramePr/>
                <a:graphic xmlns:a="http://schemas.openxmlformats.org/drawingml/2006/main">
                  <a:graphicData uri="http://schemas.microsoft.com/office/word/2010/wordprocessingShape">
                    <wps:wsp>
                      <wps:cNvSpPr txBox="1"/>
                      <wps:spPr>
                        <a:xfrm>
                          <a:off x="0" y="0"/>
                          <a:ext cx="774065" cy="222250"/>
                        </a:xfrm>
                        <a:prstGeom prst="rect">
                          <a:avLst/>
                        </a:prstGeom>
                        <a:noFill/>
                      </wps:spPr>
                      <wps:txbx>
                        <w:txbxContent>
                          <w:p w:rsidR="007D0BAB" w:rsidRDefault="00CB6F8B">
                            <w:pPr>
                              <w:pStyle w:val="BodyText"/>
                              <w:spacing w:after="0"/>
                              <w:ind w:firstLine="0"/>
                            </w:pPr>
                            <w:r>
                              <w:t>K</w:t>
                            </w:r>
                            <w:r>
                              <w:rPr>
                                <w:sz w:val="18"/>
                                <w:szCs w:val="18"/>
                              </w:rPr>
                              <w:t xml:space="preserve">qh </w:t>
                            </w:r>
                            <w:r>
                              <w:t>= 1,20</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Shape 3" o:spid="_x0000_s1026" type="#_x0000_t202" style="position:absolute;left:0;text-align:left;margin-left:168.1pt;margin-top:9pt;width:60.95pt;height:17.5pt;z-index:12582938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" filled="f" stroked="f">
                <v:textbox inset="0,0,0,0">
                  <w:txbxContent>
                    <w:p w:rsidR="007D0BAB" w:rsidRDefault="00CB6F8B">
                      <w:pPr>
                        <w:pStyle w:val="BodyText"/>
                        <w:spacing w:after="0"/>
                        <w:ind w:firstLine="0"/>
                      </w:pPr>
                      <w:r>
                        <w:t>K</w:t>
                      </w:r>
                      <w:r>
                        <w:rPr>
                          <w:sz w:val="18"/>
                          <w:szCs w:val="18"/>
                        </w:rPr>
                        <w:t xml:space="preserve">qh </w:t>
                      </w:r>
                      <w:r>
                        <w:t>= 1,20</w:t>
                      </w:r>
                    </w:p>
                  </w:txbxContent>
                </v:textbox>
                <w10:wrap type="square" side="right" anchorx="page"/>
              </v:shape>
            </w:pict>
          </mc:Fallback>
        </mc:AlternateContent>
      </w:r>
      <w:r>
        <w:rPr>
          <w:noProof/>
          <w:lang w:val="en-US" w:eastAsia="en-US" w:bidi="ar-SA"/>
        </w:rPr>
        <mc:AlternateContent>
          <mc:Choice Requires="wps">
            <w:drawing>
              <wp:anchor distT="0" distB="0" distL="114300" distR="114300" simplePos="0" relativeHeight="125829382" behindDoc="0" locked="0" layoutInCell="1" allowOverlap="1">
                <wp:simplePos x="0" y="0"/>
                <wp:positionH relativeFrom="page">
                  <wp:posOffset>5292725</wp:posOffset>
                </wp:positionH>
                <wp:positionV relativeFrom="paragraph">
                  <wp:posOffset>127000</wp:posOffset>
                </wp:positionV>
                <wp:extent cx="484505" cy="216535"/>
                <wp:effectExtent l="0" t="0" r="0" b="0"/>
                <wp:wrapSquare wrapText="left"/>
                <wp:docPr id="5" name="Shape 5"/>
                <wp:cNvGraphicFramePr/>
                <a:graphic xmlns:a="http://schemas.openxmlformats.org/drawingml/2006/main">
                  <a:graphicData uri="http://schemas.microsoft.com/office/word/2010/wordprocessingShape">
                    <wps:wsp>
                      <wps:cNvSpPr txBox="1"/>
                      <wps:spPr>
                        <a:xfrm>
                          <a:off x="0" y="0"/>
                          <a:ext cx="484505" cy="216535"/>
                        </a:xfrm>
                        <a:prstGeom prst="rect">
                          <a:avLst/>
                        </a:prstGeom>
                        <a:noFill/>
                      </wps:spPr>
                      <wps:txbx>
                        <w:txbxContent>
                          <w:p w:rsidR="007D0BAB" w:rsidRDefault="00CB6F8B">
                            <w:pPr>
                              <w:pStyle w:val="BodyText"/>
                              <w:spacing w:after="0"/>
                              <w:ind w:firstLine="0"/>
                            </w:pPr>
                            <w:r>
                              <w:t>= 1,13</w:t>
                            </w:r>
                          </w:p>
                        </w:txbxContent>
                      </wps:txbx>
                      <wps:bodyPr wrap="none" lIns="0" tIns="0" rIns="0" bIns="0"/>
                    </wps:wsp>
                  </a:graphicData>
                </a:graphic>
              </wp:anchor>
            </w:drawing>
          </mc:Choice>
          <mc:Fallback>
            <w:pict>
              <v:shape id="Shape 5" o:spid="_x0000_s1027" type="#_x0000_t202" style="position:absolute;left:0;text-align:left;margin-left:416.75pt;margin-top:10pt;width:38.15pt;height:17.05pt;z-index:12582938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" filled="f" stroked="f">
                <v:textbox inset="0,0,0,0">
                  <w:txbxContent>
                    <w:p w:rsidR="007D0BAB" w:rsidRDefault="00CB6F8B">
                      <w:pPr>
                        <w:pStyle w:val="BodyText"/>
                        <w:spacing w:after="0"/>
                        <w:ind w:firstLine="0"/>
                      </w:pPr>
                      <w:r>
                        <w:t>= 1,13</w:t>
                      </w:r>
                    </w:p>
                  </w:txbxContent>
                </v:textbox>
                <w10:wrap type="square" side="left" anchorx="page"/>
              </v:shape>
            </w:pict>
          </mc:Fallback>
        </mc:AlternateContent>
      </w:r>
      <w:r>
        <w:t>(3,0 - 2,5) x (1,20 - 1,00)</w:t>
      </w:r>
    </w:p>
    <w:p w:rsidR="007D0BAB" w:rsidRDefault="00CB6F8B">
      <w:pPr>
        <w:pStyle w:val="BodyText"/>
        <w:spacing w:after="160"/>
        <w:ind w:firstLine="0"/>
        <w:jc w:val="center"/>
      </w:pPr>
      <w:r>
        <w:t>(3,0 - 1,5)</w:t>
      </w:r>
    </w:p>
    <w:p w:rsidR="007D0BAB" w:rsidRDefault="00CB6F8B">
      <w:pPr>
        <w:pStyle w:val="BodyText"/>
        <w:ind w:firstLine="580"/>
        <w:jc w:val="both"/>
      </w:pPr>
      <w:r>
        <w:t>Kết quả, khi H là 2,5 thì K</w:t>
      </w:r>
      <w:r>
        <w:rPr>
          <w:sz w:val="18"/>
          <w:szCs w:val="18"/>
        </w:rPr>
        <w:t xml:space="preserve">qh </w:t>
      </w:r>
      <w:r>
        <w:t>bằng 1,13.</w:t>
      </w:r>
    </w:p>
    <w:p w:rsidR="007D0BAB" w:rsidRDefault="00CB6F8B">
      <w:pPr>
        <w:pStyle w:val="BodyText"/>
        <w:numPr>
          <w:ilvl w:val="0"/>
          <w:numId w:val="3"/>
        </w:numPr>
        <w:tabs>
          <w:tab w:val="left" w:pos="939"/>
        </w:tabs>
        <w:ind w:firstLine="580"/>
        <w:jc w:val="both"/>
      </w:pPr>
      <w:bookmarkStart w:id="18" w:name="bookmark17"/>
      <w:bookmarkEnd w:id="18"/>
      <w:r>
        <w:t>K</w:t>
      </w:r>
      <w:r>
        <w:rPr>
          <w:sz w:val="18"/>
          <w:szCs w:val="18"/>
        </w:rPr>
        <w:t>ah</w:t>
      </w:r>
      <w:r>
        <w:t>: Hệ số điều chỉnh theo yếu tố khác ảnh hưởng đến giá đất, được xác định K</w:t>
      </w:r>
      <w:r>
        <w:rPr>
          <w:vertAlign w:val="subscript"/>
        </w:rPr>
        <w:t>ah</w:t>
      </w:r>
      <w:r>
        <w:t xml:space="preserve"> = 1,00.</w:t>
      </w:r>
    </w:p>
    <w:p w:rsidR="007D0BAB" w:rsidRDefault="00CB6F8B">
      <w:pPr>
        <w:pStyle w:val="BodyText"/>
        <w:ind w:firstLine="580"/>
        <w:jc w:val="both"/>
      </w:pPr>
      <w:r>
        <w:rPr>
          <w:b/>
          <w:bCs/>
        </w:rPr>
        <w:t xml:space="preserve">Điều 3. Quy định chuyển tiếp về hệ số </w:t>
      </w:r>
      <w:r>
        <w:rPr>
          <w:b/>
          <w:bCs/>
        </w:rPr>
        <w:t>điều chỉnh giá đất</w:t>
      </w:r>
    </w:p>
    <w:p w:rsidR="007D0BAB" w:rsidRDefault="00CB6F8B">
      <w:pPr>
        <w:pStyle w:val="BodyText"/>
        <w:numPr>
          <w:ilvl w:val="0"/>
          <w:numId w:val="6"/>
        </w:numPr>
        <w:tabs>
          <w:tab w:val="left" w:pos="949"/>
        </w:tabs>
        <w:ind w:firstLine="580"/>
        <w:jc w:val="both"/>
      </w:pPr>
      <w:bookmarkStart w:id="19" w:name="bookmark18"/>
      <w:bookmarkEnd w:id="19"/>
      <w:r>
        <w:t>Đối với trường hợp giao đất; cho thuê đất; cho phép chuyển mục đích sử dụng đất; gia hạn sử dụng đất; điều chỉnh thời hạn sử dụng đất; chuyển hình thức sử dụng đất; công nhận quyền sử dụng đất đã được cơ quan, người có thẩm quyền quyết đ</w:t>
      </w:r>
      <w:r>
        <w:t>ịnh trước ngày Quyết định này có hiệu lực thi hành thuộc trường hợp áp dụng giá đất cụ thể theo quy định tại Điều 160 Luật Đất đai năm 2024 thì tiếp tục xác định giá đất cụ thể theo quy định của Luật Đất đai năm 2024.</w:t>
      </w:r>
    </w:p>
    <w:p w:rsidR="007D0BAB" w:rsidRDefault="00CB6F8B">
      <w:pPr>
        <w:pStyle w:val="BodyText"/>
        <w:numPr>
          <w:ilvl w:val="0"/>
          <w:numId w:val="6"/>
        </w:numPr>
        <w:tabs>
          <w:tab w:val="left" w:pos="944"/>
        </w:tabs>
        <w:ind w:firstLine="580"/>
        <w:jc w:val="both"/>
      </w:pPr>
      <w:bookmarkStart w:id="20" w:name="bookmark19"/>
      <w:bookmarkEnd w:id="20"/>
      <w:r>
        <w:t>Đối với trường hợp đấu giá quyền sử dụ</w:t>
      </w:r>
      <w:r>
        <w:t>ng đất đã được cơ quan, người có thẩm quyền ban hành quyết định phê duyệt giá đất khởi điểm hoặc đã có văn bản thẩm định của Hội đồng thẩm định giá đất cụ thể thì tiếp tục thực hiện giá đất khởi điểm theo quy định của Luật Đất đai năm 2024.</w:t>
      </w:r>
    </w:p>
    <w:p w:rsidR="007D0BAB" w:rsidRDefault="00CB6F8B">
      <w:pPr>
        <w:pStyle w:val="BodyText"/>
        <w:numPr>
          <w:ilvl w:val="0"/>
          <w:numId w:val="6"/>
        </w:numPr>
        <w:tabs>
          <w:tab w:val="left" w:pos="954"/>
        </w:tabs>
        <w:ind w:firstLine="580"/>
        <w:jc w:val="both"/>
      </w:pPr>
      <w:bookmarkStart w:id="21" w:name="bookmark20"/>
      <w:bookmarkEnd w:id="21"/>
      <w:r>
        <w:t xml:space="preserve">Đối với trường </w:t>
      </w:r>
      <w:r>
        <w:t>hợp dự án đang thực hiện công tác thu hồi đất, bồi thường, hỗ trợ, tái định cư mà cơ quan, người có thẩm quyền chưa ban hành quyết định phê duyệt phương án bồi thường, hỗ trợ, tái định cư nhưng đã có quyết định phê duyệt giá đất cụ thể hoặc đã có văn bản t</w:t>
      </w:r>
      <w:r>
        <w:t>hẩm định của Hội đồng thẩm định giá đất cụ thể thì cơ quan, người có thẩm quyền tiếp tục thực hiện bồi thường về đất theo giá đất cụ thể quy định của Luật Đất đai năm 2024 (kể cả phần diện tích đất bồi thường còn lại của dự án sau ngày Quyết định này có hi</w:t>
      </w:r>
      <w:r>
        <w:t>ệu lực thi hành).</w:t>
      </w:r>
    </w:p>
    <w:p w:rsidR="007D0BAB" w:rsidRDefault="00CB6F8B">
      <w:pPr>
        <w:pStyle w:val="BodyText"/>
        <w:ind w:firstLine="580"/>
        <w:jc w:val="both"/>
      </w:pPr>
      <w:r>
        <w:rPr>
          <w:b/>
          <w:bCs/>
        </w:rPr>
        <w:t>Điều 4. Tổ chức thực hiện</w:t>
      </w:r>
    </w:p>
    <w:p w:rsidR="007D0BAB" w:rsidRDefault="00CB6F8B">
      <w:pPr>
        <w:pStyle w:val="BodyText"/>
        <w:numPr>
          <w:ilvl w:val="0"/>
          <w:numId w:val="7"/>
        </w:numPr>
        <w:tabs>
          <w:tab w:val="left" w:pos="929"/>
        </w:tabs>
        <w:ind w:firstLine="580"/>
        <w:jc w:val="both"/>
      </w:pPr>
      <w:bookmarkStart w:id="22" w:name="bookmark21"/>
      <w:bookmarkEnd w:id="22"/>
      <w:r>
        <w:t>Sở Nông nghiệp và Môi trường có trách nhiệm:</w:t>
      </w:r>
      <w:r>
        <w:br w:type="page"/>
      </w:r>
    </w:p>
    <w:p w:rsidR="007D0BAB" w:rsidRDefault="00CB6F8B">
      <w:pPr>
        <w:pStyle w:val="BodyText"/>
        <w:numPr>
          <w:ilvl w:val="0"/>
          <w:numId w:val="8"/>
        </w:numPr>
        <w:tabs>
          <w:tab w:val="left" w:pos="978"/>
        </w:tabs>
        <w:spacing w:after="100"/>
        <w:ind w:firstLine="600"/>
        <w:jc w:val="both"/>
      </w:pPr>
      <w:bookmarkStart w:id="23" w:name="bookmark22"/>
      <w:bookmarkEnd w:id="23"/>
      <w:r>
        <w:lastRenderedPageBreak/>
        <w:t>Chủ trì tổ chức triển khai, thực hiện Quyết định này; kịp thời báo cáo, đề xuất Ủy ban nhân dân tỉnh chỉ đạo giải quyết các khó khăn, vướng mắc (nếu có) theo quy định</w:t>
      </w:r>
      <w:r>
        <w:t>;</w:t>
      </w:r>
    </w:p>
    <w:p w:rsidR="007D0BAB" w:rsidRDefault="00CB6F8B">
      <w:pPr>
        <w:pStyle w:val="BodyText"/>
        <w:numPr>
          <w:ilvl w:val="0"/>
          <w:numId w:val="8"/>
        </w:numPr>
        <w:tabs>
          <w:tab w:val="left" w:pos="987"/>
        </w:tabs>
        <w:spacing w:after="100"/>
        <w:ind w:firstLine="600"/>
        <w:jc w:val="both"/>
      </w:pPr>
      <w:bookmarkStart w:id="24" w:name="bookmark23"/>
      <w:bookmarkEnd w:id="24"/>
      <w:r>
        <w:t>Cập nhật vào cơ sở dữ liệu đất đai, tham mưu Ủy ban nhân dân tỉnh gửi quyết định về Bộ Nông nghiệp và Môi trường trong thời gian không quá 15 ngày kể từ ngày Ủy ban nhân dân tỉnh ban hành quyết định;</w:t>
      </w:r>
    </w:p>
    <w:p w:rsidR="007D0BAB" w:rsidRDefault="00CB6F8B">
      <w:pPr>
        <w:pStyle w:val="BodyText"/>
        <w:numPr>
          <w:ilvl w:val="0"/>
          <w:numId w:val="8"/>
        </w:numPr>
        <w:tabs>
          <w:tab w:val="left" w:pos="992"/>
        </w:tabs>
        <w:spacing w:after="100"/>
        <w:ind w:firstLine="600"/>
        <w:jc w:val="both"/>
      </w:pPr>
      <w:bookmarkStart w:id="25" w:name="bookmark24"/>
      <w:bookmarkEnd w:id="25"/>
      <w:r>
        <w:t>Theo dõi, tổng hợp tham mưu Ủy ban nhân dân tỉnh quyết</w:t>
      </w:r>
      <w:r>
        <w:t xml:space="preserve"> định sửa đổi, bổ sung hệ số điều chỉnh giá đất theo quy định tại khoản 2 Điều 8 Nghị quyết số 254/2025/QH15 của Quốc hội và điểm b khoản 3 Điều 8 Nghị định số 49/2026/NĐ-CP của Chính phủ.</w:t>
      </w:r>
    </w:p>
    <w:p w:rsidR="007D0BAB" w:rsidRDefault="00CB6F8B">
      <w:pPr>
        <w:pStyle w:val="BodyText"/>
        <w:numPr>
          <w:ilvl w:val="0"/>
          <w:numId w:val="7"/>
        </w:numPr>
        <w:tabs>
          <w:tab w:val="left" w:pos="949"/>
        </w:tabs>
        <w:spacing w:after="100"/>
        <w:ind w:firstLine="600"/>
        <w:jc w:val="both"/>
      </w:pPr>
      <w:bookmarkStart w:id="26" w:name="bookmark25"/>
      <w:bookmarkEnd w:id="26"/>
      <w:r>
        <w:t>Trường hợp tính tiền bồi thường khi Nhà nước thu hồi đất, trừ khoản</w:t>
      </w:r>
      <w:r>
        <w:t xml:space="preserve"> 3 Điều 3 Quyết định này mà hệ số điều chỉnh giá đất chưa phù hợp với thực tế; Cơ quan, đơn vị được giao thực hiện nhiệm vụ bồi thường thuê đơn vị tư vấn xác định hệ số điều chỉnh giá đất, đánh giá kết quả và gửi Sở Nông nghiệp và Môi trường để kiểm tra đề</w:t>
      </w:r>
      <w:r>
        <w:t xml:space="preserve"> xuất Hội đồng thẩm định bảng giá đất, thẩm định hệ số điều chỉnh giá đất trên địa bàn tỉnh Vĩnh Long thẩm định, trình Ủy ban nhân dân tỉnh xem xét quyết định hệ số điều chỉnh giá đất để tính tiền bồi thường khi Nhà nước thu hồi đất cho từng công trình, dự</w:t>
      </w:r>
      <w:r>
        <w:t xml:space="preserve"> án cụ thể cho phù hợp, đúng quy định của pháp luật.</w:t>
      </w:r>
    </w:p>
    <w:p w:rsidR="007D0BAB" w:rsidRDefault="00CB6F8B">
      <w:pPr>
        <w:pStyle w:val="BodyText"/>
        <w:spacing w:after="100"/>
        <w:ind w:firstLine="600"/>
        <w:jc w:val="both"/>
      </w:pPr>
      <w:r>
        <w:rPr>
          <w:b/>
          <w:bCs/>
        </w:rPr>
        <w:t>Điều 5. Hiệu lực thi hành</w:t>
      </w:r>
    </w:p>
    <w:p w:rsidR="007D0BAB" w:rsidRDefault="00CB6F8B">
      <w:pPr>
        <w:pStyle w:val="BodyText"/>
        <w:numPr>
          <w:ilvl w:val="0"/>
          <w:numId w:val="9"/>
        </w:numPr>
        <w:tabs>
          <w:tab w:val="left" w:pos="949"/>
        </w:tabs>
        <w:spacing w:after="100"/>
        <w:ind w:firstLine="600"/>
        <w:jc w:val="both"/>
      </w:pPr>
      <w:bookmarkStart w:id="27" w:name="bookmark26"/>
      <w:bookmarkEnd w:id="27"/>
      <w:r>
        <w:t>Quyết định này có hiệu lực kể từ ngày 07 tháng 8 năm 2026.</w:t>
      </w:r>
    </w:p>
    <w:p w:rsidR="007D0BAB" w:rsidRDefault="00CB6F8B">
      <w:pPr>
        <w:pStyle w:val="BodyText"/>
        <w:numPr>
          <w:ilvl w:val="0"/>
          <w:numId w:val="9"/>
        </w:numPr>
        <w:tabs>
          <w:tab w:val="left" w:pos="978"/>
        </w:tabs>
        <w:spacing w:after="0"/>
        <w:ind w:firstLine="600"/>
        <w:jc w:val="both"/>
      </w:pPr>
      <w:bookmarkStart w:id="28" w:name="bookmark27"/>
      <w:bookmarkEnd w:id="28"/>
      <w:r>
        <w:t>Chánh Văn phòng Ủy ban nhân dân tỉnh; Giám đốc các Sở: Nông nghiệp</w:t>
      </w:r>
    </w:p>
    <w:p w:rsidR="007D0BAB" w:rsidRDefault="00CB6F8B">
      <w:pPr>
        <w:pStyle w:val="BodyText"/>
        <w:tabs>
          <w:tab w:val="left" w:leader="dot" w:pos="6205"/>
        </w:tabs>
        <w:spacing w:after="460"/>
        <w:ind w:firstLine="0"/>
        <w:jc w:val="both"/>
        <w:rPr>
          <w:lang w:val="en-US"/>
        </w:rPr>
      </w:pPr>
      <w:r>
        <w:t>và Môi trường, Tài chính, Xây dựng; Trưởng Thuế tỉn</w:t>
      </w:r>
      <w:r>
        <w:t>h; Thủ trưởng các Sở, ban, ngành tỉnh; Chủ tịch Ủy ban nhân dân các xã, phường và các tổ chức, cá nhân có liên quan chịu trách</w:t>
      </w:r>
      <w:r w:rsidR="000E1FDF">
        <w:t xml:space="preserve"> nhiệm thi hành Quyết định này</w:t>
      </w:r>
      <w:r w:rsidR="000E1FDF">
        <w:rPr>
          <w:lang w:val="en-US"/>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8"/>
        <w:gridCol w:w="4666"/>
      </w:tblGrid>
      <w:tr w:rsidR="000E1FDF" w:rsidTr="000E1FDF">
        <w:trPr>
          <w:trHeight w:val="3879"/>
        </w:trPr>
        <w:tc>
          <w:tcPr>
            <w:tcW w:w="4558" w:type="dxa"/>
          </w:tcPr>
          <w:p w:rsidR="000E1FDF" w:rsidRPr="000E1FDF" w:rsidRDefault="000E1FDF" w:rsidP="000E1FDF">
            <w:pPr>
              <w:pStyle w:val="Bodytext20"/>
              <w:spacing w:line="240" w:lineRule="auto"/>
              <w:rPr>
                <w:sz w:val="24"/>
                <w:szCs w:val="24"/>
              </w:rPr>
            </w:pPr>
            <w:r w:rsidRPr="000E1FDF">
              <w:rPr>
                <w:b/>
                <w:bCs/>
                <w:i/>
                <w:iCs/>
                <w:sz w:val="24"/>
                <w:szCs w:val="24"/>
                <w:lang w:val="en-US"/>
              </w:rPr>
              <w:t>N</w:t>
            </w:r>
            <w:r w:rsidRPr="000E1FDF">
              <w:rPr>
                <w:b/>
                <w:bCs/>
                <w:i/>
                <w:iCs/>
                <w:sz w:val="24"/>
                <w:szCs w:val="24"/>
              </w:rPr>
              <w:t>ơi nhận:</w:t>
            </w:r>
          </w:p>
          <w:p w:rsidR="000E1FDF" w:rsidRPr="000E1FDF" w:rsidRDefault="000E1FDF" w:rsidP="000E1FDF">
            <w:pPr>
              <w:pStyle w:val="Bodytext20"/>
              <w:numPr>
                <w:ilvl w:val="0"/>
                <w:numId w:val="5"/>
              </w:numPr>
              <w:tabs>
                <w:tab w:val="left" w:pos="176"/>
              </w:tabs>
            </w:pPr>
            <w:bookmarkStart w:id="29" w:name="bookmark28"/>
            <w:bookmarkEnd w:id="29"/>
            <w:r w:rsidRPr="000E1FDF">
              <w:t>Như khoản 2 Điều 5;</w:t>
            </w:r>
            <w:bookmarkStart w:id="30" w:name="bookmark29"/>
            <w:bookmarkEnd w:id="30"/>
          </w:p>
          <w:p w:rsidR="000E1FDF" w:rsidRPr="000E1FDF" w:rsidRDefault="000E1FDF" w:rsidP="000E1FDF">
            <w:pPr>
              <w:pStyle w:val="Bodytext20"/>
              <w:numPr>
                <w:ilvl w:val="0"/>
                <w:numId w:val="5"/>
              </w:numPr>
              <w:tabs>
                <w:tab w:val="left" w:pos="176"/>
              </w:tabs>
            </w:pPr>
            <w:r w:rsidRPr="000E1FDF">
              <w:t>Văn phòng Chính phủ;</w:t>
            </w:r>
            <w:bookmarkStart w:id="31" w:name="bookmark30"/>
            <w:bookmarkEnd w:id="31"/>
          </w:p>
          <w:p w:rsidR="000E1FDF" w:rsidRPr="000E1FDF" w:rsidRDefault="000E1FDF" w:rsidP="000E1FDF">
            <w:pPr>
              <w:pStyle w:val="Bodytext20"/>
              <w:numPr>
                <w:ilvl w:val="0"/>
                <w:numId w:val="5"/>
              </w:numPr>
              <w:tabs>
                <w:tab w:val="left" w:pos="176"/>
              </w:tabs>
            </w:pPr>
            <w:r w:rsidRPr="000E1FDF">
              <w:t>Bộ NNMT (Vụ pháp chế);</w:t>
            </w:r>
            <w:bookmarkStart w:id="32" w:name="bookmark31"/>
            <w:bookmarkEnd w:id="32"/>
          </w:p>
          <w:p w:rsidR="000E1FDF" w:rsidRPr="000E1FDF" w:rsidRDefault="000E1FDF" w:rsidP="000E1FDF">
            <w:pPr>
              <w:pStyle w:val="Bodytext20"/>
              <w:numPr>
                <w:ilvl w:val="0"/>
                <w:numId w:val="5"/>
              </w:numPr>
              <w:tabs>
                <w:tab w:val="left" w:pos="176"/>
              </w:tabs>
            </w:pPr>
            <w:r w:rsidRPr="000E1FDF">
              <w:t>Bộ Tư pháp (Cục KTVB&amp;TCTHPL);</w:t>
            </w:r>
            <w:bookmarkStart w:id="33" w:name="bookmark32"/>
            <w:bookmarkEnd w:id="33"/>
          </w:p>
          <w:p w:rsidR="000E1FDF" w:rsidRPr="000E1FDF" w:rsidRDefault="000E1FDF" w:rsidP="000E1FDF">
            <w:pPr>
              <w:pStyle w:val="Bodytext20"/>
              <w:numPr>
                <w:ilvl w:val="0"/>
                <w:numId w:val="5"/>
              </w:numPr>
              <w:tabs>
                <w:tab w:val="left" w:pos="176"/>
              </w:tabs>
            </w:pPr>
            <w:r w:rsidRPr="000E1FDF">
              <w:t>Đoàn Đại biểu Quốc hội tỉnh;</w:t>
            </w:r>
            <w:bookmarkStart w:id="34" w:name="bookmark33"/>
            <w:bookmarkEnd w:id="34"/>
          </w:p>
          <w:p w:rsidR="000E1FDF" w:rsidRPr="000E1FDF" w:rsidRDefault="000E1FDF" w:rsidP="000E1FDF">
            <w:pPr>
              <w:pStyle w:val="Bodytext20"/>
              <w:numPr>
                <w:ilvl w:val="0"/>
                <w:numId w:val="5"/>
              </w:numPr>
              <w:tabs>
                <w:tab w:val="left" w:pos="176"/>
              </w:tabs>
            </w:pPr>
            <w:r w:rsidRPr="000E1FDF">
              <w:t xml:space="preserve">TT TU; TT </w:t>
            </w:r>
            <w:r w:rsidRPr="000E1FDF">
              <w:t>HĐND</w:t>
            </w:r>
            <w:r w:rsidRPr="000E1FDF">
              <w:t xml:space="preserve"> tỉnh;</w:t>
            </w:r>
            <w:bookmarkStart w:id="35" w:name="bookmark34"/>
            <w:bookmarkEnd w:id="35"/>
          </w:p>
          <w:p w:rsidR="000E1FDF" w:rsidRPr="000E1FDF" w:rsidRDefault="000E1FDF" w:rsidP="000E1FDF">
            <w:pPr>
              <w:pStyle w:val="Bodytext20"/>
              <w:numPr>
                <w:ilvl w:val="0"/>
                <w:numId w:val="5"/>
              </w:numPr>
              <w:tabs>
                <w:tab w:val="left" w:pos="176"/>
              </w:tabs>
            </w:pPr>
            <w:r w:rsidRPr="000E1FDF">
              <w:t>CT, các PCT UBND tỉnh;</w:t>
            </w:r>
            <w:bookmarkStart w:id="36" w:name="bookmark35"/>
            <w:bookmarkEnd w:id="36"/>
          </w:p>
          <w:p w:rsidR="000E1FDF" w:rsidRPr="000E1FDF" w:rsidRDefault="000E1FDF" w:rsidP="000E1FDF">
            <w:pPr>
              <w:pStyle w:val="Bodytext20"/>
              <w:numPr>
                <w:ilvl w:val="0"/>
                <w:numId w:val="5"/>
              </w:numPr>
              <w:tabs>
                <w:tab w:val="left" w:pos="176"/>
              </w:tabs>
            </w:pPr>
            <w:r w:rsidRPr="000E1FDF">
              <w:t>Ủy ban Mặt trận TQVN tỉnh;</w:t>
            </w:r>
            <w:bookmarkStart w:id="37" w:name="bookmark36"/>
            <w:bookmarkEnd w:id="37"/>
          </w:p>
          <w:p w:rsidR="000E1FDF" w:rsidRPr="000E1FDF" w:rsidRDefault="000E1FDF" w:rsidP="000E1FDF">
            <w:pPr>
              <w:pStyle w:val="Bodytext20"/>
              <w:numPr>
                <w:ilvl w:val="0"/>
                <w:numId w:val="5"/>
              </w:numPr>
              <w:tabs>
                <w:tab w:val="left" w:pos="176"/>
              </w:tabs>
            </w:pPr>
            <w:r w:rsidRPr="000E1FDF">
              <w:t>LĐVP</w:t>
            </w:r>
            <w:r w:rsidRPr="000E1FDF">
              <w:t xml:space="preserve"> UBND tỉnh;</w:t>
            </w:r>
            <w:bookmarkStart w:id="38" w:name="bookmark37"/>
            <w:bookmarkEnd w:id="38"/>
          </w:p>
          <w:p w:rsidR="000E1FDF" w:rsidRPr="000E1FDF" w:rsidRDefault="000E1FDF" w:rsidP="000E1FDF">
            <w:pPr>
              <w:pStyle w:val="Bodytext20"/>
              <w:numPr>
                <w:ilvl w:val="0"/>
                <w:numId w:val="5"/>
              </w:numPr>
              <w:tabs>
                <w:tab w:val="left" w:pos="176"/>
              </w:tabs>
            </w:pPr>
            <w:r w:rsidRPr="000E1FDF">
              <w:t>Các phòng, ban, trung tâm thuộc Văn phòng UBND tỉnh;</w:t>
            </w:r>
          </w:p>
          <w:p w:rsidR="000E1FDF" w:rsidRDefault="000E1FDF" w:rsidP="000E1FDF">
            <w:pPr>
              <w:pStyle w:val="Bodytext20"/>
              <w:numPr>
                <w:ilvl w:val="0"/>
                <w:numId w:val="5"/>
              </w:numPr>
              <w:tabs>
                <w:tab w:val="left" w:pos="176"/>
              </w:tabs>
              <w:rPr>
                <w:lang w:val="en-US"/>
              </w:rPr>
            </w:pPr>
            <w:r w:rsidRPr="000E1FDF">
              <w:t>Website Chính phủ;</w:t>
            </w:r>
          </w:p>
          <w:p w:rsidR="000E1FDF" w:rsidRDefault="000E1FDF" w:rsidP="000E1FDF">
            <w:pPr>
              <w:pStyle w:val="Bodytext20"/>
              <w:numPr>
                <w:ilvl w:val="0"/>
                <w:numId w:val="5"/>
              </w:numPr>
              <w:tabs>
                <w:tab w:val="left" w:pos="176"/>
              </w:tabs>
              <w:rPr>
                <w:lang w:val="en-US"/>
              </w:rPr>
            </w:pPr>
            <w:r w:rsidRPr="000E1FDF">
              <w:t xml:space="preserve">Lưu: </w:t>
            </w:r>
            <w:r w:rsidRPr="000E1FDF">
              <w:rPr>
                <w:smallCaps/>
              </w:rPr>
              <w:t>VT.60.</w:t>
            </w:r>
            <w:r w:rsidRPr="000E1FDF">
              <w:t>KTN</w:t>
            </w:r>
            <w:r w:rsidRPr="000E1FDF">
              <w:rPr>
                <w:smallCaps/>
                <w:lang w:val="en-US"/>
              </w:rPr>
              <w:t>.</w:t>
            </w:r>
          </w:p>
        </w:tc>
        <w:tc>
          <w:tcPr>
            <w:tcW w:w="4666" w:type="dxa"/>
          </w:tcPr>
          <w:p w:rsidR="000E1FDF" w:rsidRPr="000E1FDF" w:rsidRDefault="000E1FDF" w:rsidP="000E1FDF">
            <w:pPr>
              <w:pStyle w:val="Picturecaption0"/>
              <w:rPr>
                <w:lang w:val="en-US"/>
              </w:rPr>
            </w:pPr>
            <w:r w:rsidRPr="000E1FDF">
              <w:t xml:space="preserve">TM. </w:t>
            </w:r>
            <w:r w:rsidRPr="000E1FDF">
              <w:rPr>
                <w:lang w:val="en-US"/>
              </w:rPr>
              <w:t>Ủ</w:t>
            </w:r>
            <w:r w:rsidRPr="000E1FDF">
              <w:t>Y BAN NH</w:t>
            </w:r>
            <w:r w:rsidRPr="000E1FDF">
              <w:rPr>
                <w:lang w:val="en-US"/>
              </w:rPr>
              <w:t>Â</w:t>
            </w:r>
            <w:r w:rsidRPr="000E1FDF">
              <w:t>N D</w:t>
            </w:r>
            <w:r w:rsidRPr="000E1FDF">
              <w:rPr>
                <w:lang w:val="en-US"/>
              </w:rPr>
              <w:t>Â</w:t>
            </w:r>
            <w:r w:rsidRPr="000E1FDF">
              <w:t xml:space="preserve">N </w:t>
            </w:r>
          </w:p>
          <w:p w:rsidR="000E1FDF" w:rsidRPr="000E1FDF" w:rsidRDefault="000E1FDF" w:rsidP="000E1FDF">
            <w:pPr>
              <w:pStyle w:val="Picturecaption0"/>
              <w:rPr>
                <w:lang w:val="en-US"/>
              </w:rPr>
            </w:pPr>
            <w:r w:rsidRPr="000E1FDF">
              <w:t xml:space="preserve">KT. CHỦ TỊCH </w:t>
            </w:r>
          </w:p>
          <w:p w:rsidR="000E1FDF" w:rsidRPr="000E1FDF" w:rsidRDefault="000E1FDF" w:rsidP="000E1FDF">
            <w:pPr>
              <w:pStyle w:val="Picturecaption0"/>
              <w:rPr>
                <w:lang w:val="en-US"/>
              </w:rPr>
            </w:pPr>
            <w:r w:rsidRPr="000E1FDF">
              <w:t>PHÓ CHỦ TỊCH</w:t>
            </w:r>
          </w:p>
          <w:p w:rsidR="000E1FDF" w:rsidRPr="000E1FDF" w:rsidRDefault="000E1FDF" w:rsidP="000E1FDF">
            <w:pPr>
              <w:pStyle w:val="Picturecaption0"/>
              <w:rPr>
                <w:lang w:val="en-US"/>
              </w:rPr>
            </w:pPr>
          </w:p>
          <w:p w:rsidR="000E1FDF" w:rsidRPr="000E1FDF" w:rsidRDefault="000E1FDF" w:rsidP="000E1FDF">
            <w:pPr>
              <w:pStyle w:val="Picturecaption0"/>
              <w:rPr>
                <w:lang w:val="en-US"/>
              </w:rPr>
            </w:pPr>
          </w:p>
          <w:p w:rsidR="000E1FDF" w:rsidRPr="000E1FDF" w:rsidRDefault="000E1FDF" w:rsidP="000E1FDF">
            <w:pPr>
              <w:pStyle w:val="Picturecaption0"/>
              <w:rPr>
                <w:lang w:val="en-US"/>
              </w:rPr>
            </w:pPr>
          </w:p>
          <w:p w:rsidR="000E1FDF" w:rsidRPr="000E1FDF" w:rsidRDefault="000E1FDF" w:rsidP="000E1FDF">
            <w:pPr>
              <w:pStyle w:val="Picturecaption0"/>
              <w:rPr>
                <w:lang w:val="en-US"/>
              </w:rPr>
            </w:pPr>
          </w:p>
          <w:p w:rsidR="000E1FDF" w:rsidRPr="000E1FDF" w:rsidRDefault="000E1FDF" w:rsidP="000E1FDF">
            <w:pPr>
              <w:pStyle w:val="Picturecaption0"/>
              <w:rPr>
                <w:lang w:val="en-US"/>
              </w:rPr>
            </w:pPr>
            <w:r w:rsidRPr="000E1FDF">
              <w:rPr>
                <w:lang w:val="en-US"/>
              </w:rPr>
              <w:t>Nguyễn Quỳnh Thiện</w:t>
            </w:r>
          </w:p>
          <w:p w:rsidR="000E1FDF" w:rsidRDefault="000E1FDF">
            <w:pPr>
              <w:pStyle w:val="BodyText"/>
              <w:tabs>
                <w:tab w:val="left" w:leader="dot" w:pos="6205"/>
              </w:tabs>
              <w:spacing w:after="460"/>
              <w:ind w:firstLine="0"/>
              <w:jc w:val="both"/>
              <w:rPr>
                <w:lang w:val="en-US"/>
              </w:rPr>
            </w:pPr>
          </w:p>
        </w:tc>
      </w:tr>
    </w:tbl>
    <w:p w:rsidR="000E1FDF" w:rsidRPr="000E1FDF" w:rsidRDefault="000E1FDF">
      <w:pPr>
        <w:pStyle w:val="BodyText"/>
        <w:tabs>
          <w:tab w:val="left" w:leader="dot" w:pos="6205"/>
        </w:tabs>
        <w:spacing w:after="460"/>
        <w:ind w:firstLine="0"/>
        <w:jc w:val="both"/>
        <w:rPr>
          <w:lang w:val="en-US"/>
        </w:rPr>
      </w:pPr>
    </w:p>
    <w:p w:rsidR="007D0BAB" w:rsidRDefault="00CB6F8B" w:rsidP="000E1FDF">
      <w:pPr>
        <w:pStyle w:val="Bodytext20"/>
        <w:spacing w:line="240" w:lineRule="auto"/>
      </w:pPr>
      <w:r>
        <w:rPr>
          <w:noProof/>
          <w:lang w:val="en-US" w:eastAsia="en-US" w:bidi="ar-SA"/>
        </w:rPr>
        <mc:AlternateContent>
          <mc:Choice Requires="wps">
            <w:drawing>
              <wp:anchor distT="0" distB="0" distL="0" distR="0" simplePos="0" relativeHeight="251658240" behindDoc="0" locked="0" layoutInCell="1" allowOverlap="1" wp14:anchorId="2E2B809E" wp14:editId="55F1FB9F">
                <wp:simplePos x="0" y="0"/>
                <wp:positionH relativeFrom="page">
                  <wp:posOffset>4787900</wp:posOffset>
                </wp:positionH>
                <wp:positionV relativeFrom="paragraph">
                  <wp:posOffset>1844040</wp:posOffset>
                </wp:positionV>
                <wp:extent cx="1539240" cy="228600"/>
                <wp:effectExtent l="0" t="0" r="0" b="0"/>
                <wp:wrapNone/>
                <wp:docPr id="9" name="Shape 9"/>
                <wp:cNvGraphicFramePr/>
                <a:graphic xmlns:a="http://schemas.openxmlformats.org/drawingml/2006/main">
                  <a:graphicData uri="http://schemas.microsoft.com/office/word/2010/wordprocessingShape">
                    <wps:wsp>
                      <wps:cNvSpPr txBox="1"/>
                      <wps:spPr>
                        <a:xfrm>
                          <a:off x="0" y="0"/>
                          <a:ext cx="1539240" cy="228600"/>
                        </a:xfrm>
                        <a:prstGeom prst="rect">
                          <a:avLst/>
                        </a:prstGeom>
                        <a:noFill/>
                      </wps:spPr>
                      <wps:txbx>
                        <w:txbxContent>
                          <w:p w:rsidR="007D0BAB" w:rsidRDefault="00CB6F8B">
                            <w:pPr>
                              <w:pStyle w:val="Picturecaption0"/>
                              <w:jc w:val="right"/>
                            </w:pPr>
                            <w:r>
                              <w:t>guyên Quỳnh Thiện</w:t>
                            </w:r>
                          </w:p>
                        </w:txbxContent>
                      </wps:txbx>
                      <wps:bodyPr lIns="0" tIns="0" rIns="0" bIns="0"/>
                    </wps:wsp>
                  </a:graphicData>
                </a:graphic>
              </wp:anchor>
            </w:drawing>
          </mc:Choice>
          <mc:Fallback>
            <w:pict>
              <v:shape id="Shape 9" o:spid="_x0000_s1028" type="#_x0000_t202" style="position:absolute;margin-left:377pt;margin-top:145.2pt;width:121.2pt;height:18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" filled="f" stroked="f">
                <v:textbox inset="0,0,0,0">
                  <w:txbxContent>
                    <w:p w:rsidR="007D0BAB" w:rsidRDefault="00CB6F8B">
                      <w:pPr>
                        <w:pStyle w:val="Picturecaption0"/>
                        <w:jc w:val="right"/>
                      </w:pPr>
                      <w:r>
                        <w:t>guyên Quỳnh Thiện</w:t>
                      </w:r>
                    </w:p>
                  </w:txbxContent>
                </v:textbox>
                <w10:wrap anchorx="page"/>
              </v:shape>
            </w:pict>
          </mc:Fallback>
        </mc:AlternateContent>
      </w:r>
      <w:bookmarkStart w:id="39" w:name="bookmark38"/>
      <w:bookmarkEnd w:id="39"/>
    </w:p>
    <w:p w:rsidR="007D0BAB" w:rsidRDefault="007D0BAB" w:rsidP="000E1FDF">
      <w:pPr>
        <w:pStyle w:val="Bodytext20"/>
        <w:tabs>
          <w:tab w:val="left" w:pos="258"/>
        </w:tabs>
        <w:spacing w:after="100"/>
      </w:pPr>
      <w:bookmarkStart w:id="40" w:name="bookmark39"/>
      <w:bookmarkEnd w:id="40"/>
    </w:p>
    <w:sectPr w:rsidR="007D0BAB">
      <w:headerReference w:type="default" r:id="rId8"/>
      <w:headerReference w:type="first" r:id="rId9"/>
      <w:pgSz w:w="11900" w:h="16840"/>
      <w:pgMar w:top="1107" w:right="1062" w:bottom="1121" w:left="1646" w:header="0" w:footer="3"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6F8B" w:rsidRDefault="00CB6F8B">
      <w:r>
        <w:separator/>
      </w:r>
    </w:p>
  </w:endnote>
  <w:endnote w:type="continuationSeparator" w:id="0">
    <w:p w:rsidR="00CB6F8B" w:rsidRDefault="00CB6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6F8B" w:rsidRDefault="00CB6F8B"/>
  </w:footnote>
  <w:footnote w:type="continuationSeparator" w:id="0">
    <w:p w:rsidR="00CB6F8B" w:rsidRDefault="00CB6F8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0BAB" w:rsidRDefault="007D0BAB">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0BAB" w:rsidRDefault="007D0BAB">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7059F"/>
    <w:multiLevelType w:val="multilevel"/>
    <w:tmpl w:val="BE540F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2102B08"/>
    <w:multiLevelType w:val="multilevel"/>
    <w:tmpl w:val="2146DB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1B72C94"/>
    <w:multiLevelType w:val="multilevel"/>
    <w:tmpl w:val="C4D6024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7F17A95"/>
    <w:multiLevelType w:val="multilevel"/>
    <w:tmpl w:val="CDA0E7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15355AF"/>
    <w:multiLevelType w:val="multilevel"/>
    <w:tmpl w:val="DEE45D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6BB7FDB"/>
    <w:multiLevelType w:val="multilevel"/>
    <w:tmpl w:val="B7048D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572745F8"/>
    <w:multiLevelType w:val="multilevel"/>
    <w:tmpl w:val="0632E6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E0E4B95"/>
    <w:multiLevelType w:val="multilevel"/>
    <w:tmpl w:val="9F2602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73DB6781"/>
    <w:multiLevelType w:val="multilevel"/>
    <w:tmpl w:val="0986AD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7"/>
  </w:num>
  <w:num w:numId="3">
    <w:abstractNumId w:val="3"/>
  </w:num>
  <w:num w:numId="4">
    <w:abstractNumId w:val="8"/>
  </w:num>
  <w:num w:numId="5">
    <w:abstractNumId w:val="2"/>
  </w:num>
  <w:num w:numId="6">
    <w:abstractNumId w:val="5"/>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
  <w:rsids>
    <w:rsidRoot w:val="007D0BAB"/>
    <w:rsid w:val="000E1FDF"/>
    <w:rsid w:val="002C7A00"/>
    <w:rsid w:val="007D0BAB"/>
    <w:rsid w:val="00CB6F8B"/>
    <w:rsid w:val="00F61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Bodytext30">
    <w:name w:val="Body text (3)"/>
    <w:basedOn w:val="Normal"/>
    <w:link w:val="Bodytext3"/>
    <w:pPr>
      <w:spacing w:after="60"/>
    </w:pPr>
    <w:rPr>
      <w:rFonts w:ascii="Times New Roman" w:eastAsia="Times New Roman" w:hAnsi="Times New Roman" w:cs="Times New Roman"/>
      <w:sz w:val="18"/>
      <w:szCs w:val="18"/>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8"/>
      <w:szCs w:val="28"/>
    </w:rPr>
  </w:style>
  <w:style w:type="paragraph" w:customStyle="1" w:styleId="Bodytext20">
    <w:name w:val="Body text (2)"/>
    <w:basedOn w:val="Normal"/>
    <w:link w:val="Bodytext2"/>
    <w:pPr>
      <w:spacing w:line="269" w:lineRule="auto"/>
    </w:pPr>
    <w:rPr>
      <w:rFonts w:ascii="Times New Roman" w:eastAsia="Times New Roman" w:hAnsi="Times New Roman" w:cs="Times New Roman"/>
      <w:sz w:val="22"/>
      <w:szCs w:val="22"/>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Tablecaption0">
    <w:name w:val="Table caption"/>
    <w:basedOn w:val="Normal"/>
    <w:link w:val="Tablecaption"/>
    <w:pPr>
      <w:ind w:firstLine="580"/>
    </w:pPr>
    <w:rPr>
      <w:rFonts w:ascii="Times New Roman" w:eastAsia="Times New Roman" w:hAnsi="Times New Roman" w:cs="Times New Roman"/>
      <w:sz w:val="28"/>
      <w:szCs w:val="28"/>
    </w:rPr>
  </w:style>
  <w:style w:type="paragraph" w:customStyle="1" w:styleId="Other0">
    <w:name w:val="Other"/>
    <w:basedOn w:val="Normal"/>
    <w:link w:val="Other"/>
    <w:pPr>
      <w:spacing w:after="120"/>
      <w:ind w:firstLine="400"/>
    </w:pPr>
    <w:rPr>
      <w:rFonts w:ascii="Times New Roman" w:eastAsia="Times New Roman" w:hAnsi="Times New Roman" w:cs="Times New Roman"/>
      <w:sz w:val="28"/>
      <w:szCs w:val="28"/>
    </w:rPr>
  </w:style>
  <w:style w:type="table" w:styleId="TableGrid">
    <w:name w:val="Table Grid"/>
    <w:basedOn w:val="TableNormal"/>
    <w:uiPriority w:val="59"/>
    <w:rsid w:val="000E1F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E1FDF"/>
    <w:pPr>
      <w:tabs>
        <w:tab w:val="center" w:pos="4680"/>
        <w:tab w:val="right" w:pos="9360"/>
      </w:tabs>
    </w:pPr>
  </w:style>
  <w:style w:type="character" w:customStyle="1" w:styleId="HeaderChar">
    <w:name w:val="Header Char"/>
    <w:basedOn w:val="DefaultParagraphFont"/>
    <w:link w:val="Header"/>
    <w:uiPriority w:val="99"/>
    <w:rsid w:val="000E1FDF"/>
    <w:rPr>
      <w:color w:val="000000"/>
    </w:rPr>
  </w:style>
  <w:style w:type="paragraph" w:styleId="Footer">
    <w:name w:val="footer"/>
    <w:basedOn w:val="Normal"/>
    <w:link w:val="FooterChar"/>
    <w:uiPriority w:val="99"/>
    <w:unhideWhenUsed/>
    <w:rsid w:val="000E1FDF"/>
    <w:pPr>
      <w:tabs>
        <w:tab w:val="center" w:pos="4680"/>
        <w:tab w:val="right" w:pos="9360"/>
      </w:tabs>
    </w:pPr>
  </w:style>
  <w:style w:type="character" w:customStyle="1" w:styleId="FooterChar">
    <w:name w:val="Footer Char"/>
    <w:basedOn w:val="DefaultParagraphFont"/>
    <w:link w:val="Footer"/>
    <w:uiPriority w:val="99"/>
    <w:rsid w:val="000E1FDF"/>
    <w:rPr>
      <w:color w:val="000000"/>
    </w:rPr>
  </w:style>
  <w:style w:type="paragraph" w:customStyle="1" w:styleId="Default">
    <w:name w:val="Default"/>
    <w:rsid w:val="000E1FDF"/>
    <w:pPr>
      <w:widowControl/>
      <w:autoSpaceDE w:val="0"/>
      <w:autoSpaceDN w:val="0"/>
      <w:adjustRightInd w:val="0"/>
    </w:pPr>
    <w:rPr>
      <w:rFonts w:ascii="Times New Roman" w:hAnsi="Times New Roman" w:cs="Times New Roman"/>
      <w:color w:val="000000"/>
      <w:lang w:val="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Bodytext30">
    <w:name w:val="Body text (3)"/>
    <w:basedOn w:val="Normal"/>
    <w:link w:val="Bodytext3"/>
    <w:pPr>
      <w:spacing w:after="60"/>
    </w:pPr>
    <w:rPr>
      <w:rFonts w:ascii="Times New Roman" w:eastAsia="Times New Roman" w:hAnsi="Times New Roman" w:cs="Times New Roman"/>
      <w:sz w:val="18"/>
      <w:szCs w:val="18"/>
    </w:rPr>
  </w:style>
  <w:style w:type="paragraph" w:styleId="BodyText">
    <w:name w:val="Body Text"/>
    <w:basedOn w:val="Normal"/>
    <w:link w:val="BodyTextChar"/>
    <w:qFormat/>
    <w:pPr>
      <w:spacing w:after="120"/>
      <w:ind w:firstLine="400"/>
    </w:pPr>
    <w:rPr>
      <w:rFonts w:ascii="Times New Roman" w:eastAsia="Times New Roman" w:hAnsi="Times New Roman" w:cs="Times New Roman"/>
      <w:sz w:val="28"/>
      <w:szCs w:val="28"/>
    </w:rPr>
  </w:style>
  <w:style w:type="paragraph" w:customStyle="1" w:styleId="Picturecaption0">
    <w:name w:val="Picture caption"/>
    <w:basedOn w:val="Normal"/>
    <w:link w:val="Picturecaption"/>
    <w:pPr>
      <w:jc w:val="center"/>
    </w:pPr>
    <w:rPr>
      <w:rFonts w:ascii="Times New Roman" w:eastAsia="Times New Roman" w:hAnsi="Times New Roman" w:cs="Times New Roman"/>
      <w:b/>
      <w:bCs/>
      <w:sz w:val="28"/>
      <w:szCs w:val="28"/>
    </w:rPr>
  </w:style>
  <w:style w:type="paragraph" w:customStyle="1" w:styleId="Bodytext20">
    <w:name w:val="Body text (2)"/>
    <w:basedOn w:val="Normal"/>
    <w:link w:val="Bodytext2"/>
    <w:pPr>
      <w:spacing w:line="269" w:lineRule="auto"/>
    </w:pPr>
    <w:rPr>
      <w:rFonts w:ascii="Times New Roman" w:eastAsia="Times New Roman" w:hAnsi="Times New Roman" w:cs="Times New Roman"/>
      <w:sz w:val="22"/>
      <w:szCs w:val="22"/>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Tablecaption0">
    <w:name w:val="Table caption"/>
    <w:basedOn w:val="Normal"/>
    <w:link w:val="Tablecaption"/>
    <w:pPr>
      <w:ind w:firstLine="580"/>
    </w:pPr>
    <w:rPr>
      <w:rFonts w:ascii="Times New Roman" w:eastAsia="Times New Roman" w:hAnsi="Times New Roman" w:cs="Times New Roman"/>
      <w:sz w:val="28"/>
      <w:szCs w:val="28"/>
    </w:rPr>
  </w:style>
  <w:style w:type="paragraph" w:customStyle="1" w:styleId="Other0">
    <w:name w:val="Other"/>
    <w:basedOn w:val="Normal"/>
    <w:link w:val="Other"/>
    <w:pPr>
      <w:spacing w:after="120"/>
      <w:ind w:firstLine="400"/>
    </w:pPr>
    <w:rPr>
      <w:rFonts w:ascii="Times New Roman" w:eastAsia="Times New Roman" w:hAnsi="Times New Roman" w:cs="Times New Roman"/>
      <w:sz w:val="28"/>
      <w:szCs w:val="28"/>
    </w:rPr>
  </w:style>
  <w:style w:type="table" w:styleId="TableGrid">
    <w:name w:val="Table Grid"/>
    <w:basedOn w:val="TableNormal"/>
    <w:uiPriority w:val="59"/>
    <w:rsid w:val="000E1F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E1FDF"/>
    <w:pPr>
      <w:tabs>
        <w:tab w:val="center" w:pos="4680"/>
        <w:tab w:val="right" w:pos="9360"/>
      </w:tabs>
    </w:pPr>
  </w:style>
  <w:style w:type="character" w:customStyle="1" w:styleId="HeaderChar">
    <w:name w:val="Header Char"/>
    <w:basedOn w:val="DefaultParagraphFont"/>
    <w:link w:val="Header"/>
    <w:uiPriority w:val="99"/>
    <w:rsid w:val="000E1FDF"/>
    <w:rPr>
      <w:color w:val="000000"/>
    </w:rPr>
  </w:style>
  <w:style w:type="paragraph" w:styleId="Footer">
    <w:name w:val="footer"/>
    <w:basedOn w:val="Normal"/>
    <w:link w:val="FooterChar"/>
    <w:uiPriority w:val="99"/>
    <w:unhideWhenUsed/>
    <w:rsid w:val="000E1FDF"/>
    <w:pPr>
      <w:tabs>
        <w:tab w:val="center" w:pos="4680"/>
        <w:tab w:val="right" w:pos="9360"/>
      </w:tabs>
    </w:pPr>
  </w:style>
  <w:style w:type="character" w:customStyle="1" w:styleId="FooterChar">
    <w:name w:val="Footer Char"/>
    <w:basedOn w:val="DefaultParagraphFont"/>
    <w:link w:val="Footer"/>
    <w:uiPriority w:val="99"/>
    <w:rsid w:val="000E1FDF"/>
    <w:rPr>
      <w:color w:val="000000"/>
    </w:rPr>
  </w:style>
  <w:style w:type="paragraph" w:customStyle="1" w:styleId="Default">
    <w:name w:val="Default"/>
    <w:rsid w:val="000E1FDF"/>
    <w:pPr>
      <w:widowControl/>
      <w:autoSpaceDE w:val="0"/>
      <w:autoSpaceDN w:val="0"/>
      <w:adjustRightInd w:val="0"/>
    </w:pPr>
    <w:rPr>
      <w:rFonts w:ascii="Times New Roman" w:hAnsi="Times New Roman" w:cs="Times New Roman"/>
      <w:color w:val="000000"/>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phamtandat</dc:creator>
  <cp:keywords/>
  <cp:lastModifiedBy>STP-BTMTUYEN</cp:lastModifiedBy>
  <cp:revision>4</cp:revision>
  <dcterms:created xsi:type="dcterms:W3CDTF">2026-08-11T01:17:00Z</dcterms:created>
  <dcterms:modified xsi:type="dcterms:W3CDTF">2026-08-11T01:37:00Z</dcterms:modified>
</cp:coreProperties>
</file>