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1"/>
        <w:ind w:left="485"/>
      </w:pPr>
      <w:r>
        <w:rPr/>
        <w:drawing>
          <wp:anchor distT="0" distB="0" distL="0" distR="0" allowOverlap="1" layoutInCell="1" locked="0" behindDoc="1" simplePos="0" relativeHeight="487309312">
            <wp:simplePos x="0" y="0"/>
            <wp:positionH relativeFrom="page">
              <wp:posOffset>2540126</wp:posOffset>
            </wp:positionH>
            <wp:positionV relativeFrom="paragraph">
              <wp:posOffset>-438527</wp:posOffset>
            </wp:positionV>
            <wp:extent cx="1523746" cy="14859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74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Phụ lục</w:t>
      </w:r>
    </w:p>
    <w:p>
      <w:pPr>
        <w:spacing w:line="254" w:lineRule="auto" w:before="98"/>
        <w:ind w:left="421" w:right="198" w:firstLine="0"/>
        <w:jc w:val="center"/>
        <w:rPr>
          <w:b/>
          <w:sz w:val="28"/>
        </w:rPr>
      </w:pPr>
      <w:r>
        <w:rPr>
          <w:b/>
          <w:sz w:val="28"/>
        </w:rPr>
        <w:t>MỨC THU PHÍ BẢO VỆ MÔI TRƯỜNG ĐỐI VỚI KHAI THÁC KHOÁNG SẢN TRÊN ĐỊA BÀN TỈNH HẢI DƯƠNG</w:t>
      </w:r>
    </w:p>
    <w:p>
      <w:pPr>
        <w:spacing w:before="78"/>
        <w:ind w:left="485" w:right="198" w:firstLine="0"/>
        <w:jc w:val="center"/>
        <w:rPr>
          <w:i/>
          <w:sz w:val="28"/>
        </w:rPr>
      </w:pPr>
      <w:r>
        <w:rPr>
          <w:i/>
          <w:sz w:val="28"/>
        </w:rPr>
        <w:t>(Ban hành kèm theo Nghị quyết số: 16/2023/NQ-HĐND ngày 08 tháng 12 năm</w:t>
      </w:r>
    </w:p>
    <w:p>
      <w:pPr>
        <w:spacing w:before="18"/>
        <w:ind w:left="485" w:right="198" w:firstLine="0"/>
        <w:jc w:val="center"/>
        <w:rPr>
          <w:i/>
          <w:sz w:val="28"/>
        </w:rPr>
      </w:pPr>
      <w:r>
        <w:rPr>
          <w:i/>
          <w:sz w:val="28"/>
        </w:rPr>
        <w:t>2023 của Hội đồng nhân dân tỉnh)</w:t>
      </w:r>
    </w:p>
    <w:p>
      <w:pPr>
        <w:pStyle w:val="BodyText"/>
        <w:spacing w:before="10"/>
        <w:rPr>
          <w:i/>
          <w:sz w:val="21"/>
        </w:rPr>
      </w:pPr>
    </w:p>
    <w:tbl>
      <w:tblPr>
        <w:tblW w:w="0" w:type="auto"/>
        <w:jc w:val="left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4950"/>
        <w:gridCol w:w="1742"/>
        <w:gridCol w:w="1809"/>
      </w:tblGrid>
      <w:tr>
        <w:trPr>
          <w:trHeight w:val="734" w:hRule="atLeast"/>
        </w:trPr>
        <w:tc>
          <w:tcPr>
            <w:tcW w:w="828" w:type="dxa"/>
          </w:tcPr>
          <w:p>
            <w:pPr>
              <w:pStyle w:val="TableParagraph"/>
              <w:spacing w:line="240" w:lineRule="auto" w:before="246"/>
              <w:ind w:left="114" w:right="10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TT</w:t>
            </w:r>
          </w:p>
        </w:tc>
        <w:tc>
          <w:tcPr>
            <w:tcW w:w="4950" w:type="dxa"/>
          </w:tcPr>
          <w:p>
            <w:pPr>
              <w:pStyle w:val="TableParagraph"/>
              <w:spacing w:line="240" w:lineRule="auto" w:before="246"/>
              <w:ind w:left="1486"/>
              <w:rPr>
                <w:b/>
                <w:sz w:val="28"/>
              </w:rPr>
            </w:pPr>
            <w:r>
              <w:rPr>
                <w:b/>
                <w:sz w:val="28"/>
              </w:rPr>
              <w:t>Loại khoáng sản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 w:before="246"/>
              <w:ind w:left="173" w:right="16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 vị tính</w:t>
            </w:r>
          </w:p>
        </w:tc>
        <w:tc>
          <w:tcPr>
            <w:tcW w:w="1809" w:type="dxa"/>
          </w:tcPr>
          <w:p>
            <w:pPr>
              <w:pStyle w:val="TableParagraph"/>
              <w:spacing w:line="240" w:lineRule="auto" w:before="80"/>
              <w:ind w:left="388"/>
              <w:rPr>
                <w:b/>
                <w:sz w:val="28"/>
              </w:rPr>
            </w:pPr>
            <w:r>
              <w:rPr>
                <w:b/>
                <w:sz w:val="28"/>
              </w:rPr>
              <w:t>Mức thu</w:t>
            </w:r>
          </w:p>
          <w:p>
            <w:pPr>
              <w:pStyle w:val="TableParagraph"/>
              <w:spacing w:line="312" w:lineRule="exact"/>
              <w:ind w:left="515"/>
              <w:rPr>
                <w:b/>
                <w:sz w:val="28"/>
              </w:rPr>
            </w:pPr>
            <w:r>
              <w:rPr>
                <w:b/>
                <w:sz w:val="28"/>
              </w:rPr>
              <w:t>(đồng)</w:t>
            </w:r>
          </w:p>
        </w:tc>
      </w:tr>
      <w:tr>
        <w:trPr>
          <w:trHeight w:val="401" w:hRule="atLeast"/>
        </w:trPr>
        <w:tc>
          <w:tcPr>
            <w:tcW w:w="828" w:type="dxa"/>
          </w:tcPr>
          <w:p>
            <w:pPr>
              <w:pStyle w:val="TableParagraph"/>
              <w:spacing w:line="240" w:lineRule="auto" w:before="4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</w:t>
            </w:r>
          </w:p>
        </w:tc>
        <w:tc>
          <w:tcPr>
            <w:tcW w:w="4950" w:type="dxa"/>
          </w:tcPr>
          <w:p>
            <w:pPr>
              <w:pStyle w:val="TableParagraph"/>
              <w:spacing w:line="240" w:lineRule="auto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Quặng khoáng sản kim loại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1809" w:type="dxa"/>
          </w:tcPr>
          <w:p>
            <w:pPr>
              <w:pStyle w:val="TableParagraph"/>
              <w:spacing w:line="240" w:lineRule="auto"/>
              <w:rPr>
                <w:sz w:val="26"/>
              </w:rPr>
            </w:pPr>
          </w:p>
        </w:tc>
      </w:tr>
      <w:tr>
        <w:trPr>
          <w:trHeight w:val="401" w:hRule="atLeast"/>
        </w:trPr>
        <w:tc>
          <w:tcPr>
            <w:tcW w:w="828" w:type="dxa"/>
          </w:tcPr>
          <w:p>
            <w:pPr>
              <w:pStyle w:val="TableParagraph"/>
              <w:spacing w:line="240" w:lineRule="auto" w:before="40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950" w:type="dxa"/>
          </w:tcPr>
          <w:p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z w:val="28"/>
              </w:rPr>
              <w:t>Quặng sắt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 w:before="40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spacing w:before="80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60.000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Quặng nhôm, quặng bô-xít (</w:t>
            </w:r>
            <w:r>
              <w:rPr>
                <w:i/>
                <w:sz w:val="28"/>
              </w:rPr>
              <w:t>bauxit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30.000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Quặng đồng, quặng ni-ken (</w:t>
            </w:r>
            <w:r>
              <w:rPr>
                <w:i/>
                <w:sz w:val="28"/>
              </w:rPr>
              <w:t>nicken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60.000</w:t>
            </w:r>
          </w:p>
        </w:tc>
      </w:tr>
      <w:tr>
        <w:trPr>
          <w:trHeight w:val="965" w:hRule="atLeast"/>
        </w:trPr>
        <w:tc>
          <w:tcPr>
            <w:tcW w:w="828" w:type="dxa"/>
          </w:tcPr>
          <w:p>
            <w:pPr>
              <w:pStyle w:val="TableParagraph"/>
              <w:spacing w:line="240" w:lineRule="auto"/>
              <w:rPr>
                <w:i/>
                <w:sz w:val="28"/>
              </w:rPr>
            </w:pPr>
          </w:p>
          <w:p>
            <w:pPr>
              <w:pStyle w:val="TableParagraph"/>
              <w:spacing w:line="240" w:lineRule="auto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4950" w:type="dxa"/>
          </w:tcPr>
          <w:p>
            <w:pPr>
              <w:pStyle w:val="TableParagraph"/>
              <w:spacing w:line="320" w:lineRule="atLeast"/>
              <w:ind w:left="108" w:right="171"/>
              <w:jc w:val="both"/>
              <w:rPr>
                <w:sz w:val="28"/>
              </w:rPr>
            </w:pPr>
            <w:r>
              <w:rPr>
                <w:sz w:val="28"/>
              </w:rPr>
              <w:t>Quặng cô-ban (</w:t>
            </w:r>
            <w:r>
              <w:rPr>
                <w:i/>
                <w:sz w:val="28"/>
              </w:rPr>
              <w:t>coban</w:t>
            </w:r>
            <w:r>
              <w:rPr>
                <w:sz w:val="28"/>
              </w:rPr>
              <w:t>), quặng mô-lip-đen (</w:t>
            </w:r>
            <w:r>
              <w:rPr>
                <w:i/>
                <w:sz w:val="28"/>
              </w:rPr>
              <w:t>molybden</w:t>
            </w:r>
            <w:r>
              <w:rPr>
                <w:sz w:val="28"/>
              </w:rPr>
              <w:t>), quặng thủy ngân, quặng ma- nhê (</w:t>
            </w:r>
            <w:r>
              <w:rPr>
                <w:i/>
                <w:sz w:val="28"/>
              </w:rPr>
              <w:t>magie</w:t>
            </w:r>
            <w:r>
              <w:rPr>
                <w:sz w:val="28"/>
              </w:rPr>
              <w:t>), quặng va-na-đi (</w:t>
            </w:r>
            <w:r>
              <w:rPr>
                <w:i/>
                <w:sz w:val="28"/>
              </w:rPr>
              <w:t>vanadi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/>
              <w:rPr>
                <w:i/>
                <w:sz w:val="28"/>
              </w:rPr>
            </w:pPr>
          </w:p>
          <w:p>
            <w:pPr>
              <w:pStyle w:val="TableParagraph"/>
              <w:spacing w:line="240" w:lineRule="auto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spacing w:line="240" w:lineRule="auto"/>
              <w:rPr>
                <w:i/>
                <w:sz w:val="28"/>
              </w:rPr>
            </w:pPr>
          </w:p>
          <w:p>
            <w:pPr>
              <w:pStyle w:val="TableParagraph"/>
              <w:spacing w:line="240" w:lineRule="auto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270.000</w:t>
            </w:r>
          </w:p>
        </w:tc>
      </w:tr>
      <w:tr>
        <w:trPr>
          <w:trHeight w:val="2575" w:hRule="atLeast"/>
        </w:trPr>
        <w:tc>
          <w:tcPr>
            <w:tcW w:w="828" w:type="dxa"/>
          </w:tcPr>
          <w:p>
            <w:pPr>
              <w:pStyle w:val="TableParagraph"/>
              <w:spacing w:line="240" w:lineRule="auto"/>
              <w:rPr>
                <w:i/>
                <w:sz w:val="30"/>
              </w:rPr>
            </w:pPr>
          </w:p>
          <w:p>
            <w:pPr>
              <w:pStyle w:val="TableParagraph"/>
              <w:spacing w:line="240" w:lineRule="auto"/>
              <w:rPr>
                <w:i/>
                <w:sz w:val="30"/>
              </w:rPr>
            </w:pPr>
          </w:p>
          <w:p>
            <w:pPr>
              <w:pStyle w:val="TableParagraph"/>
              <w:spacing w:line="240" w:lineRule="auto"/>
              <w:rPr>
                <w:i/>
                <w:sz w:val="38"/>
              </w:rPr>
            </w:pPr>
          </w:p>
          <w:p>
            <w:pPr>
              <w:pStyle w:val="TableParagraph"/>
              <w:spacing w:line="240" w:lineRule="auto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4950" w:type="dxa"/>
          </w:tcPr>
          <w:p>
            <w:pPr>
              <w:pStyle w:val="TableParagraph"/>
              <w:spacing w:line="320" w:lineRule="atLeast"/>
              <w:ind w:left="108" w:right="95"/>
              <w:jc w:val="both"/>
              <w:rPr>
                <w:i/>
                <w:sz w:val="28"/>
              </w:rPr>
            </w:pPr>
            <w:r>
              <w:rPr>
                <w:sz w:val="28"/>
              </w:rPr>
              <w:t>Quặng khoáng sản kim loại khác </w:t>
            </w:r>
            <w:r>
              <w:rPr>
                <w:i/>
                <w:sz w:val="28"/>
              </w:rPr>
              <w:t>((không </w:t>
            </w:r>
            <w:r>
              <w:rPr>
                <w:i/>
                <w:sz w:val="28"/>
              </w:rPr>
              <w:t>bao gồm: quặng măng-gan (mangan), quặng ti-tan (titan), quặng vàng, quặng đất hiếm, quặng bạch kim, quặng bạc, quặng thiếc, quặng vôn-phờ-ram (wolfram), quặng ăng-ti-moan (antimon), quặng chì, quặng kẽm, quặng crô-mít (cromit))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/>
              <w:rPr>
                <w:i/>
                <w:sz w:val="30"/>
              </w:rPr>
            </w:pPr>
          </w:p>
          <w:p>
            <w:pPr>
              <w:pStyle w:val="TableParagraph"/>
              <w:spacing w:line="240" w:lineRule="auto"/>
              <w:rPr>
                <w:i/>
                <w:sz w:val="30"/>
              </w:rPr>
            </w:pPr>
          </w:p>
          <w:p>
            <w:pPr>
              <w:pStyle w:val="TableParagraph"/>
              <w:spacing w:line="240" w:lineRule="auto"/>
              <w:rPr>
                <w:i/>
                <w:sz w:val="38"/>
              </w:rPr>
            </w:pPr>
          </w:p>
          <w:p>
            <w:pPr>
              <w:pStyle w:val="TableParagraph"/>
              <w:spacing w:line="240" w:lineRule="auto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spacing w:line="240" w:lineRule="auto"/>
              <w:rPr>
                <w:i/>
                <w:sz w:val="30"/>
              </w:rPr>
            </w:pPr>
          </w:p>
          <w:p>
            <w:pPr>
              <w:pStyle w:val="TableParagraph"/>
              <w:spacing w:line="240" w:lineRule="auto"/>
              <w:rPr>
                <w:i/>
                <w:sz w:val="30"/>
              </w:rPr>
            </w:pPr>
          </w:p>
          <w:p>
            <w:pPr>
              <w:pStyle w:val="TableParagraph"/>
              <w:spacing w:line="240" w:lineRule="auto"/>
              <w:rPr>
                <w:i/>
                <w:sz w:val="38"/>
              </w:rPr>
            </w:pPr>
          </w:p>
          <w:p>
            <w:pPr>
              <w:pStyle w:val="TableParagraph"/>
              <w:spacing w:line="240" w:lineRule="auto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30.000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3" w:right="10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II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Khoáng sản không kim loại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80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643" w:hRule="atLeast"/>
        </w:trPr>
        <w:tc>
          <w:tcPr>
            <w:tcW w:w="828" w:type="dxa"/>
          </w:tcPr>
          <w:p>
            <w:pPr>
              <w:pStyle w:val="TableParagraph"/>
              <w:spacing w:line="240" w:lineRule="auto" w:before="161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950" w:type="dxa"/>
          </w:tcPr>
          <w:p>
            <w:pPr>
              <w:pStyle w:val="TableParagraph"/>
              <w:spacing w:line="320" w:lineRule="atLeast"/>
              <w:ind w:left="108" w:right="329"/>
              <w:rPr>
                <w:sz w:val="28"/>
              </w:rPr>
            </w:pPr>
            <w:r>
              <w:rPr>
                <w:sz w:val="28"/>
              </w:rPr>
              <w:t>Đất khai thác để san lấp, xây dựng công trình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 w:before="156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spacing w:line="240" w:lineRule="auto" w:before="161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2.000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Đá, sỏi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80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2.1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Sỏi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9.000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2.2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Đá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80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965" w:hRule="atLeast"/>
        </w:trPr>
        <w:tc>
          <w:tcPr>
            <w:tcW w:w="828" w:type="dxa"/>
          </w:tcPr>
          <w:p>
            <w:pPr>
              <w:pStyle w:val="TableParagraph"/>
              <w:spacing w:line="240" w:lineRule="auto"/>
              <w:rPr>
                <w:i/>
                <w:sz w:val="28"/>
              </w:rPr>
            </w:pPr>
          </w:p>
          <w:p>
            <w:pPr>
              <w:pStyle w:val="TableParagraph"/>
              <w:spacing w:line="240" w:lineRule="auto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2.2.1</w:t>
            </w:r>
          </w:p>
        </w:tc>
        <w:tc>
          <w:tcPr>
            <w:tcW w:w="4950" w:type="dxa"/>
          </w:tcPr>
          <w:p>
            <w:pPr>
              <w:pStyle w:val="TableParagraph"/>
              <w:spacing w:line="320" w:lineRule="atLeast"/>
              <w:ind w:left="108" w:right="95"/>
              <w:jc w:val="both"/>
              <w:rPr>
                <w:sz w:val="28"/>
              </w:rPr>
            </w:pPr>
            <w:r>
              <w:rPr>
                <w:sz w:val="28"/>
              </w:rPr>
              <w:t>Đá block (</w:t>
            </w:r>
            <w:r>
              <w:rPr>
                <w:i/>
                <w:sz w:val="28"/>
              </w:rPr>
              <w:t>bao gồm khai thác cả khối lớn </w:t>
            </w:r>
            <w:r>
              <w:rPr>
                <w:i/>
                <w:sz w:val="28"/>
              </w:rPr>
              <w:t>đá hoa trắng, granite, gabro, bazan làm ốp lát, mỹ nghệ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 w:before="6"/>
              <w:rPr>
                <w:i/>
                <w:sz w:val="27"/>
              </w:rPr>
            </w:pPr>
          </w:p>
          <w:p>
            <w:pPr>
              <w:pStyle w:val="TableParagraph"/>
              <w:spacing w:line="240" w:lineRule="auto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spacing w:line="240" w:lineRule="auto"/>
              <w:rPr>
                <w:i/>
                <w:sz w:val="28"/>
              </w:rPr>
            </w:pPr>
          </w:p>
          <w:p>
            <w:pPr>
              <w:pStyle w:val="TableParagraph"/>
              <w:spacing w:line="240" w:lineRule="auto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90.000</w:t>
            </w:r>
          </w:p>
        </w:tc>
      </w:tr>
      <w:tr>
        <w:trPr>
          <w:trHeight w:val="401" w:hRule="atLeast"/>
        </w:trPr>
        <w:tc>
          <w:tcPr>
            <w:tcW w:w="828" w:type="dxa"/>
          </w:tcPr>
          <w:p>
            <w:pPr>
              <w:pStyle w:val="TableParagraph"/>
              <w:spacing w:line="240" w:lineRule="auto" w:before="40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2.2.2</w:t>
            </w:r>
          </w:p>
        </w:tc>
        <w:tc>
          <w:tcPr>
            <w:tcW w:w="4950" w:type="dxa"/>
          </w:tcPr>
          <w:p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z w:val="28"/>
              </w:rPr>
              <w:t>Đá làm vật liệu xây dựng thông thường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 w:before="35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spacing w:before="80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7.500</w:t>
            </w:r>
          </w:p>
        </w:tc>
      </w:tr>
      <w:tr>
        <w:trPr>
          <w:trHeight w:val="1287" w:hRule="atLeast"/>
        </w:trPr>
        <w:tc>
          <w:tcPr>
            <w:tcW w:w="828" w:type="dxa"/>
          </w:tcPr>
          <w:p>
            <w:pPr>
              <w:pStyle w:val="TableParagraph"/>
              <w:spacing w:line="240" w:lineRule="auto"/>
              <w:rPr>
                <w:i/>
                <w:sz w:val="42"/>
              </w:rPr>
            </w:pPr>
          </w:p>
          <w:p>
            <w:pPr>
              <w:pStyle w:val="TableParagraph"/>
              <w:spacing w:line="240" w:lineRule="auto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4950" w:type="dxa"/>
          </w:tcPr>
          <w:p>
            <w:pPr>
              <w:pStyle w:val="TableParagraph"/>
              <w:spacing w:line="320" w:lineRule="atLeast"/>
              <w:ind w:left="108" w:right="138"/>
              <w:rPr>
                <w:sz w:val="28"/>
              </w:rPr>
            </w:pPr>
            <w:r>
              <w:rPr>
                <w:sz w:val="28"/>
              </w:rPr>
              <w:t>Đá nung vôi, làm xi măng, làm phụ gia xi măng và làm khoáng chất công nghiệp theo quy định của pháp luật khoáng sản (</w:t>
            </w:r>
            <w:r>
              <w:rPr>
                <w:i/>
                <w:sz w:val="28"/>
              </w:rPr>
              <w:t>Serpentin, barit, bentonit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 w:before="6"/>
              <w:rPr>
                <w:i/>
                <w:sz w:val="41"/>
              </w:rPr>
            </w:pPr>
          </w:p>
          <w:p>
            <w:pPr>
              <w:pStyle w:val="TableParagraph"/>
              <w:spacing w:line="240" w:lineRule="auto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spacing w:line="240" w:lineRule="auto"/>
              <w:rPr>
                <w:i/>
                <w:sz w:val="30"/>
              </w:rPr>
            </w:pPr>
          </w:p>
          <w:p>
            <w:pPr>
              <w:pStyle w:val="TableParagraph"/>
              <w:spacing w:line="240" w:lineRule="auto" w:before="178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6.750</w:t>
            </w:r>
          </w:p>
        </w:tc>
      </w:tr>
      <w:tr>
        <w:trPr>
          <w:trHeight w:val="401" w:hRule="atLeast"/>
        </w:trPr>
        <w:tc>
          <w:tcPr>
            <w:tcW w:w="828" w:type="dxa"/>
          </w:tcPr>
          <w:p>
            <w:pPr>
              <w:pStyle w:val="TableParagraph"/>
              <w:spacing w:line="240" w:lineRule="auto" w:before="40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4950" w:type="dxa"/>
          </w:tcPr>
          <w:p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z w:val="28"/>
              </w:rPr>
              <w:t>Đá làm fluorit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 w:before="35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spacing w:before="80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4.500</w:t>
            </w:r>
          </w:p>
        </w:tc>
      </w:tr>
      <w:tr>
        <w:trPr>
          <w:trHeight w:val="965" w:hRule="atLeast"/>
        </w:trPr>
        <w:tc>
          <w:tcPr>
            <w:tcW w:w="828" w:type="dxa"/>
          </w:tcPr>
          <w:p>
            <w:pPr>
              <w:pStyle w:val="TableParagraph"/>
              <w:spacing w:line="240" w:lineRule="auto"/>
              <w:rPr>
                <w:i/>
                <w:sz w:val="28"/>
              </w:rPr>
            </w:pPr>
          </w:p>
          <w:p>
            <w:pPr>
              <w:pStyle w:val="TableParagraph"/>
              <w:spacing w:line="240" w:lineRule="auto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4950" w:type="dxa"/>
          </w:tcPr>
          <w:p>
            <w:pPr>
              <w:pStyle w:val="TableParagraph"/>
              <w:spacing w:line="320" w:lineRule="atLeast"/>
              <w:ind w:left="108" w:right="380"/>
              <w:rPr>
                <w:sz w:val="28"/>
              </w:rPr>
            </w:pPr>
            <w:r>
              <w:rPr>
                <w:sz w:val="28"/>
              </w:rPr>
              <w:t>Đá granite, gabro, bazan làm ốp lát, mỹ nghệ (</w:t>
            </w:r>
            <w:r>
              <w:rPr>
                <w:i/>
                <w:sz w:val="28"/>
              </w:rPr>
              <w:t>trừ quy định tại điểm 2.2.1 Mục </w:t>
            </w:r>
            <w:r>
              <w:rPr>
                <w:i/>
                <w:sz w:val="28"/>
              </w:rPr>
              <w:t>này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 w:before="6"/>
              <w:rPr>
                <w:i/>
                <w:sz w:val="27"/>
              </w:rPr>
            </w:pPr>
          </w:p>
          <w:p>
            <w:pPr>
              <w:pStyle w:val="TableParagraph"/>
              <w:spacing w:line="240" w:lineRule="auto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spacing w:line="240" w:lineRule="auto"/>
              <w:rPr>
                <w:i/>
                <w:sz w:val="28"/>
              </w:rPr>
            </w:pPr>
          </w:p>
          <w:p>
            <w:pPr>
              <w:pStyle w:val="TableParagraph"/>
              <w:spacing w:line="240" w:lineRule="auto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70.000</w:t>
            </w:r>
          </w:p>
        </w:tc>
      </w:tr>
    </w:tbl>
    <w:p>
      <w:pPr>
        <w:spacing w:after="0" w:line="240" w:lineRule="auto"/>
        <w:jc w:val="right"/>
        <w:rPr>
          <w:sz w:val="28"/>
        </w:rPr>
        <w:sectPr>
          <w:type w:val="continuous"/>
          <w:pgSz w:w="11910" w:h="16840"/>
          <w:pgMar w:top="720" w:bottom="280" w:left="1300" w:right="1020"/>
        </w:sectPr>
      </w:pPr>
    </w:p>
    <w:tbl>
      <w:tblPr>
        <w:tblW w:w="0" w:type="auto"/>
        <w:jc w:val="left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4950"/>
        <w:gridCol w:w="1742"/>
        <w:gridCol w:w="1809"/>
      </w:tblGrid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Cát vàng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7.500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Cát trắng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10.500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Các loại cát khác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6.000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Đất sét, đất làm gạch, ngói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3.000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Sét chịu lửa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30.000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Đôlômít (</w:t>
            </w:r>
            <w:r>
              <w:rPr>
                <w:i/>
                <w:sz w:val="28"/>
              </w:rPr>
              <w:t>dolomit</w:t>
            </w:r>
            <w:r>
              <w:rPr>
                <w:sz w:val="28"/>
              </w:rPr>
              <w:t>), quắc-zít (</w:t>
            </w:r>
            <w:r>
              <w:rPr>
                <w:i/>
                <w:sz w:val="28"/>
              </w:rPr>
              <w:t>quartzit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45.000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Cao lanh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5.800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Mi-ca (</w:t>
            </w:r>
            <w:r>
              <w:rPr>
                <w:i/>
                <w:sz w:val="28"/>
              </w:rPr>
              <w:t>mica</w:t>
            </w:r>
            <w:r>
              <w:rPr>
                <w:sz w:val="28"/>
              </w:rPr>
              <w:t>), thạch anh kỹ thuật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30.000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Pi-rít (</w:t>
            </w:r>
            <w:r>
              <w:rPr>
                <w:i/>
                <w:sz w:val="28"/>
              </w:rPr>
              <w:t>pirite</w:t>
            </w:r>
            <w:r>
              <w:rPr>
                <w:sz w:val="28"/>
              </w:rPr>
              <w:t>), phốt-pho-rít (</w:t>
            </w:r>
            <w:r>
              <w:rPr>
                <w:i/>
                <w:sz w:val="28"/>
              </w:rPr>
              <w:t>phosphorit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30.000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A-pa-tít (</w:t>
            </w:r>
            <w:r>
              <w:rPr>
                <w:i/>
                <w:sz w:val="28"/>
              </w:rPr>
              <w:t>apatit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5.000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Séc-păng-tin (</w:t>
            </w:r>
            <w:r>
              <w:rPr>
                <w:i/>
                <w:sz w:val="28"/>
              </w:rPr>
              <w:t>secpentin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5.000</w:t>
            </w:r>
          </w:p>
        </w:tc>
      </w:tr>
      <w:tr>
        <w:trPr>
          <w:trHeight w:val="1609" w:hRule="atLeast"/>
        </w:trPr>
        <w:tc>
          <w:tcPr>
            <w:tcW w:w="828" w:type="dxa"/>
          </w:tcPr>
          <w:p>
            <w:pPr>
              <w:pStyle w:val="TableParagraph"/>
              <w:spacing w:line="240" w:lineRule="auto"/>
              <w:rPr>
                <w:i/>
                <w:sz w:val="30"/>
              </w:rPr>
            </w:pPr>
          </w:p>
          <w:p>
            <w:pPr>
              <w:pStyle w:val="TableParagraph"/>
              <w:spacing w:line="240" w:lineRule="auto"/>
              <w:rPr>
                <w:i/>
                <w:sz w:val="26"/>
              </w:rPr>
            </w:pPr>
          </w:p>
          <w:p>
            <w:pPr>
              <w:pStyle w:val="TableParagraph"/>
              <w:spacing w:line="240" w:lineRule="auto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4950" w:type="dxa"/>
          </w:tcPr>
          <w:p>
            <w:pPr>
              <w:pStyle w:val="TableParagraph"/>
              <w:spacing w:line="240" w:lineRule="auto"/>
              <w:ind w:left="108"/>
              <w:rPr>
                <w:sz w:val="28"/>
              </w:rPr>
            </w:pPr>
            <w:r>
              <w:rPr>
                <w:sz w:val="28"/>
              </w:rPr>
              <w:t>Than gồm: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72" w:val="left" w:leader="none"/>
              </w:tabs>
              <w:spacing w:line="240" w:lineRule="auto" w:before="0" w:after="0"/>
              <w:ind w:left="271" w:right="0" w:hanging="164"/>
              <w:jc w:val="left"/>
              <w:rPr>
                <w:sz w:val="28"/>
              </w:rPr>
            </w:pPr>
            <w:r>
              <w:rPr>
                <w:sz w:val="28"/>
              </w:rPr>
              <w:t>Than an-tra-xít (</w:t>
            </w:r>
            <w:r>
              <w:rPr>
                <w:i/>
                <w:sz w:val="28"/>
              </w:rPr>
              <w:t>antraxit</w:t>
            </w:r>
            <w:r>
              <w:rPr>
                <w:sz w:val="28"/>
              </w:rPr>
              <w:t>) hầm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lò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72" w:val="left" w:leader="none"/>
              </w:tabs>
              <w:spacing w:line="240" w:lineRule="auto" w:before="0" w:after="0"/>
              <w:ind w:left="271" w:right="0" w:hanging="164"/>
              <w:jc w:val="left"/>
              <w:rPr>
                <w:sz w:val="28"/>
              </w:rPr>
            </w:pPr>
            <w:r>
              <w:rPr>
                <w:sz w:val="28"/>
              </w:rPr>
              <w:t>Than an-tra-xít (</w:t>
            </w:r>
            <w:r>
              <w:rPr>
                <w:i/>
                <w:sz w:val="28"/>
              </w:rPr>
              <w:t>antraxit</w:t>
            </w:r>
            <w:r>
              <w:rPr>
                <w:sz w:val="28"/>
              </w:rPr>
              <w:t>) lộ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thiên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72" w:val="left" w:leader="none"/>
              </w:tabs>
              <w:spacing w:line="240" w:lineRule="auto" w:before="0" w:after="0"/>
              <w:ind w:left="271" w:right="0" w:hanging="164"/>
              <w:jc w:val="left"/>
              <w:rPr>
                <w:sz w:val="28"/>
              </w:rPr>
            </w:pPr>
            <w:r>
              <w:rPr>
                <w:sz w:val="28"/>
              </w:rPr>
              <w:t>Than nâu, than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mỡ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72" w:val="left" w:leader="none"/>
              </w:tabs>
              <w:spacing w:line="302" w:lineRule="exact" w:before="0" w:after="0"/>
              <w:ind w:left="271" w:right="0" w:hanging="164"/>
              <w:jc w:val="left"/>
              <w:rPr>
                <w:sz w:val="28"/>
              </w:rPr>
            </w:pPr>
            <w:r>
              <w:rPr>
                <w:sz w:val="28"/>
              </w:rPr>
              <w:t>Than khác</w:t>
            </w:r>
          </w:p>
        </w:tc>
        <w:tc>
          <w:tcPr>
            <w:tcW w:w="1742" w:type="dxa"/>
          </w:tcPr>
          <w:p>
            <w:pPr>
              <w:pStyle w:val="TableParagraph"/>
              <w:spacing w:line="240" w:lineRule="auto"/>
              <w:rPr>
                <w:i/>
                <w:sz w:val="30"/>
              </w:rPr>
            </w:pPr>
          </w:p>
          <w:p>
            <w:pPr>
              <w:pStyle w:val="TableParagraph"/>
              <w:spacing w:line="240" w:lineRule="auto"/>
              <w:rPr>
                <w:i/>
                <w:sz w:val="26"/>
              </w:rPr>
            </w:pPr>
          </w:p>
          <w:p>
            <w:pPr>
              <w:pStyle w:val="TableParagraph"/>
              <w:spacing w:line="240" w:lineRule="auto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spacing w:line="240" w:lineRule="auto"/>
              <w:rPr>
                <w:i/>
                <w:sz w:val="30"/>
              </w:rPr>
            </w:pPr>
          </w:p>
          <w:p>
            <w:pPr>
              <w:pStyle w:val="TableParagraph"/>
              <w:spacing w:line="240" w:lineRule="auto"/>
              <w:rPr>
                <w:i/>
                <w:sz w:val="26"/>
              </w:rPr>
            </w:pPr>
          </w:p>
          <w:p>
            <w:pPr>
              <w:pStyle w:val="TableParagraph"/>
              <w:spacing w:line="240" w:lineRule="auto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10.000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Cuội, sạn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9.000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Đất làm thạch cao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3.000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Các loại đất khác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2.000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Talc, diatomit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30.000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Graphit, serecit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5.000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Phen - sờ - phát (</w:t>
            </w:r>
            <w:r>
              <w:rPr>
                <w:i/>
                <w:sz w:val="28"/>
              </w:rPr>
              <w:t>felspat</w:t>
            </w:r>
            <w:r>
              <w:rPr>
                <w:sz w:val="28"/>
              </w:rPr>
              <w:t>)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4.600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Nước khoáng thiên nhiên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4"/>
              <w:jc w:val="center"/>
              <w:rPr>
                <w:sz w:val="18"/>
              </w:rPr>
            </w:pPr>
            <w:r>
              <w:rPr>
                <w:position w:val="-7"/>
                <w:sz w:val="28"/>
              </w:rPr>
              <w:t>m</w:t>
            </w:r>
            <w:r>
              <w:rPr>
                <w:sz w:val="18"/>
              </w:rPr>
              <w:t>3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3.000</w:t>
            </w:r>
          </w:p>
        </w:tc>
      </w:tr>
      <w:tr>
        <w:trPr>
          <w:trHeight w:val="321" w:hRule="atLeast"/>
        </w:trPr>
        <w:tc>
          <w:tcPr>
            <w:tcW w:w="828" w:type="dxa"/>
          </w:tcPr>
          <w:p>
            <w:pPr>
              <w:pStyle w:val="TableParagraph"/>
              <w:ind w:left="114" w:right="104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4950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Các khoáng sản không kim loại khác</w:t>
            </w:r>
          </w:p>
        </w:tc>
        <w:tc>
          <w:tcPr>
            <w:tcW w:w="1742" w:type="dxa"/>
          </w:tcPr>
          <w:p>
            <w:pPr>
              <w:pStyle w:val="TableParagraph"/>
              <w:ind w:left="173" w:right="163"/>
              <w:jc w:val="center"/>
              <w:rPr>
                <w:sz w:val="28"/>
              </w:rPr>
            </w:pPr>
            <w:r>
              <w:rPr>
                <w:sz w:val="28"/>
              </w:rPr>
              <w:t>Tấn</w:t>
            </w:r>
          </w:p>
        </w:tc>
        <w:tc>
          <w:tcPr>
            <w:tcW w:w="1809" w:type="dxa"/>
          </w:tcPr>
          <w:p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z w:val="28"/>
              </w:rPr>
              <w:t>30.000</w:t>
            </w:r>
          </w:p>
        </w:tc>
      </w:tr>
    </w:tbl>
    <w:p>
      <w:pPr>
        <w:pStyle w:val="BodyText"/>
        <w:spacing w:line="254" w:lineRule="auto" w:before="88"/>
        <w:ind w:left="401" w:right="111" w:firstLine="720"/>
        <w:jc w:val="both"/>
      </w:pPr>
      <w:r>
        <w:rPr/>
        <w:t>* Mức phí bảo vệ môi trường đối với hoạt động khai thác tận thu khoáng sản theo quy định của pháp luật khoáng sản bằng 60% mức thu phí của loại khoáng sản tương ứng nêu trên./.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spacing w:before="90"/>
        <w:ind w:left="0" w:right="113" w:firstLine="0"/>
        <w:jc w:val="right"/>
        <w:rPr>
          <w:sz w:val="24"/>
        </w:rPr>
      </w:pPr>
      <w:r>
        <w:rPr>
          <w:sz w:val="24"/>
        </w:rPr>
        <w:t>2</w:t>
      </w:r>
    </w:p>
    <w:sectPr>
      <w:pgSz w:w="11910" w:h="16840"/>
      <w:pgMar w:top="1420" w:bottom="0" w:left="130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71" w:hanging="164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746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78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44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610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76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542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008" w:hanging="164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421" w:right="19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302" w:lineRule="exact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DDB673-FF31-4B5B-8AF3-A26CF30410A4}"/>
</file>

<file path=customXml/itemProps2.xml><?xml version="1.0" encoding="utf-8"?>
<ds:datastoreItem xmlns:ds="http://schemas.openxmlformats.org/officeDocument/2006/customXml" ds:itemID="{DBAB475A-42D2-4392-A3A0-4B0C3DAFEE6F}"/>
</file>

<file path=customXml/itemProps3.xml><?xml version="1.0" encoding="utf-8"?>
<ds:datastoreItem xmlns:ds="http://schemas.openxmlformats.org/officeDocument/2006/customXml" ds:itemID="{86822778-9CE1-4821-ABC5-0CD703F1D6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                  céng hoµ x· héi chñ nghÜa viÖt nam</dc:title>
  <dc:creator>Xuyen</dc:creator>
  <dcterms:created xsi:type="dcterms:W3CDTF">2023-12-14T09:39:57Z</dcterms:created>
  <dcterms:modified xsi:type="dcterms:W3CDTF">2023-12-14T09:39:57Z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2023-12-14T00:00:00Z</vt:filetime>
  </property>
</Properties>
</file>