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94"/>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28"/>
        <w:gridCol w:w="5757"/>
      </w:tblGrid>
      <w:tr>
        <w:trPr/>
        <w:tc>
          <w:tcPr>
            <w:tcBorders/>
            <w:tcW w:w="3528" w:type="dxa"/>
            <w:textDirection w:val="lrTb"/>
            <w:noWrap w:val="false"/>
          </w:tcPr>
          <w:p>
            <w:pPr>
              <w:pBdr/>
              <w:spacing/>
              <w:ind/>
              <w:jc w:val="center"/>
              <w:rPr>
                <w:rFonts w:ascii="Times New Roman" w:hAnsi="Times New Roman" w:eastAsia="Times New Roman" w:cs="Times New Roman"/>
                <w:b/>
                <w:sz w:val="26"/>
                <w:szCs w:val="26"/>
              </w:rPr>
            </w:pPr>
            <w:r/>
            <w:bookmarkStart w:id="0" w:name="loai_1"/>
            <w:r/>
            <w:bookmarkEnd w:id="0"/>
            <w:r>
              <w:rPr>
                <w:rFonts w:ascii="Times New Roman" w:hAnsi="Times New Roman" w:eastAsia="Times New Roman" w:cs="Times New Roman"/>
                <w:b/>
                <w:sz w:val="26"/>
                <w:szCs w:val="26"/>
              </w:rPr>
              <w:t xml:space="preserve">ỦY BAN NHÂN DÂN</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TỈNH TÂY NINH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5168" behindDoc="0" locked="0" layoutInCell="1" allowOverlap="1">
                      <wp:simplePos x="0" y="0"/>
                      <wp:positionH relativeFrom="column">
                        <wp:posOffset>721360</wp:posOffset>
                      </wp:positionH>
                      <wp:positionV relativeFrom="paragraph">
                        <wp:posOffset>53340</wp:posOffset>
                      </wp:positionV>
                      <wp:extent cx="609600" cy="0"/>
                      <wp:effectExtent l="0" t="0" r="19050" b="19050"/>
                      <wp:wrapNone/>
                      <wp:docPr id="1" name="Straight Connector 8"/>
                      <wp:cNvGraphicFramePr/>
                      <a:graphic xmlns:a="http://schemas.openxmlformats.org/drawingml/2006/main">
                        <a:graphicData uri="http://schemas.microsoft.com/office/word/2010/wordprocessingShape">
                          <wps:wsp>
                            <wps:cNvPr id="0" name=""/>
                            <wps:cNvSpPr/>
                            <wps:spPr bwMode="auto">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55168;mso-wrap-distance-left:9.00pt;mso-wrap-distance-top:0.00pt;mso-wrap-distance-right:9.00pt;mso-wrap-distance-bottom:0.00pt;visibility:visible;" from="56.8pt,4.2pt" to="104.8pt,4.2pt" filled="f" strokecolor="#000000" strokeweight="0.75pt">
                      <v:stroke dashstyle="solid"/>
                    </v:line>
                  </w:pict>
                </mc:Fallback>
              </mc:AlternateConten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5757" w:type="dxa"/>
            <w:textDirection w:val="lrTb"/>
            <w:noWrap w:val="false"/>
          </w:tcPr>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CỘNG HÒA XÃ HỘI CHỦ NGHĨA VIỆT NAM</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0" locked="0" layoutInCell="1" allowOverlap="1">
                      <wp:simplePos x="0" y="0"/>
                      <wp:positionH relativeFrom="column">
                        <wp:posOffset>652779</wp:posOffset>
                      </wp:positionH>
                      <wp:positionV relativeFrom="paragraph">
                        <wp:posOffset>252730</wp:posOffset>
                      </wp:positionV>
                      <wp:extent cx="2200275" cy="0"/>
                      <wp:effectExtent l="0" t="0" r="28575" b="19050"/>
                      <wp:wrapNone/>
                      <wp:docPr id="2" name="Straight Connector 9"/>
                      <wp:cNvGraphicFramePr/>
                      <a:graphic xmlns:a="http://schemas.openxmlformats.org/drawingml/2006/main">
                        <a:graphicData uri="http://schemas.microsoft.com/office/word/2010/wordprocessingShape">
                          <wps:wsp>
                            <wps:cNvPr id="0" name=""/>
                            <wps:cNvSpPr/>
                            <wps:spPr bwMode="auto">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6192;mso-wrap-distance-left:9.00pt;mso-wrap-distance-top:0.00pt;mso-wrap-distance-right:9.00pt;mso-wrap-distance-bottom:0.00pt;visibility:visible;" from="51.4pt,19.9pt" to="224.6pt,19.9pt" filled="f" strokecolor="#000000" strokeweight="0.75pt">
                      <v:stroke dashstyle="solid"/>
                    </v:line>
                  </w:pict>
                </mc:Fallback>
              </mc:AlternateContent>
            </w:r>
            <w:r>
              <w:rPr>
                <w:rFonts w:ascii="Times New Roman" w:hAnsi="Times New Roman" w:eastAsia="Times New Roman" w:cs="Times New Roman"/>
                <w:b/>
                <w:sz w:val="28"/>
                <w:szCs w:val="26"/>
              </w:rPr>
              <w:t xml:space="preserve">Độc lập – Tự do – Hạnh phúc</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W w:w="3528" w:type="dxa"/>
            <w:textDirection w:val="lrTb"/>
            <w:noWrap w:val="false"/>
          </w:tcPr>
          <w:p>
            <w:pPr>
              <w:pBdr/>
              <w:spacing/>
              <w:ind/>
              <w:jc w:val="center"/>
              <w:rPr>
                <w:rFonts w:ascii="Times New Roman" w:hAnsi="Times New Roman" w:eastAsia="Times New Roman" w:cs="Times New Roman"/>
                <w:sz w:val="28"/>
                <w:szCs w:val="24"/>
              </w:rPr>
            </w:pPr>
            <w:r>
              <w:rPr>
                <w:rFonts w:ascii="Times New Roman" w:hAnsi="Times New Roman" w:eastAsia="Times New Roman" w:cs="Times New Roman"/>
                <w:sz w:val="28"/>
                <w:szCs w:val="24"/>
              </w:rPr>
              <w:t xml:space="preserve">Số:  06   /2025/QĐ-UBND</w:t>
            </w:r>
            <w:r>
              <w:rPr>
                <w:rFonts w:ascii="Times New Roman" w:hAnsi="Times New Roman" w:eastAsia="Times New Roman" w:cs="Times New Roman"/>
                <w:sz w:val="28"/>
                <w:szCs w:val="24"/>
              </w:rPr>
            </w:r>
            <w:r>
              <w:rPr>
                <w:rFonts w:ascii="Times New Roman" w:hAnsi="Times New Roman" w:eastAsia="Times New Roman" w:cs="Times New Roman"/>
                <w:sz w:val="28"/>
                <w:szCs w:val="24"/>
              </w:rPr>
            </w:r>
          </w:p>
        </w:tc>
        <w:tc>
          <w:tcPr>
            <w:tcBorders/>
            <w:tcW w:w="5757" w:type="dxa"/>
            <w:textDirection w:val="lrTb"/>
            <w:noWrap w:val="false"/>
          </w:tcPr>
          <w:p>
            <w:pPr>
              <w:pBdr/>
              <w:spacing/>
              <w:ind/>
              <w:jc w:val="center"/>
              <w:rPr>
                <w:rFonts w:ascii="Times New Roman" w:hAnsi="Times New Roman" w:eastAsia="Times New Roman" w:cs="Times New Roman"/>
                <w:i/>
                <w:sz w:val="28"/>
                <w:szCs w:val="24"/>
              </w:rPr>
            </w:pPr>
            <w:r>
              <w:rPr>
                <w:rFonts w:ascii="Times New Roman" w:hAnsi="Times New Roman" w:eastAsia="Times New Roman" w:cs="Times New Roman"/>
                <w:i/>
                <w:sz w:val="28"/>
                <w:szCs w:val="24"/>
              </w:rPr>
              <w:t xml:space="preserve">Tây Ninh, ngày   03  tháng  7  năm 2025</w:t>
            </w:r>
            <w:r>
              <w:rPr>
                <w:rFonts w:ascii="Times New Roman" w:hAnsi="Times New Roman" w:eastAsia="Times New Roman" w:cs="Times New Roman"/>
                <w:i/>
                <w:sz w:val="28"/>
                <w:szCs w:val="24"/>
              </w:rPr>
            </w:r>
            <w:r>
              <w:rPr>
                <w:rFonts w:ascii="Times New Roman" w:hAnsi="Times New Roman" w:eastAsia="Times New Roman" w:cs="Times New Roman"/>
                <w:i/>
                <w:sz w:val="28"/>
                <w:szCs w:val="24"/>
              </w:rPr>
            </w:r>
          </w:p>
        </w:tc>
      </w:tr>
    </w:tbl>
    <w:p>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QUYẾT ĐỊNH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0" w:line="240" w:lineRule="auto"/>
        <w:ind/>
        <w:jc w:val="center"/>
        <w:rPr>
          <w:rFonts w:ascii="Times New Roman" w:hAnsi="Times New Roman" w:eastAsia="Times New Roman" w:cs="Times New Roman"/>
          <w:b/>
          <w:bCs/>
          <w:sz w:val="28"/>
          <w:szCs w:val="28"/>
        </w:rPr>
      </w:pPr>
      <w:r/>
      <w:bookmarkStart w:id="1" w:name="loai_1_name"/>
      <w:r>
        <w:rPr>
          <w:rFonts w:ascii="Times New Roman" w:hAnsi="Times New Roman" w:eastAsia="Times New Roman" w:cs="Times New Roman"/>
          <w:b/>
          <w:bCs/>
          <w:sz w:val="28"/>
          <w:szCs w:val="28"/>
        </w:rPr>
        <w:t xml:space="preserve">Ban hành Quy định chức năng, nhiệm vụ, quyền hạn </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spacing w:after="0" w:line="24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và cơ cấu tổ chức của Sở Xây dựng tỉnh </w:t>
      </w:r>
      <w:bookmarkEnd w:id="1"/>
      <w:r>
        <w:rPr>
          <w:rFonts w:ascii="Times New Roman" w:hAnsi="Times New Roman" w:eastAsia="Times New Roman" w:cs="Times New Roman"/>
          <w:b/>
          <w:bCs/>
          <w:sz w:val="28"/>
          <w:szCs w:val="28"/>
        </w:rPr>
        <w:t xml:space="preserve">Tây Ninh</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spacing w:after="120" w:before="360" w:line="240" w:lineRule="auto"/>
        <w:ind/>
        <w:jc w:val="center"/>
        <w:rPr>
          <w:rFonts w:ascii="Times New Roman" w:hAnsi="Times New Roman" w:eastAsia="Times New Roman" w:cs="Times New Roman"/>
          <w:sz w:val="24"/>
          <w:szCs w:val="24"/>
        </w:rPr>
      </w:pPr>
      <w:r>
        <w:rPr>
          <w:rFonts w:ascii="Times New Roman" w:hAnsi="Times New Roman" w:cs="Times New Roman"/>
          <w:i/>
          <w:i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2243293</wp:posOffset>
                </wp:positionH>
                <wp:positionV relativeFrom="paragraph">
                  <wp:posOffset>65405</wp:posOffset>
                </wp:positionV>
                <wp:extent cx="1360968" cy="0"/>
                <wp:effectExtent l="0" t="0" r="10795" b="19050"/>
                <wp:wrapNone/>
                <wp:docPr id="3" name="Straight Connector 5"/>
                <wp:cNvGraphicFramePr/>
                <a:graphic xmlns:a="http://schemas.openxmlformats.org/drawingml/2006/main">
                  <a:graphicData uri="http://schemas.microsoft.com/office/word/2010/wordprocessingShape">
                    <wps:wsp>
                      <wps:cNvPr id="0" name=""/>
                      <wps:cNvSpPr/>
                      <wps:spPr bwMode="auto">
                        <a:xfrm>
                          <a:off x="0" y="0"/>
                          <a:ext cx="1360968"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2" o:spid="_x0000_s2" style="position:absolute;left:0;text-align:left;z-index:251658240;mso-wrap-distance-left:9.00pt;mso-wrap-distance-top:0.00pt;mso-wrap-distance-right:9.00pt;mso-wrap-distance-bottom:0.00pt;visibility:visible;" from="176.6pt,5.1pt" to="283.8pt,5.1pt" filled="f" strokecolor="#000000" strokeweight="0.75pt">
                <v:stroke dashstyle="solid"/>
              </v:lin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120" w:before="120" w:line="240" w:lineRule="auto"/>
        <w:ind w:firstLine="720"/>
        <w:jc w:val="both"/>
        <w:rPr>
          <w:rFonts w:ascii="Times New Roman" w:hAnsi="Times New Roman" w:eastAsia="Times New Roman" w:cs="Times New Roman"/>
          <w:i/>
          <w:iCs/>
          <w:sz w:val="28"/>
          <w:szCs w:val="28"/>
          <w:lang w:val="vi-VN"/>
        </w:rPr>
      </w:pPr>
      <w:r>
        <w:rPr>
          <w:rFonts w:ascii="Times New Roman" w:hAnsi="Times New Roman" w:eastAsia="Times New Roman" w:cs="Times New Roman"/>
          <w:i/>
          <w:iCs/>
          <w:sz w:val="28"/>
          <w:szCs w:val="28"/>
        </w:rPr>
        <w:t xml:space="preserve">Căn cứ Luật Tổ chức chính quyền địa phương ngày 16</w:t>
      </w:r>
      <w:r>
        <w:rPr>
          <w:rFonts w:ascii="Times New Roman" w:hAnsi="Times New Roman" w:eastAsia="Times New Roman" w:cs="Times New Roman"/>
          <w:i/>
          <w:iCs/>
          <w:sz w:val="28"/>
          <w:szCs w:val="28"/>
          <w:lang w:val="vi-VN"/>
        </w:rPr>
        <w:t xml:space="preserve"> tháng </w:t>
      </w:r>
      <w:r>
        <w:rPr>
          <w:rFonts w:ascii="Times New Roman" w:hAnsi="Times New Roman" w:eastAsia="Times New Roman" w:cs="Times New Roman"/>
          <w:i/>
          <w:iCs/>
          <w:sz w:val="28"/>
          <w:szCs w:val="28"/>
        </w:rPr>
        <w:t xml:space="preserve">6</w:t>
      </w:r>
      <w:r>
        <w:rPr>
          <w:rFonts w:ascii="Times New Roman" w:hAnsi="Times New Roman" w:eastAsia="Times New Roman" w:cs="Times New Roman"/>
          <w:i/>
          <w:iCs/>
          <w:sz w:val="28"/>
          <w:szCs w:val="28"/>
          <w:lang w:val="vi-VN"/>
        </w:rPr>
        <w:t xml:space="preserve"> năm </w:t>
      </w:r>
      <w:r>
        <w:rPr>
          <w:rFonts w:ascii="Times New Roman" w:hAnsi="Times New Roman" w:eastAsia="Times New Roman" w:cs="Times New Roman"/>
          <w:i/>
          <w:iCs/>
          <w:sz w:val="28"/>
          <w:szCs w:val="28"/>
        </w:rPr>
        <w:t xml:space="preserve">2025;</w:t>
      </w:r>
      <w:r>
        <w:rPr>
          <w:rFonts w:ascii="Times New Roman" w:hAnsi="Times New Roman" w:eastAsia="Times New Roman" w:cs="Times New Roman"/>
          <w:i/>
          <w:iCs/>
          <w:sz w:val="28"/>
          <w:szCs w:val="28"/>
          <w:lang w:val="vi-VN"/>
        </w:rPr>
      </w:r>
      <w:r>
        <w:rPr>
          <w:rFonts w:ascii="Times New Roman" w:hAnsi="Times New Roman" w:eastAsia="Times New Roman" w:cs="Times New Roman"/>
          <w:i/>
          <w:iCs/>
          <w:sz w:val="28"/>
          <w:szCs w:val="28"/>
          <w:lang w:val="vi-VN"/>
        </w:rPr>
      </w:r>
    </w:p>
    <w:p>
      <w:pPr>
        <w:pBdr/>
        <w:spacing w:after="120" w:before="120" w:line="240" w:lineRule="auto"/>
        <w:ind w:firstLine="720"/>
        <w:jc w:val="both"/>
        <w:rPr>
          <w:rFonts w:ascii="Times New Roman" w:hAnsi="Times New Roman" w:eastAsia="Times New Roman" w:cs="Times New Roman"/>
          <w:i/>
          <w:iCs/>
          <w:sz w:val="28"/>
          <w:szCs w:val="28"/>
          <w:lang w:val="vi-VN"/>
        </w:rPr>
      </w:pPr>
      <w:r>
        <w:rPr>
          <w:rFonts w:ascii="Times New Roman" w:hAnsi="Times New Roman" w:eastAsia="Times New Roman" w:cs="Times New Roman"/>
          <w:i/>
          <w:iCs/>
          <w:sz w:val="28"/>
          <w:szCs w:val="28"/>
          <w:lang w:val="vi-VN"/>
        </w:rPr>
        <w:t xml:space="preserve">Căn cứ Luật Ban hành văn bản quy phạm pháp luật ngày 19 tháng 02 năm 2025;</w:t>
      </w:r>
      <w:r>
        <w:rPr>
          <w:rFonts w:ascii="Times New Roman" w:hAnsi="Times New Roman" w:eastAsia="Times New Roman" w:cs="Times New Roman"/>
          <w:i/>
          <w:iCs/>
          <w:sz w:val="28"/>
          <w:szCs w:val="28"/>
          <w:lang w:val="vi-VN"/>
        </w:rPr>
      </w:r>
      <w:r>
        <w:rPr>
          <w:rFonts w:ascii="Times New Roman" w:hAnsi="Times New Roman" w:eastAsia="Times New Roman" w:cs="Times New Roman"/>
          <w:i/>
          <w:iCs/>
          <w:sz w:val="28"/>
          <w:szCs w:val="28"/>
          <w:lang w:val="vi-VN"/>
        </w:rPr>
      </w:r>
    </w:p>
    <w:p>
      <w:pPr>
        <w:pBdr/>
        <w:spacing w:after="120" w:before="12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i/>
          <w:iCs/>
          <w:sz w:val="28"/>
          <w:szCs w:val="28"/>
        </w:rPr>
        <w:t xml:space="preserve">Căn cứ Nghị quyết số 202/2025/QH15 ngày 12</w:t>
      </w:r>
      <w:r>
        <w:rPr>
          <w:rFonts w:ascii="Times New Roman" w:hAnsi="Times New Roman" w:eastAsia="Times New Roman" w:cs="Times New Roman"/>
          <w:i/>
          <w:iCs/>
          <w:sz w:val="28"/>
          <w:szCs w:val="28"/>
          <w:lang w:val="vi-VN"/>
        </w:rPr>
        <w:t xml:space="preserve"> tháng </w:t>
      </w:r>
      <w:r>
        <w:rPr>
          <w:rFonts w:ascii="Times New Roman" w:hAnsi="Times New Roman" w:eastAsia="Times New Roman" w:cs="Times New Roman"/>
          <w:i/>
          <w:iCs/>
          <w:sz w:val="28"/>
          <w:szCs w:val="28"/>
        </w:rPr>
        <w:t xml:space="preserve">6</w:t>
      </w:r>
      <w:r>
        <w:rPr>
          <w:rFonts w:ascii="Times New Roman" w:hAnsi="Times New Roman" w:eastAsia="Times New Roman" w:cs="Times New Roman"/>
          <w:i/>
          <w:iCs/>
          <w:sz w:val="28"/>
          <w:szCs w:val="28"/>
          <w:lang w:val="vi-VN"/>
        </w:rPr>
        <w:t xml:space="preserve"> năm </w:t>
      </w:r>
      <w:r>
        <w:rPr>
          <w:rFonts w:ascii="Times New Roman" w:hAnsi="Times New Roman" w:eastAsia="Times New Roman" w:cs="Times New Roman"/>
          <w:i/>
          <w:iCs/>
          <w:sz w:val="28"/>
          <w:szCs w:val="28"/>
        </w:rPr>
        <w:t xml:space="preserve">2025 của Quốc hội về việc sắp xếp các đơn vị hành chính năm 2025;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120" w:before="12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i/>
          <w:iCs/>
          <w:sz w:val="28"/>
          <w:szCs w:val="28"/>
        </w:rPr>
        <w:t xml:space="preserve">Căn cứ Nghị định số 150/2025/NĐ-CP ngày 12</w:t>
      </w:r>
      <w:r>
        <w:rPr>
          <w:rFonts w:ascii="Times New Roman" w:hAnsi="Times New Roman" w:eastAsia="Times New Roman" w:cs="Times New Roman"/>
          <w:i/>
          <w:iCs/>
          <w:sz w:val="28"/>
          <w:szCs w:val="28"/>
          <w:lang w:val="vi-VN"/>
        </w:rPr>
        <w:t xml:space="preserve"> tháng </w:t>
      </w:r>
      <w:r>
        <w:rPr>
          <w:rFonts w:ascii="Times New Roman" w:hAnsi="Times New Roman" w:eastAsia="Times New Roman" w:cs="Times New Roman"/>
          <w:i/>
          <w:iCs/>
          <w:sz w:val="28"/>
          <w:szCs w:val="28"/>
        </w:rPr>
        <w:t xml:space="preserve">6</w:t>
      </w:r>
      <w:r>
        <w:rPr>
          <w:rFonts w:ascii="Times New Roman" w:hAnsi="Times New Roman" w:eastAsia="Times New Roman" w:cs="Times New Roman"/>
          <w:i/>
          <w:iCs/>
          <w:sz w:val="28"/>
          <w:szCs w:val="28"/>
          <w:lang w:val="vi-VN"/>
        </w:rPr>
        <w:t xml:space="preserve"> năm </w:t>
      </w:r>
      <w:r>
        <w:rPr>
          <w:rFonts w:ascii="Times New Roman" w:hAnsi="Times New Roman" w:eastAsia="Times New Roman" w:cs="Times New Roman"/>
          <w:i/>
          <w:iCs/>
          <w:sz w:val="28"/>
          <w:szCs w:val="28"/>
        </w:rPr>
        <w:t xml:space="preserve">2025 của Chính phủ quy định tổ chức các cơ quan chuyên môn thuộc Ủy ban nhân dân tỉnh, thành phố và Ủy ban nhân dân xã, phường, đặc khu thuộc tỉnh, thành phố trực thuộc Trung ương;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120" w:before="120" w:line="240" w:lineRule="auto"/>
        <w:ind w:firstLine="720"/>
        <w:jc w:val="both"/>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 xml:space="preserve">Căn cứ Thông tư số 10/2025/TT-BXD ngày 14</w:t>
      </w:r>
      <w:r>
        <w:rPr>
          <w:rFonts w:ascii="Times New Roman" w:hAnsi="Times New Roman" w:eastAsia="Times New Roman" w:cs="Times New Roman"/>
          <w:i/>
          <w:iCs/>
          <w:sz w:val="28"/>
          <w:szCs w:val="28"/>
          <w:lang w:val="vi-VN"/>
        </w:rPr>
        <w:t xml:space="preserve"> tháng </w:t>
      </w:r>
      <w:r>
        <w:rPr>
          <w:rFonts w:ascii="Times New Roman" w:hAnsi="Times New Roman" w:eastAsia="Times New Roman" w:cs="Times New Roman"/>
          <w:i/>
          <w:iCs/>
          <w:sz w:val="28"/>
          <w:szCs w:val="28"/>
        </w:rPr>
        <w:t xml:space="preserve">6</w:t>
      </w:r>
      <w:r>
        <w:rPr>
          <w:rFonts w:ascii="Times New Roman" w:hAnsi="Times New Roman" w:eastAsia="Times New Roman" w:cs="Times New Roman"/>
          <w:i/>
          <w:iCs/>
          <w:sz w:val="28"/>
          <w:szCs w:val="28"/>
          <w:lang w:val="vi-VN"/>
        </w:rPr>
        <w:t xml:space="preserve"> năm </w:t>
      </w:r>
      <w:r>
        <w:rPr>
          <w:rFonts w:ascii="Times New Roman" w:hAnsi="Times New Roman" w:eastAsia="Times New Roman" w:cs="Times New Roman"/>
          <w:i/>
          <w:iCs/>
          <w:sz w:val="28"/>
          <w:szCs w:val="28"/>
        </w:rPr>
        <w:t xml:space="preserve">202</w:t>
      </w:r>
      <w:r>
        <w:rPr>
          <w:rFonts w:ascii="Times New Roman" w:hAnsi="Times New Roman" w:eastAsia="Times New Roman" w:cs="Times New Roman"/>
          <w:i/>
          <w:iCs/>
          <w:sz w:val="28"/>
          <w:szCs w:val="28"/>
        </w:rPr>
        <w:t xml:space="preserve">5 của Bộ trưởng Bộ Xây dựng hướng dẫn chức năng, nhiệm vụ, quyền hạn của cơ quan chuyên môn thuộc Ủy ban nhân dân tỉnh, thành phố trực thuộc Trung ương và Ủy ban nhân dân xã, phường, đặc khu thuộc tỉnh, thành phố trực thuộc Trung ương về lĩnh vực xây dựng;</w:t>
      </w:r>
      <w:r>
        <w:rPr>
          <w:rFonts w:ascii="Times New Roman" w:hAnsi="Times New Roman" w:eastAsia="Times New Roman" w:cs="Times New Roman"/>
          <w:i/>
          <w:iCs/>
          <w:sz w:val="28"/>
          <w:szCs w:val="28"/>
        </w:rPr>
      </w:r>
      <w:r>
        <w:rPr>
          <w:rFonts w:ascii="Times New Roman" w:hAnsi="Times New Roman" w:eastAsia="Times New Roman" w:cs="Times New Roman"/>
          <w:i/>
          <w:iCs/>
          <w:sz w:val="28"/>
          <w:szCs w:val="28"/>
        </w:rPr>
      </w:r>
    </w:p>
    <w:p>
      <w:pPr>
        <w:pBdr/>
        <w:spacing w:after="120" w:before="120" w:line="240" w:lineRule="auto"/>
        <w:ind w:firstLine="720"/>
        <w:jc w:val="both"/>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 xml:space="preserve">Căn cứ Nghị định số 140/2025/NĐ-CP ngày 12</w:t>
      </w:r>
      <w:r>
        <w:rPr>
          <w:rFonts w:ascii="Times New Roman" w:hAnsi="Times New Roman" w:eastAsia="Times New Roman" w:cs="Times New Roman"/>
          <w:i/>
          <w:iCs/>
          <w:sz w:val="28"/>
          <w:szCs w:val="28"/>
          <w:lang w:val="vi-VN"/>
        </w:rPr>
        <w:t xml:space="preserve"> tháng </w:t>
      </w:r>
      <w:r>
        <w:rPr>
          <w:rFonts w:ascii="Times New Roman" w:hAnsi="Times New Roman" w:eastAsia="Times New Roman" w:cs="Times New Roman"/>
          <w:i/>
          <w:iCs/>
          <w:sz w:val="28"/>
          <w:szCs w:val="28"/>
        </w:rPr>
        <w:t xml:space="preserve">6</w:t>
      </w:r>
      <w:r>
        <w:rPr>
          <w:rFonts w:ascii="Times New Roman" w:hAnsi="Times New Roman" w:eastAsia="Times New Roman" w:cs="Times New Roman"/>
          <w:i/>
          <w:iCs/>
          <w:sz w:val="28"/>
          <w:szCs w:val="28"/>
          <w:lang w:val="vi-VN"/>
        </w:rPr>
        <w:t xml:space="preserve"> năm </w:t>
      </w:r>
      <w:r>
        <w:rPr>
          <w:rFonts w:ascii="Times New Roman" w:hAnsi="Times New Roman" w:eastAsia="Times New Roman" w:cs="Times New Roman"/>
          <w:i/>
          <w:iCs/>
          <w:sz w:val="28"/>
          <w:szCs w:val="28"/>
        </w:rPr>
        <w:t xml:space="preserve">2025 của Chính phủ quy định về phân định thẩm quyền của chính quyền địa phương 02 cấp trong lĩnh vực quản lý nhà nước của Bộ Xây dựng;</w:t>
      </w:r>
      <w:r>
        <w:rPr>
          <w:rFonts w:ascii="Times New Roman" w:hAnsi="Times New Roman" w:eastAsia="Times New Roman" w:cs="Times New Roman"/>
          <w:i/>
          <w:iCs/>
          <w:sz w:val="28"/>
          <w:szCs w:val="28"/>
        </w:rPr>
      </w:r>
      <w:r>
        <w:rPr>
          <w:rFonts w:ascii="Times New Roman" w:hAnsi="Times New Roman" w:eastAsia="Times New Roman" w:cs="Times New Roman"/>
          <w:i/>
          <w:iCs/>
          <w:sz w:val="28"/>
          <w:szCs w:val="28"/>
        </w:rPr>
      </w:r>
    </w:p>
    <w:p>
      <w:pPr>
        <w:pBdr/>
        <w:spacing w:after="120" w:before="120" w:line="240" w:lineRule="auto"/>
        <w:ind w:firstLine="720"/>
        <w:jc w:val="both"/>
        <w:rPr>
          <w:rFonts w:ascii="Times New Roman" w:hAnsi="Times New Roman" w:eastAsia="Times New Roman" w:cs="Times New Roman"/>
          <w:i/>
          <w:iCs/>
          <w:sz w:val="28"/>
          <w:szCs w:val="28"/>
          <w:lang w:val="vi-VN"/>
        </w:rPr>
      </w:pPr>
      <w:r>
        <w:rPr>
          <w:rFonts w:ascii="Times New Roman" w:hAnsi="Times New Roman" w:eastAsia="Times New Roman" w:cs="Times New Roman"/>
          <w:i/>
          <w:iCs/>
          <w:sz w:val="28"/>
          <w:szCs w:val="28"/>
        </w:rPr>
        <w:t xml:space="preserve">Căn cứ Nghị định số 144/2025/NĐ-CP ngày 12</w:t>
      </w:r>
      <w:r>
        <w:rPr>
          <w:rFonts w:ascii="Times New Roman" w:hAnsi="Times New Roman" w:eastAsia="Times New Roman" w:cs="Times New Roman"/>
          <w:i/>
          <w:iCs/>
          <w:sz w:val="28"/>
          <w:szCs w:val="28"/>
          <w:lang w:val="vi-VN"/>
        </w:rPr>
        <w:t xml:space="preserve"> tháng </w:t>
      </w:r>
      <w:r>
        <w:rPr>
          <w:rFonts w:ascii="Times New Roman" w:hAnsi="Times New Roman" w:eastAsia="Times New Roman" w:cs="Times New Roman"/>
          <w:i/>
          <w:iCs/>
          <w:sz w:val="28"/>
          <w:szCs w:val="28"/>
        </w:rPr>
        <w:t xml:space="preserve">6</w:t>
      </w:r>
      <w:r>
        <w:rPr>
          <w:rFonts w:ascii="Times New Roman" w:hAnsi="Times New Roman" w:eastAsia="Times New Roman" w:cs="Times New Roman"/>
          <w:i/>
          <w:iCs/>
          <w:sz w:val="28"/>
          <w:szCs w:val="28"/>
          <w:lang w:val="vi-VN"/>
        </w:rPr>
        <w:t xml:space="preserve"> năm </w:t>
      </w:r>
      <w:r>
        <w:rPr>
          <w:rFonts w:ascii="Times New Roman" w:hAnsi="Times New Roman" w:eastAsia="Times New Roman" w:cs="Times New Roman"/>
          <w:i/>
          <w:iCs/>
          <w:sz w:val="28"/>
          <w:szCs w:val="28"/>
        </w:rPr>
        <w:t xml:space="preserve">2025 của Chính phủ quy định phân quyền, phân cấp trong lĩnh vực quản lý nhà nước của Bộ Xây dựng</w:t>
      </w:r>
      <w:r>
        <w:rPr>
          <w:rFonts w:ascii="Times New Roman" w:hAnsi="Times New Roman" w:eastAsia="Times New Roman" w:cs="Times New Roman"/>
          <w:i/>
          <w:iCs/>
          <w:sz w:val="28"/>
          <w:szCs w:val="28"/>
          <w:lang w:val="vi-VN"/>
        </w:rPr>
        <w:t xml:space="preserve">;</w:t>
      </w:r>
      <w:r>
        <w:rPr>
          <w:rFonts w:ascii="Times New Roman" w:hAnsi="Times New Roman" w:eastAsia="Times New Roman" w:cs="Times New Roman"/>
          <w:i/>
          <w:iCs/>
          <w:sz w:val="28"/>
          <w:szCs w:val="28"/>
          <w:lang w:val="vi-VN"/>
        </w:rPr>
      </w:r>
      <w:r>
        <w:rPr>
          <w:rFonts w:ascii="Times New Roman" w:hAnsi="Times New Roman" w:eastAsia="Times New Roman" w:cs="Times New Roman"/>
          <w:i/>
          <w:iCs/>
          <w:sz w:val="28"/>
          <w:szCs w:val="28"/>
          <w:lang w:val="vi-VN"/>
        </w:rPr>
      </w:r>
    </w:p>
    <w:p>
      <w:pPr>
        <w:pBdr/>
        <w:spacing w:after="120" w:before="120" w:line="240" w:lineRule="auto"/>
        <w:ind w:firstLine="720"/>
        <w:jc w:val="both"/>
        <w:rPr>
          <w:rFonts w:ascii="Times New Roman" w:hAnsi="Times New Roman" w:eastAsia="Times New Roman" w:cs="Times New Roman"/>
          <w:sz w:val="28"/>
          <w:szCs w:val="28"/>
          <w:highlight w:val="none"/>
        </w:rPr>
      </w:pPr>
      <w:r>
        <w:rPr>
          <w:rFonts w:ascii="Times New Roman" w:hAnsi="Times New Roman" w:eastAsia="Times New Roman" w:cs="Times New Roman"/>
          <w:i/>
          <w:iCs/>
          <w:sz w:val="28"/>
          <w:szCs w:val="28"/>
        </w:rPr>
        <w:t xml:space="preserve">Theo đề nghị của Giám đốc Sở</w:t>
      </w:r>
      <w:r>
        <w:rPr>
          <w:rFonts w:ascii="Times New Roman" w:hAnsi="Times New Roman" w:eastAsia="Times New Roman" w:cs="Times New Roman"/>
          <w:i/>
          <w:iCs/>
          <w:sz w:val="28"/>
          <w:szCs w:val="28"/>
        </w:rPr>
        <w:t xml:space="preserve"> Xây dựng tại Tờ trình số 4001/TTr-SXD ngày 30 tháng 6 năm </w:t>
      </w:r>
      <w:r>
        <w:rPr>
          <w:rFonts w:ascii="Times New Roman" w:hAnsi="Times New Roman" w:eastAsia="Times New Roman" w:cs="Times New Roman"/>
          <w:i/>
          <w:iCs/>
          <w:sz w:val="28"/>
          <w:szCs w:val="28"/>
        </w:rPr>
        <w:t xml:space="preserve">2025</w:t>
      </w:r>
      <w:r>
        <w:rPr>
          <w:rFonts w:ascii="Times New Roman" w:hAnsi="Times New Roman" w:eastAsia="Times New Roman" w:cs="Times New Roman"/>
          <w:sz w:val="28"/>
          <w:szCs w:val="28"/>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8"/>
          <w:szCs w:val="28"/>
          <w:highlight w:val="none"/>
        </w:rPr>
      </w:r>
    </w:p>
    <w:p>
      <w:pPr>
        <w:pBdr/>
        <w:spacing w:after="120" w:before="120" w:line="240" w:lineRule="auto"/>
        <w:ind w:firstLine="720"/>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i/>
          <w:color w:val="000000"/>
          <w:sz w:val="28"/>
        </w:rPr>
        <w:t xml:space="preserve">Ủy ban nhân dân tỉnh ban hành Quyết định Quy định chức năng, nhiệm vụ, quyền hạn và cơ cấu tổ chức của Sở Xây dựng tỉnh Tây Ninh</w:t>
      </w:r>
      <w:r>
        <w:rPr>
          <w:rFonts w:ascii="Times New Roman" w:hAnsi="Times New Roman" w:eastAsia="Times New Roman" w:cs="Times New Roman"/>
          <w:sz w:val="28"/>
          <w:szCs w:val="28"/>
          <w:highlight w:val="none"/>
        </w:rPr>
        <w:t xml:space="preserve">.</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pPr>
        <w:pBdr/>
        <w:spacing w:after="120" w:before="12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4"/>
          <w:szCs w:val="24"/>
        </w:rPr>
      </w:r>
    </w:p>
    <w:p>
      <w:pPr>
        <w:pBdr/>
        <w:tabs>
          <w:tab w:val="left" w:leader="none" w:pos="567"/>
        </w:tabs>
        <w:spacing w:after="120" w:before="12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Điều 1. </w:t>
      </w:r>
      <w:r>
        <w:rPr>
          <w:rFonts w:ascii="Times New Roman" w:hAnsi="Times New Roman" w:eastAsia="Times New Roman" w:cs="Times New Roman"/>
          <w:sz w:val="28"/>
          <w:szCs w:val="28"/>
        </w:rPr>
        <w:t xml:space="preserve">Ban hành kèm theo Quyết định này Quy định chức năng, nhiệm vụ, quyền hạn và cơ cấu tổ chức của Sở Xây dựng tỉnh Tây Ninh.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after="120" w:before="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Điều 2.</w:t>
      </w:r>
      <w:r>
        <w:rPr>
          <w:rFonts w:ascii="Times New Roman" w:hAnsi="Times New Roman" w:eastAsia="Times New Roman" w:cs="Times New Roman"/>
          <w:sz w:val="28"/>
          <w:szCs w:val="28"/>
        </w:rPr>
        <w:t xml:space="preserve"> Quyết định này có hiệu lực thi hành kể từ ngày </w:t>
      </w:r>
      <w:r>
        <w:rPr>
          <w:rFonts w:ascii="Times New Roman" w:hAnsi="Times New Roman" w:eastAsia="Times New Roman" w:cs="Times New Roman"/>
          <w:sz w:val="28"/>
          <w:szCs w:val="28"/>
        </w:rPr>
        <w:t xml:space="preserve">ký</w:t>
      </w:r>
      <w:r>
        <w:rPr>
          <w:rFonts w:ascii="Times New Roman" w:hAnsi="Times New Roman" w:eastAsia="Times New Roman" w:cs="Times New Roman"/>
          <w:sz w:val="28"/>
          <w:szCs w:val="28"/>
        </w:rPr>
        <w:t xml:space="preserve"> và thay thế </w:t>
      </w:r>
      <w:bookmarkStart w:id="3" w:name="dieu_4"/>
      <w:r>
        <w:rPr>
          <w:rFonts w:ascii="Times New Roman" w:hAnsi="Times New Roman" w:eastAsia="Times New Roman" w:cs="Times New Roman"/>
          <w:sz w:val="28"/>
          <w:szCs w:val="28"/>
        </w:rPr>
        <w:t xml:space="preserve">Quyết định số 25/2025/QĐ-UBND ngày </w:t>
      </w:r>
      <w:r>
        <w:rPr>
          <w:rFonts w:ascii="Times New Roman" w:hAnsi="Times New Roman" w:eastAsia="Times New Roman" w:cs="Times New Roman"/>
          <w:sz w:val="28"/>
          <w:szCs w:val="28"/>
        </w:rPr>
        <w:t xml:space="preserve">17 tháng 3 năm 2025 của Ủy ban nhân dân tỉnh Long An về việc ban hành quy định chức năng, nhiệm vụ, quyền hạn và cơ cấu tổ chức của Sở Xây dựng tỉnh Long An; Quyết định số 18/2025/QĐ-UBND ngày 28 tháng 02 năm 2025 của Ủy ban nhân dân tỉnh Tây Ninh về việc </w:t>
      </w:r>
      <w:r>
        <w:rPr>
          <w:rFonts w:ascii="Times New Roman" w:hAnsi="Times New Roman" w:eastAsia="Times New Roman" w:cs="Times New Roman"/>
          <w:sz w:val="28"/>
          <w:szCs w:val="28"/>
        </w:rPr>
        <w:t xml:space="preserve">ban hành quy định chức năng, nhiệm vụ, quyền hạn và cơ cấu tổ chức của Sở Xây dựng tỉnh Tây Ninh.</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tabs>
          <w:tab w:val="left" w:leader="none" w:pos="567"/>
        </w:tabs>
        <w:spacing w:after="120" w:before="12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Điều 3. </w:t>
      </w:r>
      <w:bookmarkEnd w:id="3"/>
      <w:r>
        <w:rPr>
          <w:rFonts w:ascii="Times New Roman" w:hAnsi="Times New Roman" w:eastAsia="Times New Roman" w:cs="Times New Roman"/>
          <w:sz w:val="28"/>
          <w:szCs w:val="28"/>
        </w:rPr>
        <w:t xml:space="preserve">Giám đốc Sở Xây dựng có trách nhiệm chỉ đạo, triển khai, </w:t>
      </w:r>
      <w:r>
        <w:rPr>
          <w:rFonts w:ascii="Times New Roman" w:hAnsi="Times New Roman" w:eastAsia="Times New Roman" w:cs="Times New Roman"/>
          <w:sz w:val="28"/>
          <w:szCs w:val="28"/>
        </w:rPr>
        <w:t xml:space="preserve">quán triệt và kiểm tra việc tổ chức thực hiện Quyết định này; ban hành quy chế làm việc, chế độ thông tin, báo cáo của Sở Xây dựng và chỉ đạo, kiểm tra việc thực hiện theo quy định của pháp luật, hướng dẫn của Bộ, ngành liên quan và phân cấp của UBND tỉnh.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after="240" w:before="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Điều 4. </w:t>
      </w:r>
      <w:r>
        <w:rPr>
          <w:rFonts w:ascii="Times New Roman" w:hAnsi="Times New Roman" w:eastAsia="Times New Roman" w:cs="Times New Roman"/>
          <w:sz w:val="28"/>
          <w:szCs w:val="28"/>
        </w:rPr>
        <w:t xml:space="preserve">Chánh Văn phòng Ủy ban nhân dân tỉnh, Giám đốc Sở Nội vụ, Giám đốc Sở Xây dựng, Thủ trưởng các Sở ngành tỉnh, Chủ tịch Ủy ban nhân dân các xã, phường thuộc tỉnh thi hành quyết định này./.</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tbl>
      <w:tblPr>
        <w:tblStyle w:val="994"/>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66"/>
        <w:gridCol w:w="4619"/>
      </w:tblGrid>
      <w:tr>
        <w:trPr/>
        <w:tc>
          <w:tcPr>
            <w:tcBorders/>
            <w:tcW w:w="4788" w:type="dxa"/>
            <w:textDirection w:val="lrTb"/>
            <w:noWrap w:val="false"/>
          </w:tcPr>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Pr>
              <w:t xml:space="preserve">Nơi nhận: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rPr>
              <w:t xml:space="preserve">- Như Điều 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rPr>
              <w:t xml:space="preserve">- Bộ Xây dựng;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rPr>
            </w:pPr>
            <w:r>
              <w:rPr>
                <w:rFonts w:ascii="Times New Roman" w:hAnsi="Times New Roman" w:eastAsia="Times New Roman" w:cs="Times New Roman"/>
              </w:rPr>
              <w:t xml:space="preserve">- Vụ Pháp chế, Bộ Nội vụ;</w:t>
            </w:r>
            <w:r>
              <w:rPr>
                <w:rFonts w:ascii="Times New Roman" w:hAnsi="Times New Roman" w:eastAsia="Times New Roman" w:cs="Times New Roman"/>
              </w:rPr>
            </w:r>
            <w:r>
              <w:rPr>
                <w:rFonts w:ascii="Times New Roman" w:hAnsi="Times New Roman" w:eastAsia="Times New Roman" w:cs="Times New Roman"/>
              </w:rPr>
            </w:r>
          </w:p>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rPr>
              <w:t xml:space="preserve">- Vụ Pháp chế, Bộ Xây dựng;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rPr>
              <w:t xml:space="preserve">- Cục KTVB&amp;QLXLVPHC - Bộ Tư pháp;</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rPr>
              <w:t xml:space="preserve">- Thường trực Tỉnh ủy;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rPr>
              <w:t xml:space="preserve">- Thường trực HĐND tỉnh;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rPr>
              <w:t xml:space="preserve">- CT, các PCT. UBND tỉnh;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rPr>
              <w:t xml:space="preserve">- Ủy ban MTTQ Việt Nam tỉnh;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rPr>
              <w:t xml:space="preserve">- Các tổ chức CT-XH cấp tỉnh;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rPr>
              <w:t xml:space="preserve">- CVP, các PCVP UBND tỉnh;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rPr>
              <w:t xml:space="preserve">- Cổng Thông tin điện tử tỉnh;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sz w:val="24"/>
                <w:szCs w:val="24"/>
              </w:rPr>
            </w:pPr>
            <w:r>
              <w:rPr>
                <w:rFonts w:ascii="Times New Roman" w:hAnsi="Times New Roman" w:eastAsia="Times New Roman" w:cs="Times New Roman"/>
              </w:rPr>
              <w:t xml:space="preserve">- Công báo tỉnh;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both"/>
              <w:rPr>
                <w:rFonts w:ascii="Times New Roman" w:hAnsi="Times New Roman" w:eastAsia="Times New Roman" w:cs="Times New Roman"/>
              </w:rPr>
            </w:pPr>
            <w:r>
              <w:rPr>
                <w:rFonts w:ascii="Times New Roman" w:hAnsi="Times New Roman" w:eastAsia="Times New Roman" w:cs="Times New Roman"/>
              </w:rPr>
              <w:t xml:space="preserve">- Phòng </w:t>
            </w:r>
            <w:r>
              <w:rPr>
                <w:rFonts w:ascii="Times New Roman" w:hAnsi="Times New Roman" w:eastAsia="Times New Roman" w:cs="Times New Roman"/>
              </w:rPr>
              <w:t xml:space="preserve">Tổng hợp</w:t>
            </w:r>
            <w:r>
              <w:rPr>
                <w:rFonts w:ascii="Times New Roman" w:hAnsi="Times New Roman" w:eastAsia="Times New Roman" w:cs="Times New Roman"/>
              </w:rPr>
              <w:t xml:space="preserve">;</w:t>
            </w:r>
            <w:r>
              <w:rPr>
                <w:rFonts w:ascii="Times New Roman" w:hAnsi="Times New Roman" w:eastAsia="Times New Roman" w:cs="Times New Roman"/>
              </w:rPr>
            </w:r>
            <w:r>
              <w:rPr>
                <w:rFonts w:ascii="Times New Roman" w:hAnsi="Times New Roman" w:eastAsia="Times New Roman" w:cs="Times New Roman"/>
              </w:rPr>
            </w:r>
          </w:p>
          <w:p>
            <w:pPr>
              <w:pBdr/>
              <w:tabs>
                <w:tab w:val="left" w:leader="none" w:pos="567"/>
              </w:tabs>
              <w:spacing w:after="120"/>
              <w:ind/>
              <w:jc w:val="both"/>
              <w:rPr>
                <w:rFonts w:ascii="Times New Roman" w:hAnsi="Times New Roman" w:eastAsia="Times New Roman" w:cs="Times New Roman"/>
              </w:rPr>
            </w:pPr>
            <w:r>
              <w:rPr>
                <w:rFonts w:ascii="Times New Roman" w:hAnsi="Times New Roman" w:eastAsia="Times New Roman" w:cs="Times New Roman"/>
              </w:rPr>
              <w:t xml:space="preserve">- Lưu: VT,</w:t>
            </w:r>
            <w:r>
              <w:rPr>
                <w:rFonts w:ascii="Times New Roman" w:hAnsi="Times New Roman" w:eastAsia="Times New Roman" w:cs="Times New Roman"/>
              </w:rPr>
              <w:t xml:space="preserve"> DK.</w:t>
            </w:r>
            <w:r>
              <w:rPr>
                <w:rFonts w:ascii="Times New Roman" w:hAnsi="Times New Roman" w:eastAsia="Times New Roman" w:cs="Times New Roman"/>
              </w:rPr>
            </w:r>
            <w:r>
              <w:rPr>
                <w:rFonts w:ascii="Times New Roman" w:hAnsi="Times New Roman" w:eastAsia="Times New Roman" w:cs="Times New Roman"/>
              </w:rPr>
            </w:r>
          </w:p>
        </w:tc>
        <w:tc>
          <w:tcPr>
            <w:tcBorders/>
            <w:tcW w:w="4788" w:type="dxa"/>
            <w:textDirection w:val="lrTb"/>
            <w:noWrap w:val="false"/>
          </w:tcPr>
          <w:p>
            <w:pPr>
              <w:pBdr/>
              <w:tabs>
                <w:tab w:val="left" w:leader="none" w:pos="567"/>
              </w:tabs>
              <w:spacing/>
              <w:ind/>
              <w:jc w:val="center"/>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TM. ỦY BAN NHÂN DÂN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CHỦ TỊCH</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tabs>
                <w:tab w:val="left" w:leader="none" w:pos="567"/>
              </w:tabs>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tabs>
                <w:tab w:val="left" w:leader="none" w:pos="567"/>
              </w:tabs>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tabs>
                <w:tab w:val="left" w:leader="none" w:pos="567"/>
              </w:tabs>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tabs>
                <w:tab w:val="left" w:leader="none" w:pos="567"/>
              </w:tabs>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tabs>
                <w:tab w:val="left" w:leader="none" w:pos="567"/>
              </w:tabs>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tabs>
                <w:tab w:val="left" w:leader="none" w:pos="567"/>
              </w:tabs>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tabs>
                <w:tab w:val="left" w:leader="none" w:pos="567"/>
              </w:tabs>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tabs>
                <w:tab w:val="left" w:leader="none" w:pos="567"/>
              </w:tabs>
              <w:spacing/>
              <w:ind/>
              <w:jc w:val="center"/>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Nguyễn Văn Út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after="240" w:before="12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pPr>
        <w:pBdr/>
        <w:spacing w:after="120" w:line="240" w:lineRule="auto"/>
        <w:ind w:firstLine="567"/>
        <w:jc w:val="both"/>
        <w:rPr>
          <w:rStyle w:val="991"/>
          <w:color w:val="auto"/>
        </w:rPr>
      </w:pPr>
      <w:r>
        <w:rPr>
          <w:color w:val="auto"/>
        </w:rPr>
      </w:r>
      <w:r>
        <w:rPr>
          <w:rStyle w:val="991"/>
          <w:color w:val="auto"/>
        </w:rPr>
      </w:r>
      <w:r>
        <w:rPr>
          <w:rStyle w:val="991"/>
          <w:color w:val="auto"/>
        </w:rPr>
      </w:r>
    </w:p>
    <w:p>
      <w:pPr>
        <w:pBdr/>
        <w:spacing w:after="120" w:line="240" w:lineRule="auto"/>
        <w:ind w:firstLine="567"/>
        <w:jc w:val="both"/>
        <w:rPr>
          <w:rStyle w:val="991"/>
          <w:color w:val="auto"/>
        </w:rPr>
      </w:pPr>
      <w:r>
        <w:rPr>
          <w:color w:val="auto"/>
        </w:rPr>
      </w:r>
      <w:r>
        <w:rPr>
          <w:rStyle w:val="991"/>
          <w:color w:val="auto"/>
        </w:rPr>
      </w:r>
      <w:r>
        <w:rPr>
          <w:rStyle w:val="991"/>
          <w:color w:val="auto"/>
        </w:rPr>
      </w:r>
    </w:p>
    <w:p>
      <w:pPr>
        <w:pBdr/>
        <w:spacing w:after="120" w:line="240" w:lineRule="auto"/>
        <w:ind w:firstLine="567"/>
        <w:jc w:val="both"/>
        <w:rPr>
          <w:rStyle w:val="991"/>
          <w:color w:val="auto"/>
        </w:rPr>
      </w:pPr>
      <w:r>
        <w:rPr>
          <w:color w:val="auto"/>
        </w:rPr>
      </w:r>
      <w:r>
        <w:rPr>
          <w:rStyle w:val="991"/>
          <w:color w:val="auto"/>
        </w:rPr>
      </w:r>
      <w:r>
        <w:rPr>
          <w:rStyle w:val="991"/>
          <w:color w:val="auto"/>
        </w:rPr>
      </w:r>
    </w:p>
    <w:p>
      <w:pPr>
        <w:pBdr/>
        <w:spacing w:after="120" w:line="240" w:lineRule="auto"/>
        <w:ind w:firstLine="567"/>
        <w:jc w:val="both"/>
        <w:rPr>
          <w:rStyle w:val="991"/>
          <w:color w:val="auto"/>
        </w:rPr>
      </w:pPr>
      <w:r>
        <w:rPr>
          <w:color w:val="auto"/>
        </w:rPr>
      </w:r>
      <w:r>
        <w:rPr>
          <w:rStyle w:val="991"/>
          <w:color w:val="auto"/>
        </w:rPr>
      </w:r>
      <w:r>
        <w:rPr>
          <w:rStyle w:val="991"/>
          <w:color w:val="auto"/>
        </w:rPr>
      </w:r>
    </w:p>
    <w:p>
      <w:pPr>
        <w:pBdr/>
        <w:spacing w:after="120" w:line="240" w:lineRule="auto"/>
        <w:ind w:firstLine="567"/>
        <w:jc w:val="both"/>
        <w:rPr>
          <w:rStyle w:val="991"/>
          <w:color w:val="auto"/>
        </w:rPr>
      </w:pPr>
      <w:r>
        <w:rPr>
          <w:color w:val="auto"/>
        </w:rPr>
      </w:r>
      <w:r>
        <w:rPr>
          <w:rStyle w:val="991"/>
          <w:color w:val="auto"/>
        </w:rPr>
      </w:r>
      <w:r>
        <w:rPr>
          <w:rStyle w:val="991"/>
          <w:color w:val="auto"/>
        </w:rPr>
      </w:r>
    </w:p>
    <w:p>
      <w:pPr>
        <w:pBdr/>
        <w:spacing w:after="120" w:line="240" w:lineRule="auto"/>
        <w:ind w:firstLine="567"/>
        <w:jc w:val="both"/>
        <w:rPr>
          <w:rStyle w:val="991"/>
          <w:color w:val="auto"/>
        </w:rPr>
      </w:pPr>
      <w:r>
        <w:rPr>
          <w:color w:val="auto"/>
        </w:rPr>
      </w:r>
      <w:r>
        <w:rPr>
          <w:rStyle w:val="991"/>
          <w:color w:val="auto"/>
        </w:rPr>
      </w:r>
      <w:r>
        <w:rPr>
          <w:rStyle w:val="991"/>
          <w:color w:val="auto"/>
        </w:rPr>
      </w:r>
    </w:p>
    <w:p>
      <w:pPr>
        <w:pBdr/>
        <w:spacing w:after="120" w:line="240" w:lineRule="auto"/>
        <w:ind w:firstLine="567"/>
        <w:jc w:val="both"/>
        <w:rPr>
          <w:rStyle w:val="991"/>
          <w:color w:val="auto"/>
        </w:rPr>
      </w:pPr>
      <w:r>
        <w:rPr>
          <w:color w:val="auto"/>
        </w:rPr>
      </w:r>
      <w:r>
        <w:rPr>
          <w:rStyle w:val="991"/>
          <w:color w:val="auto"/>
        </w:rPr>
      </w:r>
      <w:r>
        <w:rPr>
          <w:rStyle w:val="991"/>
          <w:color w:val="auto"/>
        </w:rPr>
      </w:r>
    </w:p>
    <w:p>
      <w:pPr>
        <w:pBdr/>
        <w:spacing w:after="120" w:line="240" w:lineRule="auto"/>
        <w:ind/>
        <w:jc w:val="both"/>
        <w:rPr>
          <w:rStyle w:val="991"/>
          <w:color w:val="auto"/>
        </w:rPr>
      </w:pPr>
      <w:r>
        <w:rPr>
          <w:color w:val="auto"/>
        </w:rPr>
      </w:r>
      <w:r>
        <w:rPr>
          <w:rStyle w:val="991"/>
          <w:color w:val="auto"/>
        </w:rPr>
      </w:r>
      <w:r>
        <w:rPr>
          <w:rStyle w:val="991"/>
          <w:color w:val="auto"/>
        </w:rPr>
      </w:r>
    </w:p>
    <w:p>
      <w:pPr>
        <w:pBdr/>
        <w:spacing w:after="120" w:line="240" w:lineRule="auto"/>
        <w:ind/>
        <w:jc w:val="both"/>
        <w:rPr>
          <w:rStyle w:val="991"/>
          <w:color w:val="auto"/>
        </w:rPr>
      </w:pPr>
      <w:r>
        <w:rPr>
          <w:color w:val="auto"/>
        </w:rPr>
      </w:r>
      <w:r>
        <w:rPr>
          <w:rStyle w:val="991"/>
          <w:color w:val="auto"/>
        </w:rPr>
      </w:r>
      <w:r>
        <w:rPr>
          <w:rStyle w:val="991"/>
          <w:color w:val="auto"/>
        </w:rPr>
      </w:r>
    </w:p>
    <w:p>
      <w:pPr>
        <w:pBdr/>
        <w:spacing w:after="120" w:line="240" w:lineRule="auto"/>
        <w:ind/>
        <w:jc w:val="both"/>
        <w:rPr>
          <w:rStyle w:val="991"/>
          <w:color w:val="auto"/>
        </w:rPr>
      </w:pPr>
      <w:r>
        <w:rPr>
          <w:color w:val="auto"/>
        </w:rPr>
      </w:r>
      <w:r>
        <w:rPr>
          <w:rStyle w:val="991"/>
          <w:color w:val="auto"/>
        </w:rPr>
      </w:r>
      <w:r>
        <w:rPr>
          <w:rStyle w:val="991"/>
          <w:color w:val="auto"/>
        </w:rPr>
      </w:r>
    </w:p>
    <w:p>
      <w:pPr>
        <w:pBdr/>
        <w:spacing w:after="120" w:line="240" w:lineRule="auto"/>
        <w:ind/>
        <w:jc w:val="both"/>
        <w:rPr>
          <w:rStyle w:val="991"/>
          <w:color w:val="auto"/>
        </w:rPr>
      </w:pPr>
      <w:r>
        <w:rPr>
          <w:color w:val="auto"/>
        </w:rPr>
      </w:r>
      <w:r>
        <w:rPr>
          <w:rStyle w:val="991"/>
          <w:color w:val="auto"/>
        </w:rPr>
      </w:r>
      <w:r>
        <w:rPr>
          <w:rStyle w:val="991"/>
          <w:color w:val="auto"/>
        </w:rPr>
      </w:r>
    </w:p>
    <w:p>
      <w:pPr>
        <w:pBdr/>
        <w:spacing w:after="120" w:line="240" w:lineRule="auto"/>
        <w:ind/>
        <w:jc w:val="both"/>
        <w:rPr>
          <w:rStyle w:val="991"/>
          <w:color w:val="auto"/>
        </w:rPr>
      </w:pPr>
      <w:r>
        <w:rPr>
          <w:color w:val="auto"/>
        </w:rPr>
      </w:r>
      <w:r>
        <w:rPr>
          <w:rStyle w:val="991"/>
          <w:color w:val="auto"/>
        </w:rPr>
      </w:r>
      <w:r>
        <w:rPr>
          <w:rStyle w:val="991"/>
          <w:color w:val="auto"/>
        </w:rPr>
      </w:r>
    </w:p>
    <w:p>
      <w:pPr>
        <w:pBdr/>
        <w:spacing w:after="120" w:line="240" w:lineRule="auto"/>
        <w:ind/>
        <w:jc w:val="both"/>
        <w:rPr>
          <w:rStyle w:val="991"/>
          <w:color w:val="auto"/>
        </w:rPr>
      </w:pPr>
      <w:r>
        <w:rPr>
          <w:color w:val="auto"/>
        </w:rPr>
      </w:r>
      <w:r>
        <w:rPr>
          <w:rStyle w:val="991"/>
          <w:color w:val="auto"/>
        </w:rPr>
      </w:r>
      <w:r>
        <w:rPr>
          <w:rStyle w:val="991"/>
          <w:color w:val="auto"/>
        </w:rPr>
      </w:r>
    </w:p>
    <w:p>
      <w:pPr>
        <w:pBdr/>
        <w:spacing w:after="120" w:line="240" w:lineRule="auto"/>
        <w:ind/>
        <w:jc w:val="both"/>
        <w:rPr>
          <w:rStyle w:val="991"/>
          <w:color w:val="auto"/>
        </w:rPr>
      </w:pPr>
      <w:r>
        <w:rPr>
          <w:color w:val="auto"/>
        </w:rPr>
      </w:r>
      <w:r>
        <w:rPr>
          <w:rStyle w:val="991"/>
          <w:color w:val="auto"/>
        </w:rPr>
      </w:r>
      <w:r>
        <w:rPr>
          <w:rStyle w:val="991"/>
          <w:color w:val="auto"/>
        </w:rPr>
      </w:r>
    </w:p>
    <w:p>
      <w:pPr>
        <w:pBdr/>
        <w:spacing w:after="120" w:line="240" w:lineRule="auto"/>
        <w:ind/>
        <w:jc w:val="both"/>
        <w:rPr>
          <w:rStyle w:val="991"/>
          <w:color w:val="auto"/>
        </w:rPr>
      </w:pPr>
      <w:r>
        <w:rPr>
          <w:color w:val="auto"/>
        </w:rPr>
      </w:r>
      <w:r>
        <w:rPr>
          <w:rStyle w:val="991"/>
          <w:color w:val="auto"/>
        </w:rPr>
      </w:r>
      <w:r>
        <w:rPr>
          <w:rStyle w:val="991"/>
          <w:color w:val="auto"/>
        </w:rPr>
      </w:r>
    </w:p>
    <w:tbl>
      <w:tblPr>
        <w:tblStyle w:val="994"/>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28"/>
        <w:gridCol w:w="5757"/>
      </w:tblGrid>
      <w:tr>
        <w:trPr/>
        <w:tc>
          <w:tcPr>
            <w:tcBorders/>
            <w:tcW w:w="3528" w:type="dxa"/>
            <w:textDirection w:val="lrTb"/>
            <w:noWrap w:val="false"/>
          </w:tcPr>
          <w:p>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ỦY BAN NHÂN DÂN</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TỈNH TÂY NINH</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0" locked="0" layoutInCell="1" allowOverlap="1">
                      <wp:simplePos x="0" y="0"/>
                      <wp:positionH relativeFrom="column">
                        <wp:posOffset>692785</wp:posOffset>
                      </wp:positionH>
                      <wp:positionV relativeFrom="paragraph">
                        <wp:posOffset>34290</wp:posOffset>
                      </wp:positionV>
                      <wp:extent cx="647700" cy="0"/>
                      <wp:effectExtent l="0" t="0" r="19050" b="19050"/>
                      <wp:wrapNone/>
                      <wp:docPr id="4" name="Straight Connector 10"/>
                      <wp:cNvGraphicFramePr/>
                      <a:graphic xmlns:a="http://schemas.openxmlformats.org/drawingml/2006/main">
                        <a:graphicData uri="http://schemas.microsoft.com/office/word/2010/wordprocessingShape">
                          <wps:wsp>
                            <wps:cNvPr id="0" name=""/>
                            <wps:cNvSpPr/>
                            <wps:spPr bwMode="auto">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56192;mso-wrap-distance-left:9.00pt;mso-wrap-distance-top:0.00pt;mso-wrap-distance-right:9.00pt;mso-wrap-distance-bottom:0.00pt;visibility:visible;" from="54.5pt,2.7pt" to="105.5pt,2.7pt" filled="f" strokecolor="#000000" strokeweight="0.75pt">
                      <v:stroke dashstyle="solid"/>
                    </v:line>
                  </w:pict>
                </mc:Fallback>
              </mc:AlternateConten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5757" w:type="dxa"/>
            <w:textDirection w:val="lrTb"/>
            <w:noWrap w:val="false"/>
          </w:tcPr>
          <w:p>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CỘNG HÒA XÃ HỘI CHỦ NGHĨA VIỆT NAM</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643255</wp:posOffset>
                      </wp:positionH>
                      <wp:positionV relativeFrom="paragraph">
                        <wp:posOffset>243205</wp:posOffset>
                      </wp:positionV>
                      <wp:extent cx="2228850" cy="0"/>
                      <wp:effectExtent l="0" t="0" r="19050" b="19050"/>
                      <wp:wrapNone/>
                      <wp:docPr id="5" name="Straight Connector 11"/>
                      <wp:cNvGraphicFramePr/>
                      <a:graphic xmlns:a="http://schemas.openxmlformats.org/drawingml/2006/main">
                        <a:graphicData uri="http://schemas.microsoft.com/office/word/2010/wordprocessingShape">
                          <wps:wsp>
                            <wps:cNvPr id="0" name=""/>
                            <wps:cNvSpPr/>
                            <wps:spPr bwMode="auto">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4" o:spid="_x0000_s4" style="position:absolute;left:0;text-align:left;z-index:251660288;mso-wrap-distance-left:9.00pt;mso-wrap-distance-top:0.00pt;mso-wrap-distance-right:9.00pt;mso-wrap-distance-bottom:0.00pt;visibility:visible;" from="50.6pt,19.1pt" to="226.2pt,19.1pt" filled="f" strokecolor="#000000" strokeweight="0.75pt">
                      <v:stroke dashstyle="solid"/>
                    </v:line>
                  </w:pict>
                </mc:Fallback>
              </mc:AlternateContent>
            </w:r>
            <w:r>
              <w:rPr>
                <w:rFonts w:ascii="Times New Roman" w:hAnsi="Times New Roman" w:eastAsia="Times New Roman" w:cs="Times New Roman"/>
                <w:b/>
                <w:bCs/>
                <w:sz w:val="28"/>
                <w:szCs w:val="26"/>
              </w:rPr>
              <w:t xml:space="preserve">Độc lập – Tự do – Hạnh phúc</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bl>
    <w:p>
      <w:pPr>
        <w:pBdr/>
        <w:spacing w:after="0" w:before="12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QUY ĐỊNH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0" w:line="24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Ban hành quy định chức năng, nhiệm vụ, quyền hạn </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spacing w:after="0" w:line="24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và cơ cấu tổ chức của Sở Xây dựng tỉnh Tây Ninh</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i/>
          <w:iCs/>
          <w:sz w:val="28"/>
          <w:szCs w:val="28"/>
        </w:rPr>
        <w:t xml:space="preserve">(K</w:t>
      </w:r>
      <w:r>
        <w:rPr>
          <w:rFonts w:ascii="Times New Roman" w:hAnsi="Times New Roman" w:eastAsia="Times New Roman" w:cs="Times New Roman"/>
          <w:i/>
          <w:iCs/>
          <w:sz w:val="28"/>
          <w:szCs w:val="28"/>
        </w:rPr>
        <w:t xml:space="preserve">èm theo Quyết định số  06  /2025/QĐ-UBND ngày  03 /7</w:t>
      </w:r>
      <w:r>
        <w:rPr>
          <w:rFonts w:ascii="Times New Roman" w:hAnsi="Times New Roman" w:eastAsia="Times New Roman" w:cs="Times New Roman"/>
          <w:i/>
          <w:iCs/>
          <w:sz w:val="28"/>
          <w:szCs w:val="28"/>
        </w:rPr>
        <w:t xml:space="preserve">/2025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0" w:line="240" w:lineRule="auto"/>
        <w:ind/>
        <w:jc w:val="center"/>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 xml:space="preserve">của Ủy ban nhân dân tỉnh Tây Ninh)</w:t>
      </w:r>
      <w:r>
        <w:rPr>
          <w:rFonts w:ascii="Times New Roman" w:hAnsi="Times New Roman" w:eastAsia="Times New Roman" w:cs="Times New Roman"/>
          <w:i/>
          <w:iCs/>
          <w:sz w:val="28"/>
          <w:szCs w:val="28"/>
        </w:rPr>
      </w:r>
      <w:r>
        <w:rPr>
          <w:rFonts w:ascii="Times New Roman" w:hAnsi="Times New Roman" w:eastAsia="Times New Roman" w:cs="Times New Roman"/>
          <w:i/>
          <w:iCs/>
          <w:sz w:val="28"/>
          <w:szCs w:val="28"/>
        </w:rPr>
      </w:r>
    </w:p>
    <w:p>
      <w:pPr>
        <w:pBdr/>
        <w:spacing w:after="0" w:line="240" w:lineRule="auto"/>
        <w:ind/>
        <w:jc w:val="center"/>
        <w:rPr>
          <w:rFonts w:ascii="Times New Roman" w:hAnsi="Times New Roman" w:eastAsia="Times New Roman" w:cs="Times New Roman"/>
          <w:sz w:val="24"/>
          <w:szCs w:val="24"/>
        </w:rPr>
      </w:pPr>
      <w:r>
        <w:rPr>
          <w:rFonts w:ascii="Times New Roman" w:hAnsi="Times New Roman" w:cs="Times New Roman"/>
          <w:i/>
          <w:i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2327748</wp:posOffset>
                </wp:positionH>
                <wp:positionV relativeFrom="paragraph">
                  <wp:posOffset>69850</wp:posOffset>
                </wp:positionV>
                <wp:extent cx="1371600" cy="0"/>
                <wp:effectExtent l="0" t="0" r="19050" b="19050"/>
                <wp:wrapNone/>
                <wp:docPr id="6" name="Straight Connector 5"/>
                <wp:cNvGraphicFramePr/>
                <a:graphic xmlns:a="http://schemas.openxmlformats.org/drawingml/2006/main">
                  <a:graphicData uri="http://schemas.microsoft.com/office/word/2010/wordprocessingShape">
                    <wps:wsp>
                      <wps:cNvPr id="0" name=""/>
                      <wps:cNvSpPr/>
                      <wps:spPr bwMode="auto">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5" o:spid="_x0000_s5" style="position:absolute;left:0;text-align:left;z-index:251660288;mso-wrap-distance-left:9.00pt;mso-wrap-distance-top:0.00pt;mso-wrap-distance-right:9.00pt;mso-wrap-distance-bottom:0.00pt;visibility:visible;" from="183.3pt,5.5pt" to="291.3pt,5.5pt" filled="f" strokecolor="#000000" strokeweight="0.75pt">
                <v:stroke dashstyle="solid"/>
              </v:lin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120" w:line="240" w:lineRule="auto"/>
        <w:ind w:firstLine="709"/>
        <w:jc w:val="both"/>
        <w:rPr>
          <w:rStyle w:val="991"/>
          <w:color w:val="auto"/>
          <w:lang w:val="vi-VN"/>
        </w:rPr>
      </w:pPr>
      <w:r>
        <w:rPr>
          <w:color w:val="auto"/>
          <w:lang w:val="vi-VN"/>
        </w:rPr>
      </w:r>
      <w:r>
        <w:rPr>
          <w:rStyle w:val="991"/>
          <w:color w:val="auto"/>
          <w:lang w:val="vi-VN"/>
        </w:rPr>
      </w:r>
      <w:r>
        <w:rPr>
          <w:rStyle w:val="991"/>
          <w:color w:val="auto"/>
          <w:lang w:val="vi-VN"/>
        </w:rPr>
      </w:r>
    </w:p>
    <w:p>
      <w:pPr>
        <w:pBdr/>
        <w:spacing w:after="120" w:line="240" w:lineRule="auto"/>
        <w:ind w:firstLine="709"/>
        <w:jc w:val="both"/>
        <w:rPr>
          <w:rFonts w:ascii="TimesNewRomanPS-BoldMT" w:hAnsi="TimesNewRomanPS-BoldMT"/>
          <w:b/>
          <w:bCs/>
          <w:sz w:val="28"/>
          <w:szCs w:val="28"/>
        </w:rPr>
      </w:pPr>
      <w:r>
        <w:rPr>
          <w:rStyle w:val="991"/>
          <w:color w:val="auto"/>
        </w:rPr>
        <w:t xml:space="preserve">Điều 1. Vị trí chức năng</w:t>
      </w:r>
      <w:r>
        <w:rPr>
          <w:rFonts w:ascii="TimesNewRomanPS-BoldMT" w:hAnsi="TimesNewRomanPS-BoldMT"/>
          <w:b/>
          <w:bCs/>
          <w:sz w:val="28"/>
          <w:szCs w:val="28"/>
        </w:rPr>
      </w:r>
      <w:r>
        <w:rPr>
          <w:rFonts w:ascii="TimesNewRomanPS-BoldMT" w:hAnsi="TimesNewRomanPS-BoldMT"/>
          <w:b/>
          <w:bCs/>
          <w:sz w:val="28"/>
          <w:szCs w:val="28"/>
        </w:rPr>
      </w:r>
    </w:p>
    <w:p>
      <w:pPr>
        <w:pBdr/>
        <w:spacing w:after="120" w:line="240" w:lineRule="auto"/>
        <w:ind w:firstLine="720"/>
        <w:jc w:val="both"/>
        <w:rPr>
          <w:rStyle w:val="992"/>
          <w:color w:val="auto"/>
          <w:lang w:val="vi-VN"/>
        </w:rPr>
      </w:pPr>
      <w:r>
        <w:rPr>
          <w:rStyle w:val="992"/>
          <w:color w:val="auto"/>
        </w:rPr>
        <w:t xml:space="preserve">1. Sở Xây dựng là cơ quan chuyên môn thuộc Ủy ban nhân dân cấp tỉnh; thực hiện chức năng tham mưu, giúp Ủy ban nhân dân cấp tỉnh quản lý nhà nước về: </w:t>
      </w:r>
      <w:r>
        <w:rPr>
          <w:rFonts w:ascii="TimesNewRomanPSMT" w:hAnsi="TimesNewRomanPSMT"/>
          <w:sz w:val="28"/>
          <w:szCs w:val="28"/>
        </w:rPr>
        <w:t xml:space="preserve">Quy hoạch xây dựng và kiến trúc; hoạt động đầu tư xây dựng; phát triển đô thị; hạ tầng kỹ thuật đô thị và nông thôn (bao gồm: cấp nước sạch (trừ nước sạch nông thôn); thoát nước và xử lý nước thải (trừ xử lý nước thải tại chỗ; thoát nước phục </w:t>
      </w:r>
      <w:r>
        <w:rPr>
          <w:rFonts w:ascii="TimesNewRomanPSMT" w:hAnsi="TimesNewRomanPSMT"/>
          <w:sz w:val="28"/>
          <w:szCs w:val="28"/>
        </w:rPr>
        <w:t xml:space="preserve">vụ sản xuất nông nghiệp, sản xuất muối); công viên, cây xanh đô thị; chiếu sáng đô thị; nghĩa trang (trừ nghĩa trang liệt sĩ) và cơ sở hỏa táng; kết cấu hạ tầng giao thông; quản lý không gian xây dựng ngầm; quản lý sử dụng chung công trình hạ tầng kỹ thuật</w:t>
      </w:r>
      <w:r>
        <w:rPr>
          <w:rFonts w:ascii="TimesNewRomanPSMT" w:hAnsi="TimesNewRomanPSMT"/>
          <w:sz w:val="28"/>
          <w:szCs w:val="28"/>
        </w:rPr>
        <w:t xml:space="preserve"> đô thị và khu dân cư nông thôn); nhà ở; công sở; thị trường bất động sản; vật liệu xây dựng; giao thông vận tải đường bộ, đường sắt, đường thủy nội địa, hàng hải; an toàn giao thông (không bao gồm nhiệm vụ sát hạch, cấp giấy phép lái xe cơ giới đường bộ).</w:t>
      </w:r>
      <w:r>
        <w:rPr>
          <w:rStyle w:val="992"/>
          <w:color w:val="auto"/>
          <w:lang w:val="vi-VN"/>
        </w:rPr>
      </w:r>
      <w:r>
        <w:rPr>
          <w:rStyle w:val="992"/>
          <w:color w:val="auto"/>
          <w:lang w:val="vi-VN"/>
        </w:rPr>
      </w:r>
    </w:p>
    <w:p>
      <w:pPr>
        <w:pBdr/>
        <w:spacing w:after="120" w:line="240" w:lineRule="auto"/>
        <w:ind w:firstLine="720"/>
        <w:jc w:val="both"/>
        <w:rPr>
          <w:rStyle w:val="992"/>
          <w:b/>
          <w:bCs/>
          <w:color w:val="auto"/>
        </w:rPr>
      </w:pPr>
      <w:r>
        <w:rPr>
          <w:rStyle w:val="992"/>
          <w:color w:val="auto"/>
        </w:rPr>
        <w:t xml:space="preserve">2. Sở Xây dựng có tư cách pháp nhân, có con dấu, tài khoản riêng, chịu sự chỉ đạo, quản lý của UBND tỉnh, đồng thời chịu sự chỉ đạo, hướng dẫn, kiểm tra về chuyên môn, nghiệp vụ của Bộ Xây dựng.</w:t>
      </w:r>
      <w:r>
        <w:rPr>
          <w:rStyle w:val="992"/>
          <w:b/>
          <w:bCs/>
          <w:color w:val="auto"/>
        </w:rPr>
      </w:r>
      <w:r>
        <w:rPr>
          <w:rStyle w:val="992"/>
          <w:b/>
          <w:bCs/>
          <w:color w:val="auto"/>
        </w:rPr>
      </w:r>
    </w:p>
    <w:p>
      <w:pPr>
        <w:pBdr/>
        <w:spacing w:after="120" w:line="240" w:lineRule="auto"/>
        <w:ind w:firstLine="720"/>
        <w:jc w:val="both"/>
        <w:rPr>
          <w:rStyle w:val="991"/>
          <w:color w:val="auto"/>
        </w:rPr>
      </w:pPr>
      <w:r>
        <w:rPr>
          <w:rStyle w:val="991"/>
          <w:color w:val="auto"/>
        </w:rPr>
        <w:t xml:space="preserve">Điều 2. Nhiệm vụ, quyền hạn</w:t>
      </w:r>
      <w:r>
        <w:rPr>
          <w:rStyle w:val="991"/>
          <w:color w:val="auto"/>
        </w:rPr>
      </w:r>
      <w:r>
        <w:rPr>
          <w:rStyle w:val="991"/>
          <w:color w:val="auto"/>
        </w:rPr>
      </w:r>
    </w:p>
    <w:p>
      <w:pPr>
        <w:pBdr/>
        <w:spacing w:after="120" w:line="240" w:lineRule="auto"/>
        <w:ind w:firstLine="720"/>
        <w:jc w:val="both"/>
        <w:rPr>
          <w:rStyle w:val="992"/>
          <w:color w:val="auto"/>
        </w:rPr>
      </w:pPr>
      <w:r>
        <w:rPr>
          <w:rStyle w:val="992"/>
          <w:color w:val="auto"/>
        </w:rPr>
        <w:t xml:space="preserve">1. Trình Ủy ban nhân dân cấp tỉnh:</w:t>
      </w:r>
      <w:r>
        <w:rPr>
          <w:rStyle w:val="992"/>
          <w:color w:val="auto"/>
        </w:rPr>
      </w:r>
      <w:r>
        <w:rPr>
          <w:rStyle w:val="992"/>
          <w:color w:val="auto"/>
        </w:rPr>
      </w:r>
    </w:p>
    <w:p>
      <w:pPr>
        <w:pBdr/>
        <w:spacing w:after="120" w:line="240" w:lineRule="auto"/>
        <w:ind w:firstLine="720"/>
        <w:jc w:val="both"/>
        <w:rPr>
          <w:rFonts w:ascii="TimesNewRomanPSMT" w:hAnsi="TimesNewRomanPSMT"/>
          <w:sz w:val="28"/>
          <w:szCs w:val="28"/>
          <w:lang w:val="vi-VN"/>
        </w:rPr>
      </w:pPr>
      <w:r>
        <w:rPr>
          <w:rStyle w:val="992"/>
          <w:color w:val="auto"/>
        </w:rPr>
        <w:t xml:space="preserve">a) </w:t>
      </w:r>
      <w:r>
        <w:rPr>
          <w:rFonts w:ascii="TimesNewRomanPSMT" w:hAnsi="TimesNewRomanPSMT"/>
          <w:sz w:val="28"/>
          <w:szCs w:val="28"/>
        </w:rPr>
        <w:t xml:space="preserve">Dự thảo nghị quyết của Hội đồng nhân dân cấp tỉnh, dự thảo quyết định của Ủy ban nhân dân cấp tỉnh liên quan đến lĩnh vực xây dựng thuộc phạm vi quản lý của Sở và các văn bản khác theo phân công của Ủy ban nhân dân cấp tỉnh;</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b) Dự thảo kế hoạch phát triển ngành, lĩnh vực xây dựng, chương trình, biện pháp tổ chức thực hiện các nhiệm vụ về ngành, lĩnh vực xây dựng trên địa bàn cấp tỉnh trong phạm vi quản lý của Sở;</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c) Dự thảo quyết định quy định cụ thể chức năng, nhiệm vụ, quyền hạn và cơ cấu tổ chức của Sở; dự thảo quyết định quy định chức năng, nhiệm vụ, quyền hạn và cơ cấu tổ chức của chi cục thuộc Sở (nếu có);</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d) Dự thảo quyết định thực hiện xã hội hóa các hoạt động cung ứng dịch vụ sự nghiệp công trong lĩnh vực xây dựng thuộc thẩm quyền của Ủy ban nhân dân cấp tỉnh;</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đ) Dự thảo quyết định, quy định, quy hoạch, kế hoạch, đề án, dự án của Ủy ban nhân dân cấp tỉnh về xây dựng và các văn bản khác theo phân công của Ủy ban nhân dân cấp tỉnh;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e) Dự thảo quyết định việc phân cấp, ủy quyền nhiệm vụ quản lý nhà nước về xây dựng theo quy định;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g) Quyết định các dự án đầu tư về xây dựng thuộc thẩm quyền quyết định của Ủy ban nhân dân cấp tỉnh khi được phân cấp hoặc uỷ quyền.</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2. Trình Chủ tịch Ủy ban nhân dân cấp tỉnh: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a) Dự thảo các văn bản thuộc thẩm quyền ban hành của Chủ tịch Ủy ban nhân dân cấp tỉnh theo phân công;</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b) Quyết định xếp hạng các đơn vị sự nghiệp, dịch vụ công lập do Sở Xây dựng quản lý theo quy định của pháp luật và hướng dẫn của cấp có thẩm quyền.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3. </w:t>
      </w:r>
      <w:r>
        <w:rPr>
          <w:rFonts w:ascii="TimesNewRomanPSMT" w:hAnsi="TimesNewRomanPSMT"/>
          <w:iCs/>
          <w:sz w:val="28"/>
          <w:szCs w:val="28"/>
        </w:rPr>
        <w:t xml:space="preserve">Tổ chức thực hiện c</w:t>
      </w:r>
      <w:r>
        <w:rPr>
          <w:rFonts w:ascii="TimesNewRomanPSMT" w:hAnsi="TimesNewRomanPSMT"/>
          <w:iCs/>
          <w:sz w:val="28"/>
          <w:szCs w:val="28"/>
        </w:rPr>
        <w:t xml:space="preserve">ác văn bản quy phạm pháp luật, quy hoạch, kế hoạch, chương trình, đề án và các văn bản khác sau khi được phê duyệt; thông tin, tuyên truyền, hướng dẫn, phổ biến, giáo dục, theo dõi thi hành pháp luật về các lĩnh vực thuộc phạm vi quản lý nhà nước được giao</w:t>
      </w:r>
      <w:r>
        <w:rPr>
          <w:rFonts w:ascii="TimesNewRomanPSMT" w:hAnsi="TimesNewRomanPSMT"/>
          <w:sz w:val="28"/>
          <w:szCs w:val="28"/>
        </w:rPr>
        <w:t xml:space="preserve">.</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4. Về quy hoạch đô thị và nông thôn: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pPr>
      <w:r>
        <w:rPr>
          <w:rFonts w:ascii="TimesNewRomanPSMT" w:hAnsi="TimesNewRomanPSMT"/>
          <w:sz w:val="28"/>
          <w:szCs w:val="28"/>
        </w:rPr>
        <w:t xml:space="preserve">a) H</w:t>
      </w:r>
      <w:r>
        <w:rPr>
          <w:rFonts w:ascii="TimesNewRomanPSMT" w:hAnsi="TimesNewRomanPSMT"/>
          <w:sz w:val="28"/>
          <w:szCs w:val="28"/>
        </w:rPr>
        <w:t xml:space="preserve">ướng dẫn, kiểm tra và tổ chức thực hiện các quy định về lập, thẩm định, phê duyệt quy hoạch đô thị và nông thôn, thiết kế đô thị theo quy định; hướng dẫn, kiểm tra việc thực hiện các tiêu chuẩn, quy chuẩn kỹ thuật quốc gia về quy hoạch đô thị và nông thôn;</w:t>
      </w: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b) Tổ chức lập, thẩm định, trình Ủy ban nhân dân cấp tỉnh phê duyệt hoặc tham mưu Ủy ban nhân dân cấp tỉnh trình cấp có thẩm quyền thẩm định, phê duyệt quy hoạch đô thị và nông thôn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c) Hướng dẫn việc tổ chức lập, thẩm định, phê duyệt quy hoạch đô thị và nông thôn trên địa bàn theo quy định;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d) Hướng dẫn, quản lý và tổ chức thực hiện các quy hoạch đô thị và nông thôn đã được phê duyệt trên địa </w:t>
      </w:r>
      <w:r>
        <w:rPr>
          <w:rFonts w:ascii="TimesNewRomanPSMT" w:hAnsi="TimesNewRomanPSMT"/>
          <w:sz w:val="28"/>
          <w:szCs w:val="28"/>
        </w:rPr>
        <w:t xml:space="preserve">bàn theo phân cấp, bao gồm: tổ chức công bố, công khai các quy hoạch đô thị và nông thôn; quản lý hồ sơ các mốc giới, chỉ giới xây dựng, cốt xây dựng; giới thiệu địa điểm xây dựng và hướng tuyến công trình hạ tầng kỹ thuật; cung cấp thông tin về quy hoạch;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đ) Xây dựng và quản lý cơ sở dữ liệu về quy hoạch đô thị và nông thôn.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5. Về kiến trúc:</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a) Thực hiện và phối hợp với các Bộ, cơ quan ngang Bộ tổ chức triển khai thực hiện, theo dõi, kiểm tra và giám sát chất lượng kiến trúc trong dự án đầu tư xây dựng;</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b) Tổ chức lập quy chế quản lý kiến trúc theo phân cấp, ủy quyền của Ủy ban nhân dân cấp tỉnh; hướng dẫn và kiểm tra với Ủy ban nhân dân cấp xã trong việc lập, thẩm định quy chế quản lý kiến trúc đô thị thuộc thẩm quyền phê duyệt và ban hành củ</w:t>
      </w:r>
      <w:r>
        <w:rPr>
          <w:rFonts w:ascii="Times New Roman" w:hAnsi="Times New Roman" w:cs="Times New Roman"/>
          <w:sz w:val="28"/>
          <w:szCs w:val="28"/>
        </w:rPr>
        <w:t xml:space="preserve">a Ủy ban nhân dân cấp xã; hướng dẫn, kiểm tra việc thực hiện quy chế quản lý kiến trúc sau khi được cấp có thẩm quyền phê duyệt, ban hành; tổ chức rà soát, đánh giá quá trình thực hiện quy chế quản lý kiến trúc định kỳ hoặc đột xuất để xem xét, điều chỉnh </w:t>
      </w:r>
      <w:r>
        <w:rPr>
          <w:rFonts w:ascii="Times New Roman" w:hAnsi="Times New Roman" w:cs="Times New Roman"/>
          <w:iCs/>
          <w:sz w:val="28"/>
          <w:szCs w:val="28"/>
        </w:rPr>
        <w:t xml:space="preserve">hoặc kiến nghị điều chỉnh </w:t>
      </w:r>
      <w:r>
        <w:rPr>
          <w:rFonts w:ascii="Times New Roman" w:hAnsi="Times New Roman" w:cs="Times New Roman"/>
          <w:sz w:val="28"/>
          <w:szCs w:val="28"/>
        </w:rPr>
        <w:t xml:space="preserve">quy chế quản lý kiến trúc;</w:t>
      </w:r>
      <w:r>
        <w:rPr>
          <w:rFonts w:ascii="Times New Roman" w:hAnsi="Times New Roman" w:cs="Times New Roman"/>
          <w:sz w:val="28"/>
          <w:szCs w:val="28"/>
        </w:rPr>
      </w:r>
      <w:r>
        <w:rPr>
          <w:rFonts w:ascii="Times New Roman" w:hAnsi="Times New Roman" w:cs="Times New Roman"/>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c) Lập, điều chỉnh danh mục công trình kiến trúc có giá trị theo phân cấp, ủy quyền của Ủy ban nhân dân cấp tỉnh;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d) Cấ</w:t>
      </w:r>
      <w:r>
        <w:rPr>
          <w:rFonts w:ascii="TimesNewRomanPSMT" w:hAnsi="TimesNewRomanPSMT"/>
          <w:sz w:val="28"/>
          <w:szCs w:val="28"/>
        </w:rPr>
        <w:t xml:space="preserve">p, điều chỉnh, gia hạn, cấp lại, thu hồi chứng chỉ hành nghề kiến trúc; công nhận, chuyển đổi chứng chỉ hành nghề kiến trúc đối với người nước ngoài đã có chứng chỉ hành nghề kiến trúc đang có hiệu lực do cơ quan, tổ chức có thẩm quyền của nước ngoài cấp;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đ) </w:t>
      </w:r>
      <w:r>
        <w:rPr>
          <w:rFonts w:ascii="TimesNewRomanPSMT" w:hAnsi="TimesNewRomanPSMT"/>
          <w:iCs/>
          <w:sz w:val="28"/>
          <w:szCs w:val="28"/>
        </w:rPr>
        <w:t xml:space="preserve">Xây dựng cơ sở dữ liệu, cập nhật, đăng tải và cung cấp thông tin về tổ chức, cá nhân hành nghề kiến trúc có đăng ký hoạt động trên địa bàn</w:t>
      </w:r>
      <w:r>
        <w:rPr>
          <w:rFonts w:ascii="TimesNewRomanPSMT" w:hAnsi="TimesNewRomanPSMT"/>
          <w:sz w:val="28"/>
          <w:szCs w:val="28"/>
        </w:rPr>
        <w:t xml:space="preserve">.</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6. Về hoạt động đầu tư xây dựng:</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a) Hướng </w:t>
      </w:r>
      <w:r>
        <w:rPr>
          <w:rFonts w:ascii="TimesNewRomanPSMT" w:hAnsi="TimesNewRomanPSMT"/>
          <w:sz w:val="28"/>
          <w:szCs w:val="28"/>
        </w:rPr>
        <w:t xml:space="preserve">dẫn, kiểm tra việc thực hiện các quy định của pháp luật trong quá trình thực hiện đối với hoạt động đầu tư xây dựng, gồm: Lập, thẩm định, phê duyệt dự án đầu tư xây dựng; khảo sát, thiết kế xây dựng; cấp giấy phép xây dựng; thi công, nghiệm thu, bảo hành v</w:t>
      </w:r>
      <w:r>
        <w:rPr>
          <w:rFonts w:ascii="TimesNewRomanPSMT" w:hAnsi="TimesNewRomanPSMT"/>
          <w:sz w:val="28"/>
          <w:szCs w:val="28"/>
        </w:rPr>
        <w:t xml:space="preserve">à bảo trì công trình xây dựng; thí nghiệm chuyên ngành xây dựng và kiểm định xây dựng; an toàn trong thi công xây dựng; hợp đồng xây dựng; quản lý điều kiện năng lực hoạt động xây dựng của tổ chức, cá nhân và cấp giấy phép hoạt động cho nhà thầu nước ngoài</w:t>
      </w:r>
      <w:r>
        <w:rPr>
          <w:rFonts w:ascii="TimesNewRomanPSMT" w:hAnsi="TimesNewRomanPSMT"/>
          <w:sz w:val="28"/>
          <w:szCs w:val="28"/>
          <w:lang w:val="vi-VN"/>
        </w:rPr>
        <w:t xml:space="preserve">;</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b) Thẩm định báo cáo nghiên cứu khả thi đầu tư xây dựng, thiết kế triển khai sau thiết kế cơ sở của dự án đầu tư xây dựng, kiểm tra công tác nghiệm thu công trình xây dựng trên địa bàn theo quy định;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c) Tham mưu, giúp Ủy ban nhân dân cấp tỉnh thực hiện công tác quản lý trật tự xây dựng trên địa bàn theo quy hoạch, thiết kế xây dựng, giấy phép xây dựng theo quy định;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d) Thực hiện quản lý công tác đấu thầu trong hoạt động xây dựng theo quy định của pháp luật về xây dựng và pháp luật về đấu thầu trên địa bàn;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đ) Tham mưu, giúp Ủy ban nhân dân cấp tỉnh quản lý nhà nước đối với hoạt động của các Ban quản lý dự án đầu tư xây dựng trên địa bàn do Ủy ban nhân dân cấp tỉnh thành lập;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e) Tham mưu, giúp Ủy ban</w:t>
      </w:r>
      <w:r>
        <w:rPr>
          <w:rFonts w:ascii="TimesNewRomanPSMT" w:hAnsi="TimesNewRomanPSMT"/>
          <w:sz w:val="28"/>
          <w:szCs w:val="28"/>
        </w:rPr>
        <w:t xml:space="preserve"> nhân dân cấp tỉnh tổ chức thực hiện các nhiệm vụ quản lý nhà nước về chất lượng công trình xây dựng, an toàn trong thi công xây dựng, bảo trì công trình xây dựng; thực hiện giám định tư pháp trong lĩnh vực xây dựng trên địa bàn theo quy định của pháp luật</w:t>
      </w:r>
      <w:r>
        <w:rPr>
          <w:rFonts w:ascii="TimesNewRomanPSMT" w:hAnsi="TimesNewRomanPSMT"/>
          <w:sz w:val="28"/>
          <w:szCs w:val="28"/>
          <w:lang w:val="vi-VN"/>
        </w:rPr>
        <w:t xml:space="preserve">;</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g) Hướng dẫn, kiểm tra việc thực hiện các quy định pháp luật về quản lý chi phí đầu tư xây dựng trên địa bàn; tổ chức xây dựng trình Ủy ban nhân dân cấp tỉnh công bố, ban hành hoặc công bố theo phân cấp hoặc ủy quyền</w:t>
      </w:r>
      <w:r>
        <w:rPr>
          <w:rFonts w:ascii="TimesNewRomanPSMT" w:hAnsi="TimesNewRomanPSMT"/>
          <w:sz w:val="28"/>
          <w:szCs w:val="28"/>
        </w:rPr>
        <w:t xml:space="preserve">: công bố giá vật liệu xây dựng, thiết bị công trình, đơn giá nhân công xây dựng, giá ca máy và thiết bị thi công, giá thuê máy và thiết bị thi công, chỉ số giá xây dựng, giá xây dựng tổng hợp, suất vốn đầu tư xây dựng trong phạm vi quản lý (nếu cần thiết)</w:t>
      </w:r>
      <w:r>
        <w:rPr>
          <w:rFonts w:ascii="TimesNewRomanPSMT" w:hAnsi="TimesNewRomanPSMT"/>
          <w:sz w:val="28"/>
          <w:szCs w:val="28"/>
          <w:lang w:val="vi-VN"/>
        </w:rPr>
        <w:t xml:space="preserve">;</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h) Tham mưu, giúp Ủy ban nhân dân cấp tỉnh ban hành định mức kinh tế - kỹ thuật cho công tác xây dựng đặc thù của địa phương theo quy định và hướng dẫn của Bộ Xây dựng;</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i) Tham mưu, giúp Ủy ban nhân dân cấp tỉnh xây dựng, ban hành các định mức bảo trì, bảo dưỡng chưa có trong danh mục định mức được Bộ Xây dựng, bộ quản lý công trình xây dựng chuyên ngành ban hành theo quy định;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pacing w:val="-4"/>
          <w:sz w:val="28"/>
          <w:szCs w:val="28"/>
        </w:rPr>
      </w:pPr>
      <w:r>
        <w:rPr>
          <w:rFonts w:ascii="TimesNewRomanPSMT" w:hAnsi="TimesNewRomanPSMT"/>
          <w:spacing w:val="-4"/>
          <w:sz w:val="28"/>
          <w:szCs w:val="28"/>
        </w:rPr>
        <w:t xml:space="preserve">k) Thực hiện việc thông báo các thông tin về định mức, giá xây dựng, chỉ số giá xây dựng theo tháng, quý hoặc năm, theo các quy định về quản lý chi phí đầu tư xây dựng bảo đảm kịp thời với những biến động giá trên thị trường xây dựng;</w:t>
      </w:r>
      <w:r>
        <w:rPr>
          <w:rFonts w:ascii="TimesNewRomanPSMT" w:hAnsi="TimesNewRomanPSMT"/>
          <w:spacing w:val="-4"/>
          <w:sz w:val="28"/>
          <w:szCs w:val="28"/>
        </w:rPr>
      </w:r>
      <w:r>
        <w:rPr>
          <w:rFonts w:ascii="TimesNewRomanPSMT" w:hAnsi="TimesNewRomanPSMT"/>
          <w:spacing w:val="-4"/>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l) Cấp, điều chỉnh, thu hồi giấy phép hoạt động xây dựng cho các nhà thầu nước ngoài hoạt động, xây dựng tại địa bàn theo quy định;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m) Tổ chức sát hạch, cấp, cấp lại, điều chỉnh, bổ sung, chuyển đổi, thu hồi chứng chỉ hành nghề xâ</w:t>
      </w:r>
      <w:r>
        <w:rPr>
          <w:rFonts w:ascii="TimesNewRomanPSMT" w:hAnsi="TimesNewRomanPSMT"/>
          <w:sz w:val="28"/>
          <w:szCs w:val="28"/>
        </w:rPr>
        <w:t xml:space="preserve">y dựng đối với cá nhân, chứng chỉ năng lực hoạt động đối với tổ chức theo quy định; hướng dẫn, kiểm tra việc cấp, cấp lại, điều chỉnh, bổ sung, chuyển đổi, thu hồi và quản lý các loại chứng chỉ hành nghề (chứng chỉ năng lực) hoạt động xây dựng trên địa bàn</w:t>
      </w:r>
      <w:r>
        <w:rPr>
          <w:rFonts w:ascii="TimesNewRomanPSMT" w:hAnsi="TimesNewRomanPSMT"/>
          <w:sz w:val="28"/>
          <w:szCs w:val="28"/>
          <w:lang w:val="vi-VN"/>
        </w:rPr>
        <w:t xml:space="preserve">;</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n) Đăng tải, cập nhật, cung cấp t</w:t>
      </w:r>
      <w:r>
        <w:rPr>
          <w:rFonts w:ascii="TimesNewRomanPSMT" w:hAnsi="TimesNewRomanPSMT"/>
          <w:sz w:val="28"/>
          <w:szCs w:val="28"/>
        </w:rPr>
        <w:t xml:space="preserve">hông tin về năng lực của các tổ chức, cá nhân tham gia các hoạt động xây dựng có trụ sở chính trên địa bàn (bao gồm cả các nhà thầu nước ngoài hoạt động xây dựng) theo quy định; tích hợp các thông tin này trên trang thông tin điện tử do Bộ Xây dựng quản lý</w:t>
      </w:r>
      <w:r>
        <w:rPr>
          <w:rFonts w:ascii="TimesNewRomanPSMT" w:hAnsi="TimesNewRomanPSMT"/>
          <w:sz w:val="28"/>
          <w:szCs w:val="28"/>
          <w:lang w:val="vi-VN"/>
        </w:rPr>
        <w:t xml:space="preserve">;</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o) Theo dõi, kiểm tra, giám sát, đánh giá tổng thể hoạt động đầu tư xây dựng thuộc thẩm quyền quản lý của Sở.</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7. Về phát triển đô thị: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a) Tham mưu, giúp Ủy ban nhân dân cấp tỉnh tổ chức lập các loại chương trình phát triển đô thị hoặc thẩm định các chương trình phát triển đô thị theo thẩm quyền; xác định các</w:t>
      </w:r>
      <w:r>
        <w:rPr>
          <w:rFonts w:ascii="TimesNewRomanPSMT" w:hAnsi="TimesNewRomanPSMT"/>
          <w:sz w:val="28"/>
          <w:szCs w:val="28"/>
        </w:rPr>
        <w:t xml:space="preserve"> khu vực phát triển đô thị và kế hoạch thực hiện; xác định các chỉ tiêu về lĩnh vực phát triển đô thị trong nhiệm vụ phát triển kinh tế - xã hội của tỉnh; tổ chức thực hiện các quy hoạch, kế hoạch, chương trình sau khi được cơ quan có thẩm quyền phê duyệt;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b) Xây dựng các cơ chế, chính sách, giải pháp nhằm t</w:t>
      </w:r>
      <w:r>
        <w:rPr>
          <w:rFonts w:ascii="TimesNewRomanPSMT" w:hAnsi="TimesNewRomanPSMT"/>
          <w:sz w:val="28"/>
          <w:szCs w:val="28"/>
        </w:rPr>
        <w:t xml:space="preserve">hu hút, huy động các nguồn lực để đầu tư xây dựng và phát triển các đô thị đồng bộ, các khu đô thị mới, các chính sách, giải pháp quản lý quá trình phát triển đô thị, các mô hình quản lý đô thị, khuyến khích phát triển các dịch vụ công trong lĩnh vực phát </w:t>
      </w:r>
      <w:r>
        <w:rPr>
          <w:rFonts w:ascii="TimesNewRomanPSMT" w:hAnsi="TimesNewRomanPSMT"/>
          <w:sz w:val="28"/>
          <w:szCs w:val="28"/>
        </w:rPr>
        <w:t xml:space="preserve">triển đô thị; tổ chức thực hiện sau khi được Ủy ban nhân dân cấp tỉnh phê duyệt, ban hành;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c) Tổ chức thực hiện các chương trì</w:t>
      </w:r>
      <w:r>
        <w:rPr>
          <w:rFonts w:ascii="TimesNewRomanPSMT" w:hAnsi="TimesNewRomanPSMT"/>
          <w:sz w:val="28"/>
          <w:szCs w:val="28"/>
        </w:rPr>
        <w:t xml:space="preserve">nh, dự án đầu tư phát triển đô thị đã được cấp có thẩm quyền phê duyệt theo sự phân công của Ủy ban nhân dân cấp tỉnh, bao gồm: chương trình nâng cấp đô thị, chương trình phát triển đô thị, đề án phát triển các đô thị Việt Nam ứng phó với biến đổi khí hậu,</w:t>
      </w:r>
      <w:r>
        <w:rPr>
          <w:rFonts w:ascii="TimesNewRomanPSMT" w:hAnsi="TimesNewRomanPSMT"/>
          <w:sz w:val="28"/>
          <w:szCs w:val="28"/>
        </w:rPr>
        <w:t xml:space="preserve"> kế hoạch hành động quốc gia về tăng trưởng xanh, xây dựng phát triển đô thị thông minh, dự án cải thiện môi trường đô thị, nâng cao năng lực quản lý đô thị, dự án đầu tư phát triển đô thị và các chương trình, dự án khác có liên quan đến phát triển đô thị;</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d) Tổ chức thực hiện việc đánh giá, phân loại đô thị hàng năm, đề xuất việc tổ chức hoàn thiện các tiêu chí phân loại đô thị đối với các đô thị đã được công nhận loại đô thị; hướng dẫn, k</w:t>
      </w:r>
      <w:r>
        <w:rPr>
          <w:rFonts w:ascii="TimesNewRomanPSMT" w:hAnsi="TimesNewRomanPSMT"/>
          <w:sz w:val="28"/>
          <w:szCs w:val="28"/>
        </w:rPr>
        <w:t xml:space="preserve">iểm tra các đề án công nhận loại đô thị trình Ủy ban nhân dân cấp tỉnh để trình cấp có thẩm quyền công nhận loại đô thị; tổ chức thẩm định Đề án đề nghị công nhận loại đôthị và trình Ủy ban nhân dân cấp tỉnh quyết định công nhận loại đô thị theo quy định;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đ) Hướng dẫn, kiểm tra các hoạt động đầu tư xây dựng, phát triển đô thị, khai thác sử dụng đất xây dựng đô thị theo quy hoạch và kế hoạch đã được phê duyệt; tổ </w:t>
      </w:r>
      <w:r>
        <w:rPr>
          <w:rFonts w:ascii="TimesNewRomanPSMT" w:hAnsi="TimesNewRomanPSMT"/>
          <w:sz w:val="28"/>
          <w:szCs w:val="28"/>
        </w:rPr>
        <w:t xml:space="preserve">chức thực hiện quản lý đầu tư phát triển đô thị theo quy định của pháp luật về quản lý đầu tư phát triển đô thị, pháp luật về đầu tư xây dựng và pháp luật có liên quan theo phân công của Ủy ban nhân dân cấp tỉnh; hướng dẫn quản lý trật tự xây dựng đô thị;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e) Tổ chức các hoạt động xúc tiến đầu tư phát triển đô thị; tổ chức vận động, khai thác, điều phối các nguồn lực trong và ngoài nước cho việc đầu tư xây dựng và phát triển hệ thống</w:t>
      </w:r>
      <w:r>
        <w:rPr>
          <w:rFonts w:ascii="TimesNewRomanPSMT" w:hAnsi="TimesNewRomanPSMT"/>
          <w:sz w:val="28"/>
          <w:szCs w:val="28"/>
        </w:rPr>
        <w:t xml:space="preserve"> đô thị trên địa bàn theo sự phân công của Ủy ban nhân dân cấp tỉnh; khai thác sử dụng và tham mưu cho Ủy ban nhân dân cấp tỉnh tổ chức thực hiện bàn giao quản lý trong khu đô thị hoặc tổ chức thực hiện khi được Ủy ban nhân dân cấp tỉnh phân cấp, ủy quyền;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g) Theo dõi, tổng hợp, đánh giá và báo cáo tình hình phát triển đô thị trên địa bàn tỉnh; tổ chức xây dựng và quản lý hệ thống cơ sở dữ liệu, cung cấp thông tin về tình hình phát triển đô thị trên địa bàn.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8. Về hạ tầng kỹ thuật, bao gồm: Cấp nước sạch (trừ nước sạch nông thôn); thoát nước và xử lý nước thải (trừ xử lý nước thải tại chỗ; thoát nước phục vụ sản xuất</w:t>
      </w:r>
      <w:r>
        <w:rPr>
          <w:rFonts w:ascii="TimesNewRomanPSMT" w:hAnsi="TimesNewRomanPSMT"/>
          <w:sz w:val="28"/>
          <w:szCs w:val="28"/>
        </w:rPr>
        <w:t xml:space="preserve"> nông nghiệp, sản xuất muối); công viên, cây xanh đô thị; chiếu sáng đô thị; nghĩa trang (trừ nghĩa trang liệt sĩ) và cơ sở hỏa táng: kết cấu hạ tầng giao thông đô thị; quản lý xây dựng ngầm đô thị; quản lý sử dụng chung công trình hạ tầng kỹ thuật đô thị:</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a) Xây dựng kế hoạch, chương trình, chỉ tiêu và cơ chế chính sách phát triển lĩnh vực hạ tầng kỹ thuật trên địa bàn, trình cấp có thẩm quyền phê duyệt; hướng dẫn, kiểm tra việc thực hiện sau khi được phê duyệt;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b) Tổ chức lập, thẩm định theo phân cấp và quy định pháp luật về quy hoạch thuộc lĩnh vực hạ tầng kỹ thuật trên địa bàn theo quy định, trình Ủy ban nhân dân cấp tỉnh phê duyệt;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c) Tổ chức các hoạt động xúc tiến đầu tư, vận động, khai thác các nguồn lực để phát triển hạ tầng kỹ thuật trên địa bàn;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d) Hướng dẫn công tác lập và quản lý chi ph</w:t>
      </w:r>
      <w:r>
        <w:rPr>
          <w:rFonts w:ascii="TimesNewRomanPSMT" w:hAnsi="TimesNewRomanPSMT"/>
          <w:sz w:val="28"/>
          <w:szCs w:val="28"/>
        </w:rPr>
        <w:t xml:space="preserve">í các dịch vụ hạ tầng kỹ thuật thuộc lĩnh vực quản lý nhà nước được giao; tổ chức lập để trình UBND cấp tỉnh công bố hoặc ban hành định mức kinh tế - kỹ thuật các dịch vụ hạ tầng kỹ thuật trên địa bàn phù hợp với quy trình kỹ thuật, điều kiện cụ thể của đị</w:t>
      </w:r>
      <w:r>
        <w:rPr>
          <w:rFonts w:ascii="TimesNewRomanPSMT" w:hAnsi="TimesNewRomanPSMT"/>
          <w:sz w:val="28"/>
          <w:szCs w:val="28"/>
        </w:rPr>
        <w:t xml:space="preserve">a phương; tham mưu, đề xuất với UBND cấp tỉnh hướng dẫn việc áp dụng hoặc vận dụng phương pháp xác định định mức kinh tế - kinh tế kỹ thuật; đơn giá, giá dịch vụ hạ tầng kỹ thuật sử dụng nguồn vốn ngân sách của địa phương; kiểm tra, giám sát việc thực hiện</w:t>
      </w:r>
      <w:r>
        <w:rPr>
          <w:rFonts w:ascii="TimesNewRomanPSMT" w:hAnsi="TimesNewRomanPSMT"/>
          <w:sz w:val="28"/>
          <w:szCs w:val="28"/>
          <w:lang w:val="vi-VN"/>
        </w:rPr>
        <w:t xml:space="preserve">;</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đ) Xây dựng và quản lý cơ sở dữ liệu về hạ tầng kỹ thuật;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e) Hướng dẫn, kiểm tra việc thực hiện các quy định của pháp luật về hạ tầng kỹ thuật trên địa bàn.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9. Về nhà ở:</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a) Trình Ủy ban nhân dân cấp tỉnh xem xét, phê duyệt chủ trương xây dựng hoặc điều chỉnh chương trình, kế hoạch phát triển nhà cấp tỉnh và chủ trì thực hiện sau khi được phê duyệt theo quy định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b) Cho ý kiến phối hợp thẩm định hoặc chủ trì thẩm định hồ sơ đề nghị chấp thuận chủ trương đầu tư dự án đầu tư xây dựng n</w:t>
      </w:r>
      <w:r>
        <w:rPr>
          <w:rFonts w:ascii="TimesNewRomanPSMT" w:hAnsi="TimesNewRomanPSMT"/>
          <w:sz w:val="28"/>
          <w:szCs w:val="28"/>
        </w:rPr>
        <w:t xml:space="preserve">hà ở do Ủy ban nhân dân cấp tỉnh chấp thuận theo quy định của pháp luật đầu tư và pháp luật nhà ở; thực hiện lựa chọn chủ đầu tư dự án phát triển nhà ở theo quy định của pháp luật nhà ở để trình Ủy ban nhân dân cấp tỉnh xem xét, quyết định theo thẩm quyền;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c) Tham</w:t>
      </w:r>
      <w:r>
        <w:rPr>
          <w:rFonts w:ascii="TimesNewRomanPSMT" w:hAnsi="TimesNewRomanPSMT"/>
          <w:sz w:val="28"/>
          <w:szCs w:val="28"/>
        </w:rPr>
        <w:t xml:space="preserve"> mưu trình Ủy ban nhân dân cấp tỉnh chấp thuận chuyển nhượng toàn bộ hoặc một phần dự án bất động sản theo quy định của pháp luật kinh doanh bất động sản. Hướng dẫn thực hiện các quy địnhcủa pháp luật đối với chủ đầu tư dự án theo quy định của pháp luật ki</w:t>
      </w:r>
      <w:r>
        <w:rPr>
          <w:rFonts w:ascii="TimesNewRomanPSMT" w:hAnsi="TimesNewRomanPSMT"/>
          <w:sz w:val="28"/>
          <w:szCs w:val="28"/>
        </w:rPr>
        <w:t xml:space="preserve">nh doanh bất động sản.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d) Xây dựng, trình Ủy ban nhân dân cấp tỉnh ban hành khung giá cho thuê nhà ở công vụ; khung giá cho thuê, thuê mua và giá bán </w:t>
      </w:r>
      <w:r>
        <w:rPr>
          <w:rFonts w:ascii="TimesNewRomanPSMT" w:hAnsi="TimesNewRomanPSMT"/>
          <w:sz w:val="28"/>
          <w:szCs w:val="28"/>
        </w:rPr>
        <w:t xml:space="preserve">nhà ở tài sản công phù hợp với điều kiện thực tế của tỉnh; tổ chức thực hiện các nhiệm vụ về tiếp nhận quỹ nhà ở tự quản của Trung ương và của tỉnh để thống nhất quản lý, thực hiện bán nhà ở thuộc tài sản công cho ngườiđang thuê theo quy địnhcủa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đ) Tham gia định giá các loại nhà trên địa bàn theo khung giá, nguyên tắc và phương pháp định giá các loại nhà của Nhà nước;</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e) Hướng dẫn, kiểm tra việc thực hiện tiêu chuẩn xây dựng nhà ở, nhà ở xã hội; hướng dẫn thực hiện việc phân loại, thiết kế mẫu,thiết kế điển hình, quy chế quản lý, sử dụng, chế độ bảo hành, bảo trì nhà ở, nhà ở xã hội trên địa bàn;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g) Tổ chức thực hiện các chính sách pháp luật của Nhà nước về phát triển và quản lý nhà ở xã hội theo quy định của pháp luật về nhà ở; bao gồm việc thực hiện chính sách hỗ trợ nhà ở cho các đối tượng xã hội;</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h) Tổng hợp, đánh giá tình hình, kết quả thực hiện phát triển nhà ở, nhà ở xã hội trên địa bàn theo định kỳ hàng năm hoặc theo yêu cầu đột xuất, báo cáo Ủy ban nhân dân cấp tỉnh, Bộ Xây dựng để tổng hợp, báo cáo Chính phủ;</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i) Tổ chức điều tra, thống kê, đánh giá định kỳ về nhà ở thuộc sở hữu nhà nước trên địa bàn;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k) Tổ chức xây dựng, quản lý cơ sở dữ liệu và cung cấp thông tin về nhà ở thuộc sở hữu nhà nước trên địa bàn;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l) Chủ</w:t>
      </w:r>
      <w:r>
        <w:rPr>
          <w:rFonts w:ascii="TimesNewRomanPSMT" w:hAnsi="TimesNewRomanPSMT"/>
          <w:sz w:val="28"/>
          <w:szCs w:val="28"/>
        </w:rPr>
        <w:t xml:space="preserve"> trì tham mưu Ủy ban nhân dân cấp tỉnh tổ chức triển khai thực hiện công tác quản lý nhà nước về lĩnh vực nhà ở trên địa bàn theo quy định của pháp luật nhà ở và thực hiện các nhiệm vụ khác được giao chủ trì hoặc phối hợp theo quy định của pháp luật nhà ở;</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m) Tổ chức thẩm định hồ sơ chấp thuận chủ trương đầu tư/điều chỉnh chủ trương đầu tư đồng thời với chấp thuận nhà đầu tư làm chủ đầu tư đối với dự án cải tạo, xây dựng lại nhà chung cư không bằng nguồn vốn đầu tư công.</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10. Về thị trường bất động sản: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pPr>
      <w:r>
        <w:rPr>
          <w:rFonts w:ascii="TimesNewRomanPSMT" w:hAnsi="TimesNewRomanPSMT"/>
          <w:sz w:val="28"/>
          <w:szCs w:val="28"/>
        </w:rPr>
        <w:t xml:space="preserve">a) Xây dựng, trình Ủy ban nhân dân cấp tỉnh ban hành cơ chế, chính sách, văn bản quy phạm pháp luật về phát triển, quản lý kinh doanh bất động sản, thị trường</w:t>
      </w:r>
      <w:r>
        <w:rPr>
          <w:rFonts w:ascii="TimesNewRomanPSMT" w:hAnsi="TimesNewRomanPSMT"/>
          <w:sz w:val="28"/>
          <w:szCs w:val="28"/>
        </w:rPr>
        <w:t xml:space="preserve"> bất động sản thuộc thẩm quyền của Ủy ban nhân dân cấp tỉnh; các giải pháp, biện pháp công khai, minh bạch hoạt động kinh doanh bất động sản, thị trường bất động sản trên địa bàn; tổ chức thực hiện sau khi được Ủy ban nhân dân cấp tỉnh phê duyệt, ban hành;</w:t>
      </w: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b) Chủ trì, phối hợp với các Sở, ngành, cơ quan, đơn vị có liên </w:t>
      </w:r>
      <w:r>
        <w:rPr>
          <w:rFonts w:ascii="TimesNewRomanPSMT" w:hAnsi="TimesNewRomanPSMT"/>
          <w:sz w:val="28"/>
          <w:szCs w:val="28"/>
        </w:rPr>
        <w:t xml:space="preserve">quan nghiên cứu xây dựng, tham mưu đề xuất cấp có thẩm quyền biện pháp, giải pháp điều tiết thị trường bất động sản và chủ trì tổ chức triển khai thực hiện các biện pháp, giải pháp điều tiết thị trường bất động sản trên địa bàn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c) Hướng dẫn thực hi</w:t>
      </w:r>
      <w:r>
        <w:rPr>
          <w:rFonts w:ascii="TimesNewRomanPSMT" w:hAnsi="TimesNewRomanPSMT"/>
          <w:sz w:val="28"/>
          <w:szCs w:val="28"/>
        </w:rPr>
        <w:t xml:space="preserve">ện các quy định của pháp luật về điều kiện năng lực của chủ đầu tư dự án phát triển nhà ở, dự án hạ tầng kỹ thuật khu công nghiệp và các dự án đầu tư kinh doanh bất động sản khác trên địa bàn; hướng dẫn các quy định về bất động sản được đưa vào kinh doanh;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d) Tổ chức thẩm định hồ sơ chuyển nhượng </w:t>
      </w:r>
      <w:r>
        <w:rPr>
          <w:rFonts w:ascii="TimesNewRomanPSMT" w:hAnsi="TimesNewRomanPSMT"/>
          <w:sz w:val="28"/>
          <w:szCs w:val="28"/>
        </w:rPr>
        <w:t xml:space="preserve">một phần hoặc toàn bộ các dự án khu đô thị mới, dự án phát triển nhà ở, dự án hạ tầng kỹ thuật khu công nghiệp để Ủy ban nhân dân cấp tỉnh trình Thủ tướng Chính phủ quyết định hoặc Ủy ban nhân dân cấp tỉnh quyết định cho phép chuyển nhượng dự án theo thẩm </w:t>
      </w:r>
      <w:r>
        <w:rPr>
          <w:rFonts w:ascii="TimesNewRomanPSMT" w:hAnsi="TimesNewRomanPSMT"/>
          <w:sz w:val="28"/>
          <w:szCs w:val="28"/>
        </w:rPr>
        <w:t xml:space="preserve">quyền; hướng dẫn kiểm tra các quy định của pháp luật trong hoạt động mua bán, cho thuê, cho thuê mua nhà, công trình xây dựng trên địa bàn;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đ)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e) Chủ trì, phối hợp với các Sở, ngành, cơ quan, </w:t>
      </w:r>
      <w:r>
        <w:rPr>
          <w:rFonts w:ascii="TimesNewRomanPSMT" w:hAnsi="TimesNewRomanPSMT"/>
          <w:sz w:val="28"/>
          <w:szCs w:val="28"/>
        </w:rPr>
        <w:t xml:space="preserve">đơn vị liên quan trong việc xây dựng, quản lý, vận hành, cập nhật thông tin hệ thống thông tin về nhà ở và thị trường bất động sản theo quy định; thực hiện công bố thông tin về nhà ở và thị trường bất động sản trên địa bàn hàng quý và cả năm theo quy định;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g) Chủ trì tham mưu Ủy ban nhân dân cấp tỉnh tổ chức triển khai  thực hiện công tác quản lý nhà nước về lĩnh vực kinh doanh bất động sản trên địa bàn theo quy định của pháp luật kinh doanh bất động sản;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h) Tổ chức thẩm định hồ sơ thông báo đủ điều kiện được huy động vốn thông qua việc góp vốn, hợp tác đầu tư, hợp tác kinh doanh, liên doanh, liên kết của các tổ chức và cá nhân để phát triển nhà ở;</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i) Tổ chức thẩm định hồ sơ chuyển nhượng quyền sử dụng đất đã có hạ tầng kỹ thuật trong dự án bất động sản cho cá nhân tự xây dựng nhà ở theo quy định của pháp luật kinh doanh bất động sản.</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11. Về vật liệu xây dựng:</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a) Tham mưu, giúp Ủy ban</w:t>
      </w:r>
      <w:r>
        <w:rPr>
          <w:rFonts w:ascii="TimesNewRomanPSMT" w:hAnsi="TimesNewRomanPSMT"/>
          <w:sz w:val="28"/>
          <w:szCs w:val="28"/>
        </w:rPr>
        <w:t xml:space="preserve"> nhân dân cấp tỉnh lập, thẩm định, phê duyệt và quản lý thực hiện chương trình, kế hoạch phát triển vật liệu xây dựng của địa phương; phương án thăm dò, khai thác và sử dụng khoáng sản làm vật liệu xây dựng thông thường của địa phương trong quy hoạch tỉnh;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b) Quản lý và tổ chức thực hiện quy hoạch khoáng sản nhóm II (hiện nay là quy hoạch thăm dò, khai thác, chế biến, sử dụng các loại khoáng sản làm vật liệu xây dựng) đã được phê duyệt trên địa bàn theo quy định của pháp luật</w:t>
      </w:r>
      <w:r>
        <w:rPr>
          <w:rFonts w:ascii="TimesNewRomanPSMT" w:hAnsi="TimesNewRomanPSMT"/>
          <w:sz w:val="28"/>
          <w:szCs w:val="28"/>
          <w:lang w:val="vi-VN"/>
        </w:rPr>
        <w:t xml:space="preserve">;</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c) Cho ý kiến thẩm định dự án đầu tư xây dựng công trình sản xuất vật liệu xây dựng trên địa bàn theo quy định;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d) Hướng dẫn các hoạt động thẩm định, đánh giá về: Công nghệ khai thác, chế biến khoáng sản nhóm II (hiện nay là khoáng sản làm vật liệu xây dựng, khoáng sản làm xi măng); công nghệ sản xuất vật liệu xây dựng; chất lượng sản phẩm vật liệu xây dựng;</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đ) Hướng dẫn,</w:t>
      </w:r>
      <w:r>
        <w:rPr>
          <w:rFonts w:ascii="TimesNewRomanPSMT" w:hAnsi="TimesNewRomanPSMT"/>
          <w:sz w:val="28"/>
          <w:szCs w:val="28"/>
        </w:rPr>
        <w:t xml:space="preserve"> kiểm tra và tổ chức thực hiện các quy chuẩn kỹ thuật, các quy định về an toàn, vệ sinh lao động trong các hoạt động: Khai thác, chế biến khoáng sản nhóm II (hiện nay là khoáng sản làm vật liệu xây dựng, khoáng sản làm xi măng); sản xuất vật liệu xây dựng;</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e) Hướng dẫn các quy định của pháp luật về kinh doanh vật liệu xây dựng đối với các tổ chức, cá nhân kinh doanh vật liệu xây dựng trên địa bàn theo phân công của Ủy ban nhân dân cấp tỉnh;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g) Tham mưu, giúp Ủy ban nhân dân cấp tỉnh quản lý chất lượng sản phẩm, hàng hóa vật liệu xây dựng trên địa bàn theo quy định;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pacing w:val="-2"/>
          <w:sz w:val="28"/>
          <w:szCs w:val="28"/>
          <w:lang w:val="vi-VN"/>
        </w:rPr>
      </w:pPr>
      <w:r>
        <w:rPr>
          <w:rFonts w:ascii="TimesNewRomanPSMT" w:hAnsi="TimesNewRomanPSMT"/>
          <w:spacing w:val="-2"/>
          <w:sz w:val="28"/>
          <w:szCs w:val="28"/>
        </w:rPr>
        <w:t xml:space="preserve">h) Theo dõi, tổng hợp tình hình đầu tư khai thác, chế biến khoáng sản nhóm II (hiện nay là khoáng sản làm vật liệu xây dựng, khoáng sản làm xi măng), tình hình sản xuất vật liệu xây dựng của các tổ chức, cá nhân trên địa bàn</w:t>
      </w:r>
      <w:r>
        <w:rPr>
          <w:rFonts w:ascii="TimesNewRomanPSMT" w:hAnsi="TimesNewRomanPSMT"/>
          <w:spacing w:val="-2"/>
          <w:sz w:val="28"/>
          <w:szCs w:val="28"/>
          <w:lang w:val="vi-VN"/>
        </w:rPr>
        <w:t xml:space="preserve">;</w:t>
      </w:r>
      <w:r>
        <w:rPr>
          <w:rFonts w:ascii="TimesNewRomanPSMT" w:hAnsi="TimesNewRomanPSMT"/>
          <w:spacing w:val="-2"/>
          <w:sz w:val="28"/>
          <w:szCs w:val="28"/>
          <w:lang w:val="vi-VN"/>
        </w:rPr>
      </w:r>
      <w:r>
        <w:rPr>
          <w:rFonts w:ascii="TimesNewRomanPSMT" w:hAnsi="TimesNewRomanPSMT"/>
          <w:spacing w:val="-2"/>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i) Xây dựng và tổ chức thực hiện các đề án, chương trình, dự án khuyến khích, hỗ trợ, thúc đẩy phát triển các sản phẩm cơ khí xây dựng.và giao thông vận tải trên địa bàn tỉnh trong phạm vi quản lý của Sở.</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12. Về kết cấu hạ tầng giao thông:</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a) Tổ chức thực hiện nhiệm vụ, quyền hạn của cơ quan quyết định đầu tư, chủ đầu tư, cơ quan chuyên môn về xây dựng đối với các dự án đầu tư xây dựng kết cấu hạ tầng xây dựng thuộc phạm vi quản lý hoặc được phân cấp, ủy quyền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b) Tổ chức quản lý, bảo trì, bảo đảm tiêu chuẩn, quy chuẩn kỹ thuật công trình đường bộ, đường sắt, đường thủy nội địa địa phương đang khai thác thuộc phạm vi quản lý hoặc được phân cấp, ủy quyền theo quy định của pháp luật</w:t>
      </w:r>
      <w:r>
        <w:rPr>
          <w:rFonts w:ascii="TimesNewRomanPSMT" w:hAnsi="TimesNewRomanPSMT"/>
          <w:sz w:val="28"/>
          <w:szCs w:val="28"/>
          <w:lang w:val="vi-VN"/>
        </w:rPr>
        <w:t xml:space="preserve">;</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c) Tổ chức quản lý, vận hành, khai thác, bảo trì, bảovệ kết cấu hạ tầng giao thông trên địa bàn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d) Trình Ủy ban nhân dân cấp tỉnh quyết định hoặc quyết định theo thẩm quyền công tác quản lý kết cấu hạ tầng xây dựng trong phạm vi, nhiệm vụ, quyền hạn của Sở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đ) Chủ trì, phối hợp với các cơ </w:t>
      </w:r>
      <w:r>
        <w:rPr>
          <w:rFonts w:ascii="TimesNewRomanPSMT" w:hAnsi="TimesNewRomanPSMT"/>
          <w:sz w:val="28"/>
          <w:szCs w:val="28"/>
        </w:rPr>
        <w:t xml:space="preserve">quan có liên quan tham mưu, giúp Chủ tịch Ủy ban nhân dân cấp tỉnh quyết định phân loại, điều chỉnh hệ thống đường tỉnh, đường đô thị, các đường khác và công bố tải trọng, khổ giới hạn của cầu, đường bộ thuộc thẩm quyền quản lý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pacing w:val="-4"/>
          <w:sz w:val="28"/>
          <w:szCs w:val="28"/>
        </w:rPr>
      </w:pPr>
      <w:r>
        <w:rPr>
          <w:rFonts w:ascii="TimesNewRomanPSMT" w:hAnsi="TimesNewRomanPSMT"/>
          <w:spacing w:val="-4"/>
          <w:sz w:val="28"/>
          <w:szCs w:val="28"/>
        </w:rPr>
        <w:t xml:space="preserve">e) Trình Ủy ban nhân dân cấp tỉnh thỏa thuận hoặc thỏa thuận theo thẩm quyền về nội dung liên quan đến đường thủy nội địa đối với </w:t>
      </w:r>
      <w:r>
        <w:rPr>
          <w:rFonts w:ascii="TimesNewRomanPSMT" w:hAnsi="TimesNewRomanPSMT"/>
          <w:spacing w:val="-4"/>
          <w:sz w:val="28"/>
          <w:szCs w:val="28"/>
        </w:rPr>
        <w:t xml:space="preserve">công trình không thuộc kết cấu hạ tầng đường thủy nội địa và các hoạt động trên đường thủy nội địa; cấp phép thi công trên các tuyến đường bộ, đường thủy nội địa đang khai thác do địa phương quản lý hoặc được phân cấp, ủy quyền theo quy định của pháp luật;</w:t>
      </w:r>
      <w:r>
        <w:rPr>
          <w:rFonts w:ascii="TimesNewRomanPSMT" w:hAnsi="TimesNewRomanPSMT"/>
          <w:spacing w:val="-4"/>
          <w:sz w:val="28"/>
          <w:szCs w:val="28"/>
        </w:rPr>
      </w:r>
      <w:r>
        <w:rPr>
          <w:rFonts w:ascii="TimesNewRomanPSMT" w:hAnsi="TimesNewRomanPSMT"/>
          <w:spacing w:val="-4"/>
          <w:sz w:val="28"/>
          <w:szCs w:val="28"/>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g) Tổ chức thự</w:t>
      </w:r>
      <w:r>
        <w:rPr>
          <w:rFonts w:ascii="TimesNewRomanPSMT" w:hAnsi="TimesNewRomanPSMT"/>
          <w:sz w:val="28"/>
          <w:szCs w:val="28"/>
        </w:rPr>
        <w:t xml:space="preserve">c thi các nhiệm vụ, quyền hạn quản lý nhà nước tại bến xe ô tô, bãi đỗ xe, nhà ga đường sắt, trạm dừng nghỉ và cảng, bến thủy nội địa trên các tuyến đường bộ, đường thủy nội địa do địa phương quản lý hoặc được phân cấp, ủy quyền theo quy định của pháp luật</w:t>
      </w:r>
      <w:r>
        <w:rPr>
          <w:rFonts w:ascii="TimesNewRomanPSMT" w:hAnsi="TimesNewRomanPSMT"/>
          <w:sz w:val="28"/>
          <w:szCs w:val="28"/>
          <w:lang w:val="vi-VN"/>
        </w:rPr>
        <w:t xml:space="preserve">;</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h) Trình Ủy ban nhân dân tỉnh quyết định đưa cơ sở phá dỡ tàu biển vào hoạt động, q</w:t>
      </w:r>
      <w:r>
        <w:rPr>
          <w:rFonts w:ascii="TimesNewRomanPSMT" w:hAnsi="TimesNewRomanPSMT"/>
          <w:sz w:val="28"/>
          <w:szCs w:val="28"/>
        </w:rPr>
        <w:t xml:space="preserve">uyết định lại đưa cơ sở phá dỡ tàu biển vào hoạt động, quyết định dừng, dừng ngay hoạt động cơ sở phá dỡ tàu biển, phê duyệt phương án phá dỡ tàu biển và cấp Giấy phép nhập khẩu tàu biển đã qua sử dụng để phá dỡ theo quy định trong phạm vi địa bàn quản lý;</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i) Trình Ủy ban nhân dân tỉnh thực hiện thủ tục đổi tên cảng cạn theo quy định trong phạm vi địa bàn quản lý.</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 New Roman" w:hAnsi="Times New Roman" w:cs="Times New Roman"/>
          <w:spacing w:val="-2"/>
          <w:sz w:val="28"/>
          <w:szCs w:val="28"/>
        </w:rPr>
      </w:pPr>
      <w:r>
        <w:rPr>
          <w:rFonts w:ascii="TimesNewRomanPSMT" w:hAnsi="TimesNewRomanPSMT"/>
          <w:spacing w:val="-2"/>
          <w:sz w:val="28"/>
          <w:szCs w:val="28"/>
        </w:rPr>
        <w:t xml:space="preserve">13. Về phương tiện và người điều khiển phương tiện giao thông, phương tiện, thiết bị xếp dỡ, thi công chuyên dùng trong vận tải (trừ phương tiện phục vụ vào mục đích quốc phòng, an ninh và </w:t>
      </w:r>
      <w:r>
        <w:rPr>
          <w:rFonts w:ascii="Times New Roman" w:hAnsi="Times New Roman" w:cs="Times New Roman"/>
          <w:spacing w:val="-2"/>
          <w:sz w:val="28"/>
          <w:szCs w:val="28"/>
        </w:rPr>
        <w:t xml:space="preserve">tàu cá, </w:t>
      </w:r>
      <w:r>
        <w:rPr>
          <w:rFonts w:ascii="Times New Roman" w:hAnsi="Times New Roman" w:cs="Times New Roman"/>
          <w:spacing w:val="-2"/>
          <w:sz w:val="28"/>
          <w:szCs w:val="28"/>
          <w:shd w:val="clear" w:color="auto" w:fill="ffffff"/>
        </w:rPr>
        <w:t xml:space="preserve">trừ nhiệm vụ sát hạch, cấp giấy phép lái xe cơ giới đường bộ</w:t>
      </w:r>
      <w:r>
        <w:rPr>
          <w:rFonts w:ascii="Times New Roman" w:hAnsi="Times New Roman" w:cs="Times New Roman"/>
          <w:spacing w:val="-2"/>
          <w:sz w:val="28"/>
          <w:szCs w:val="28"/>
        </w:rPr>
        <w:t xml:space="preserve">) và trang bị, thiết bị kỹ thuật chuyên ngành xây dựng.</w:t>
      </w:r>
      <w:r>
        <w:rPr>
          <w:rFonts w:ascii="Times New Roman" w:hAnsi="Times New Roman" w:cs="Times New Roman"/>
          <w:spacing w:val="-2"/>
          <w:sz w:val="28"/>
          <w:szCs w:val="28"/>
        </w:rPr>
      </w:r>
      <w:r>
        <w:rPr>
          <w:rFonts w:ascii="Times New Roman" w:hAnsi="Times New Roman" w:cs="Times New Roman"/>
          <w:spacing w:val="-2"/>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a) Tổ chức thực hiện việc kiểm tra an toàn kỹ thuật và bảo vệ môi trường đối với phương tiện giao thông đường bộ, đường thủy nội địa ở địa phương hoặc được phân cấp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b) Thẩm định thiết kế kỹ thuật trong sửa chữa, hoán cải phương tiện giao thông, phương tiện, thiết bị xếp dỡ, thi công chuyên dùng trong vận tải đường bộ, đường thủy nội địa ở địa phương hoặc được phân cấp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c) Tổ chức thực hiện và chịu trách nhiệm về đào tạo, sát hạch, cấp, đổi, thu hồi giấy phép, giấy chứng nhận, chứng chỉ thuộc phạm vi quản lý hoặc được phân cấp, ủy quyền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d) Trình Ủy ban nhân dân tỉnh cấp, cấp lại, thu hồi Giấy chứng nhận cơ sở đủ điều kiện kinh doanh dịch vụ đào tạo thuyền viên, người lái phương tiện thủy nội địa cơ sở từ loại 3 trở lên theo quy định trong phạm vi địa bàn quản lý.</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14. Về vận tải:</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a) Chủ trì hoặc phối hợp với các cơ quan liên quan triển khai thực hiện các chính sách phát triển vận tải hành khách công cộng theo quy định của Ủy ban nhân dân cấp tỉnh;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b) Tổ chức thực hiện việc quản lý hoạt động vận tải và dịch vụ hỗ trợ vận tải đường bộ, đường thủy nội địa, đường sắt trên địa bàn tỉnh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c) Hướng dẫn, kiểm tra xây dựng và công bố bến xe khách, điểm đỗ xe taxi, điểm đón, trả khách trên địa bàn theo quy hoạch được phê duyệt. </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15. Về an toàn giao thông </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a) Chủ trì hoặc phối hợp với các cơ q</w:t>
      </w:r>
      <w:r>
        <w:rPr>
          <w:rFonts w:ascii="TimesNewRomanPSMT" w:hAnsi="TimesNewRomanPSMT"/>
          <w:sz w:val="28"/>
          <w:szCs w:val="28"/>
        </w:rPr>
        <w:t xml:space="preserve">uan liên quan thực hiện công tác ứng phó sự cố, thiên tai và tìm kiếm cứu nạn đường bộ, đường sắt, đường thủy nội địa, hàng hải, hàng không, xử lý tai nạn giao thông xảy ra trên địa bàn theo quy định của pháp luật và phân công của Ủy ban nhân dân cấp tỉnh;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b) Tổ chức thực hiện các biện pháp phòng ngừa nhằm giảm thiểu tai nạn giao thông, ùn tắc giao thông; ngăn chặn và xử lý các hành vi gây mất an toàn giao thông trên địa bàn theo thẩm quyền và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c) Thẩm định an toàn giao thông thuộc phạm vi quản lý hoặc được phân cấp, ủy quyền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d) Chủ trì hoặc phối hợp trình Ủy ban nhân dân cấp tỉnh việc tổ chức giao thông trên hệ thống đường bộ, đường thủy nội địa thuộc phạm vi quản lý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lang w:val="vi-VN"/>
        </w:rPr>
      </w:pPr>
      <w:r>
        <w:rPr>
          <w:rFonts w:ascii="TimesNewRomanPSMT" w:hAnsi="TimesNewRomanPSMT"/>
          <w:sz w:val="28"/>
          <w:szCs w:val="28"/>
        </w:rPr>
        <w:t xml:space="preserve">đ) Chủ trì hoặc phối hợp xử lý đột xuất điểm hay xảy ra tai nạn giao thông, điểm tiềm ẩn tai nạn giao thông, đảm bảo giao thông trên hệ thống đường bộ, đường thủy nội địa thuộc phạm vi quản lý hoặc được phân cấp, ủy quyền theo quy định của pháp luật</w:t>
      </w:r>
      <w:r>
        <w:rPr>
          <w:rFonts w:ascii="TimesNewRomanPSMT" w:hAnsi="TimesNewRomanPSMT"/>
          <w:sz w:val="28"/>
          <w:szCs w:val="28"/>
          <w:lang w:val="vi-VN"/>
        </w:rPr>
        <w:t xml:space="preserve">;</w:t>
      </w:r>
      <w:r>
        <w:rPr>
          <w:rFonts w:ascii="TimesNewRomanPSMT" w:hAnsi="TimesNewRomanPSMT"/>
          <w:sz w:val="28"/>
          <w:szCs w:val="28"/>
          <w:lang w:val="vi-VN"/>
        </w:rPr>
      </w:r>
      <w:r>
        <w:rPr>
          <w:rFonts w:ascii="TimesNewRomanPSMT" w:hAnsi="TimesNewRomanPSMT"/>
          <w:sz w:val="28"/>
          <w:szCs w:val="28"/>
          <w:lang w:val="vi-VN"/>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e) Cấp phép lưu hành cho phương tiện giao thông cơ giới đường bộ thuộc phạm vi quản lý hoặc được phân cấp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g) Trình Ủy ban nhân dân cấp tỉnh tổ chức thực hiện cấp Giấy phép nhập khẩu pháo hiệu hàng hải theo quy định về điều kiện cung cấp dịch vụ bảo đảm an toàn hàng hải theo quy định trong phạm vi địa bàn quản lý;</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h) Trình Ủy ban nhân dân cấp tỉnh chấp thuận vùng hoạt động tàu lặn; phê duyệt phương án đưa tàu lặn vào hoạt động và chấm dứt hoạt động tàu lặn thực hiện theo quy định.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16. Quản lý theo quy định của pháp luật đối với các doanh nghiệp, tổ chức kinh tế tập thể, kinh tế tư nhân, các hội và các tổ chức phi chính phủ thuộc phạm vi lĩnh vực quản lý của Sở;</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17. Thực hiện hợp tác quốc tế về lĩnh vực quản lý của Sở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18. Tổ chức nghiên cứu, ứng dụng tiến bộ khoa học - kỹ thuật và công nghệ, đổi mới sáng tạo và chuyển đổi số; xây dựng hệ thống thông tin, lưu trữ phục vụ công tác quản lý nhà nước và chuyên môn nghiệp vụ;</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19. Hướng dẫn chuyên môn, nghiệp vụ thuộc lĩnh vực quản lý của Sở đối với cơ quan chuyên môn thuộc Ủy ban nhân dân cấp xã;</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20. Thực hiện công tác nhập và cập nhật, điều chỉnh thông tin trong hệ thống thông tin, cơ s</w:t>
      </w:r>
      <w:r>
        <w:rPr>
          <w:rFonts w:ascii="TimesNewRomanPSMT" w:hAnsi="TimesNewRomanPSMT"/>
          <w:sz w:val="28"/>
          <w:szCs w:val="28"/>
        </w:rPr>
        <w:t xml:space="preserve">ở dữ liệu quốc gia về hoạt động xây dựng theo quy định; thực hiện công tác tổng hợp, thông tin, báo cáo định kỳ và đột xuất về tình hình thực hiện nhiệm vụ được giao với Ủy ban nhân dân cấp tỉnh, Bộ Xây dựng và các cơ quan có thẩm quyền khác theo quy định;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21. Quy định chức năng, nhiệm vụ, quyền hạn của Văn phòng, các phòng chuyên môn nghiệp vụ thuộc Sở phù hợp với chức năng, nhiệm vụ, quyền hạn của Sở theo hướng dẫn tại </w:t>
      </w:r>
      <w:r>
        <w:rPr>
          <w:rFonts w:ascii="TimesNewRomanPSMT" w:hAnsi="TimesNewRomanPSMT"/>
          <w:iCs/>
          <w:sz w:val="28"/>
          <w:szCs w:val="28"/>
        </w:rPr>
        <w:t xml:space="preserve">Thông tư số 10/2025/TT-BXD ngày 14/6/2025 của Bộ Xây dựng </w:t>
      </w:r>
      <w:r>
        <w:rPr>
          <w:rFonts w:ascii="TimesNewRomanPSMT" w:hAnsi="TimesNewRomanPSMT"/>
          <w:sz w:val="28"/>
          <w:szCs w:val="28"/>
        </w:rPr>
        <w:t xml:space="preserve">và theo quy định của Ủy ban nhân dân cấp tỉnh;</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22. Quản lý tổ chức bộ máy, biên chế công chức, cơ cấu ngạch công chức, vị trí việc làm, cơ cấu viên chức theo chức danh nghề nghiệp và số</w:t>
      </w:r>
      <w:r>
        <w:rPr>
          <w:rFonts w:ascii="TimesNewRomanPSMT" w:hAnsi="TimesNewRomanPSMT"/>
          <w:sz w:val="28"/>
          <w:szCs w:val="28"/>
        </w:rPr>
        <w:t xml:space="preserve">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23. Quản lý và chịu trách nhiệm về tài chính, tài sản được giao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24. Tổ chức thực hiện và chịu trách nhiệm về giám định, đăng ký, cấp giấy phép, văn bằng, chứng chỉ thuộc phạm vi trách nhiệm quản lý của Sở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25. Quản lý hoạt động của các đơn vị sự nghiệp trong và ngoài công lập thuộc phạm vi lĩnh vực quản lý của Sở;</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26. Kiểm tra việc thực hiện các quy định của pháp luật về lĩnh vực xây dựng đối với tổ chức, cá nhân; tiếp công dân, giải quyết khiếu nại, tố cáo, phòng, chống tham nhũng, lãng phí, tiêu cực theo quy định của pháp luật;</w:t>
      </w:r>
      <w:r>
        <w:rPr>
          <w:rFonts w:ascii="TimesNewRomanPSMT" w:hAnsi="TimesNewRomanPSMT"/>
          <w:sz w:val="28"/>
          <w:szCs w:val="28"/>
        </w:rPr>
      </w:r>
      <w:r>
        <w:rPr>
          <w:rFonts w:ascii="TimesNewRomanPSMT" w:hAnsi="TimesNewRomanPSMT"/>
          <w:sz w:val="28"/>
          <w:szCs w:val="28"/>
        </w:rPr>
      </w:r>
    </w:p>
    <w:p>
      <w:pPr>
        <w:pBdr/>
        <w:spacing w:after="120" w:line="240" w:lineRule="auto"/>
        <w:ind w:firstLine="720"/>
        <w:jc w:val="both"/>
        <w:rPr>
          <w:rFonts w:ascii="TimesNewRomanPSMT" w:hAnsi="TimesNewRomanPSMT"/>
          <w:sz w:val="28"/>
          <w:szCs w:val="28"/>
        </w:rPr>
      </w:pPr>
      <w:r>
        <w:rPr>
          <w:rFonts w:ascii="TimesNewRomanPSMT" w:hAnsi="TimesNewRomanPSMT"/>
          <w:sz w:val="28"/>
          <w:szCs w:val="28"/>
        </w:rPr>
        <w:t xml:space="preserve">27. Thực hiện các nhiệm vụ khác theo sự phân công, phân cấp hoặc ủy quyền của Ủy ban nhân dân cấp tỉnh, Chủ tịch Ủy ban nhân dân cấp tỉnh và theo quy định của pháp luật.</w:t>
      </w:r>
      <w:r>
        <w:rPr>
          <w:rFonts w:ascii="TimesNewRomanPSMT" w:hAnsi="TimesNewRomanPSMT"/>
          <w:sz w:val="28"/>
          <w:szCs w:val="28"/>
        </w:rPr>
      </w:r>
      <w:r>
        <w:rPr>
          <w:rFonts w:ascii="TimesNewRomanPSMT" w:hAnsi="TimesNewRomanPSMT"/>
          <w:sz w:val="28"/>
          <w:szCs w:val="28"/>
        </w:rPr>
      </w:r>
    </w:p>
    <w:p>
      <w:pPr>
        <w:pBdr/>
        <w:tabs>
          <w:tab w:val="left" w:leader="none" w:pos="567"/>
          <w:tab w:val="left" w:leader="none" w:pos="1276"/>
        </w:tabs>
        <w:spacing w:after="120" w:before="12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Điều 3. Cơ cấu tổ chức và biên chế</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hd w:val="clear" w:color="auto" w:fill="ffffff"/>
        <w:tabs>
          <w:tab w:val="left" w:leader="none" w:pos="567"/>
        </w:tabs>
        <w:spacing w:after="120" w:before="12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1.</w:t>
      </w:r>
      <w:r>
        <w:rPr>
          <w:rFonts w:ascii="Times New Roman" w:hAnsi="Times New Roman" w:eastAsia="Times New Roman" w:cs="Times New Roman"/>
          <w:sz w:val="28"/>
          <w:szCs w:val="28"/>
        </w:rPr>
        <w:t xml:space="preserve"> Lãnh đạo Sở: Sở Xây dựng có Giám đốc Sở và các Phó Giám đốc Sở</w:t>
      </w:r>
      <w:r>
        <w:rPr>
          <w:rFonts w:ascii="Times New Roman" w:hAnsi="Times New Roman" w:eastAsia="Times New Roman" w:cs="Times New Roman"/>
          <w:sz w:val="28"/>
          <w:szCs w:val="28"/>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 w:val="left" w:leader="none" w:pos="1276"/>
        </w:tabs>
        <w:spacing w:after="120" w:before="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 Giám đốc Sở là người đứng đầu Sở do Chủ tịch UBND tỉnh bổ nhiệm, chịu trách nhiệm trước UBND tỉnh, Chủ tịch UBND tỉnh và trước pháp luật về thực hiện chức năng, nhiệm vụ, quyền hạn của Sở theo Quy chế làm việc và phân công của UBND tỉnh;</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tabs>
          <w:tab w:val="left" w:leader="none" w:pos="567"/>
          <w:tab w:val="left" w:leader="none" w:pos="1276"/>
        </w:tabs>
        <w:spacing w:after="120" w:before="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b) Phó Giám đốc Sở do Chủ tịch UBND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w:t>
      </w:r>
      <w:r>
        <w:rPr>
          <w:rFonts w:ascii="Times New Roman" w:hAnsi="Times New Roman" w:eastAsia="Times New Roman" w:cs="Times New Roman"/>
          <w:sz w:val="28"/>
          <w:szCs w:val="28"/>
        </w:rPr>
        <w:t xml:space="preserve">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tabs>
          <w:tab w:val="left" w:leader="none" w:pos="567"/>
          <w:tab w:val="left" w:leader="none" w:pos="1276"/>
        </w:tabs>
        <w:spacing w:after="120" w:before="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 Việc bổ nhiệm Giám đốc, Phó Giám đốc Sở do Chủ tịch UBND tỉnh quyết định theo tiêu chuẩn chuyên môn, nghiệp vụ do Bộ Xây dựng ban hành và các quy định của pháp luật;</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tabs>
          <w:tab w:val="left" w:leader="none" w:pos="567"/>
          <w:tab w:val="left" w:leader="none" w:pos="1276"/>
        </w:tabs>
        <w:spacing w:after="120" w:before="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 Việc bổ nhiệm, bổ nhiệm lại, miễn nhiệm, điều động, luân chuyển, khen thưởng, kỷ luật, cho từ chức, nghỉ hưu và thực hiện các chế độ, chính sách đối với Giám đốc Sở và Phó Giám đốc Sở do Chủ tịch UBND tỉnh quyết định theo quy định của pháp luật.</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tabs>
          <w:tab w:val="left" w:leader="none" w:pos="567"/>
          <w:tab w:val="left" w:leader="none" w:pos="1276"/>
        </w:tabs>
        <w:spacing w:after="120" w:before="12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2.</w:t>
      </w:r>
      <w:r>
        <w:rPr>
          <w:rFonts w:ascii="Times New Roman" w:hAnsi="Times New Roman" w:eastAsia="Times New Roman" w:cs="Times New Roman"/>
          <w:sz w:val="28"/>
          <w:szCs w:val="28"/>
        </w:rPr>
        <w:t xml:space="preserve"> Các phòng chuyên môn thuộc Sở:</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Văn phòng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Quy hoạch, Phát triển đô thị</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Quản lý Hoạt động Xây dựng </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Quản lý Kết cấu hạ tầng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Quản lý Vật liệu xây dựng, Môi trường </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Quản lý Nhà và thị trường bất động sản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Quản lý Vận tải</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Thẩm định, Phát triển giao thông </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Kế hoạch, Tổng hợp</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cs="Times New Roman"/>
          <w:sz w:val="28"/>
          <w:szCs w:val="28"/>
        </w:rPr>
      </w:pPr>
      <w:r>
        <w:rPr>
          <w:rFonts w:ascii="Times New Roman" w:hAnsi="Times New Roman" w:cs="Times New Roman"/>
          <w:b/>
          <w:sz w:val="28"/>
          <w:szCs w:val="28"/>
        </w:rPr>
        <w:t xml:space="preserve">3.</w:t>
      </w:r>
      <w:r>
        <w:rPr>
          <w:rFonts w:ascii="Times New Roman" w:hAnsi="Times New Roman" w:cs="Times New Roman"/>
          <w:sz w:val="28"/>
          <w:szCs w:val="28"/>
        </w:rPr>
        <w:t xml:space="preserve"> Các đơn vị sự nghiệp trực thuộc Sở:</w:t>
      </w:r>
      <w:r>
        <w:rPr>
          <w:rFonts w:ascii="Times New Roman" w:hAnsi="Times New Roman" w:cs="Times New Roman"/>
          <w:sz w:val="28"/>
          <w:szCs w:val="28"/>
        </w:rPr>
      </w:r>
      <w:r>
        <w:rPr>
          <w:rFonts w:ascii="Times New Roman" w:hAnsi="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Trung tâm Giám định chất lượng xây dựng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Trung tâm Quy hoạch xây dựng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Trung tâm Đăng kiểm xe cơ giới</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Trung tâm Quản lý đường bộ - đường sông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Trung tâm Giám định và tư vấn xây dựng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Cảng vụ Đường thủy nội địa</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Ban Quản lý bảo trì</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before="12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4.</w:t>
      </w:r>
      <w:r>
        <w:rPr>
          <w:rFonts w:ascii="Times New Roman" w:hAnsi="Times New Roman" w:eastAsia="Times New Roman" w:cs="Times New Roman"/>
          <w:sz w:val="28"/>
          <w:szCs w:val="28"/>
        </w:rPr>
        <w:t xml:space="preserve"> Biên chế </w:t>
      </w:r>
      <w:r>
        <w:rPr>
          <w:rFonts w:ascii="Times New Roman" w:hAnsi="Times New Roman" w:eastAsia="Times New Roman" w:cs="Times New Roman"/>
          <w:sz w:val="28"/>
          <w:szCs w:val="28"/>
        </w:rPr>
        <w:t xml:space="preserve">công chức, số lượng người làm việc trong các đơn vị sự nghiệp công lập của Sở được giao trên cơ sở vị trí việc làm, gắn với chức năng, nhiệm vụ, phạm vi hoạt động và nằm trong tổng số biên chế công chức, số lượng người làm việc được cấp có thẩm quyền giao.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after="120" w:before="12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5.</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hd w:val="clear" w:color="auto" w:fill="ffffff"/>
        </w:rPr>
        <w:t xml:space="preserve">Việc b</w:t>
      </w:r>
      <w:r>
        <w:rPr>
          <w:rFonts w:ascii="Times New Roman" w:hAnsi="Times New Roman" w:eastAsia="Times New Roman" w:cs="Times New Roman"/>
          <w:sz w:val="28"/>
          <w:szCs w:val="28"/>
        </w:rPr>
        <w:t xml:space="preserve">ổ nhiệm, bổ nhiệm lại, miễn nhiệm, cách chức, </w:t>
      </w:r>
      <w:r>
        <w:rPr>
          <w:rFonts w:ascii="Times New Roman" w:hAnsi="Times New Roman" w:eastAsia="Times New Roman" w:cs="Times New Roman"/>
          <w:sz w:val="28"/>
          <w:szCs w:val="28"/>
          <w:shd w:val="clear" w:color="auto" w:fill="ffffff"/>
        </w:rPr>
        <w:t xml:space="preserve">tuyển dụng, sử dụng, nâng bậc lương, chuyển ngạch</w:t>
      </w:r>
      <w:r>
        <w:rPr>
          <w:rFonts w:ascii="Times New Roman" w:hAnsi="Times New Roman" w:eastAsia="Times New Roman" w:cs="Times New Roman"/>
          <w:sz w:val="28"/>
          <w:szCs w:val="28"/>
          <w:shd w:val="clear" w:color="auto" w:fill="ffffff"/>
        </w:rPr>
        <w:t xml:space="preserve">, bổ nhiệm ngạch, thay đổi chức danh nghề nghiệp, điều động, khen thưởng, kỷ luật, nghỉ hưu và thực hiện chế độ, chính sách khác đối với Trưởng phòng và tương đương, Phó Trưởng phòng và tương đương trong các phòng chuyên môn và đơn vị sự nghiệp trực thuộc </w:t>
      </w:r>
      <w:r>
        <w:rPr>
          <w:rFonts w:ascii="Times New Roman" w:hAnsi="Times New Roman" w:eastAsia="Times New Roman" w:cs="Times New Roman"/>
          <w:sz w:val="28"/>
          <w:szCs w:val="28"/>
        </w:rPr>
        <w:t xml:space="preserve">Sở Xây dựng </w:t>
      </w:r>
      <w:r>
        <w:rPr>
          <w:rFonts w:ascii="Times New Roman" w:hAnsi="Times New Roman" w:eastAsia="Times New Roman" w:cs="Times New Roman"/>
          <w:sz w:val="28"/>
          <w:szCs w:val="28"/>
          <w:shd w:val="clear" w:color="auto" w:fill="ffffff"/>
        </w:rPr>
        <w:t xml:space="preserve">đư</w:t>
      </w:r>
      <w:r>
        <w:rPr>
          <w:rFonts w:ascii="Times New Roman" w:hAnsi="Times New Roman" w:eastAsia="Times New Roman" w:cs="Times New Roman"/>
          <w:sz w:val="28"/>
          <w:szCs w:val="28"/>
        </w:rPr>
        <w:t xml:space="preserve">ợc thực hiện theo phân cấp quản lý</w:t>
      </w:r>
      <w:r>
        <w:rPr>
          <w:rFonts w:ascii="Times New Roman" w:hAnsi="Times New Roman" w:eastAsia="Times New Roman" w:cs="Times New Roman"/>
          <w:sz w:val="28"/>
          <w:szCs w:val="28"/>
          <w:shd w:val="clear" w:color="auto" w:fill="ffffff"/>
        </w:rPr>
        <w:t xml:space="preserve"> và theo quy định của pháp luật</w:t>
      </w:r>
      <w:r>
        <w:rPr>
          <w:rFonts w:ascii="Times New Roman" w:hAnsi="Times New Roman" w:eastAsia="Times New Roman" w:cs="Times New Roman"/>
          <w:sz w:val="28"/>
          <w:szCs w:val="28"/>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567"/>
        </w:tabs>
        <w:spacing w:after="120" w:before="120" w:line="240" w:lineRule="auto"/>
        <w:ind w:firstLine="720"/>
        <w:jc w:val="both"/>
        <w:rPr>
          <w:rFonts w:ascii="Times New Roman" w:hAnsi="Times New Roman" w:eastAsia="Times New Roman" w:cs="Times New Roman"/>
          <w:sz w:val="28"/>
          <w:szCs w:val="28"/>
          <w:lang w:val="vi-VN"/>
        </w:rPr>
      </w:pPr>
      <w:r>
        <w:rPr>
          <w:rFonts w:ascii="Times New Roman" w:hAnsi="Times New Roman" w:eastAsia="Times New Roman" w:cs="Times New Roman"/>
          <w:b/>
          <w:bCs/>
          <w:sz w:val="28"/>
          <w:szCs w:val="28"/>
        </w:rPr>
        <w:t xml:space="preserve">6.</w:t>
      </w:r>
      <w:r>
        <w:rPr>
          <w:rFonts w:ascii="Times New Roman" w:hAnsi="Times New Roman" w:eastAsia="Times New Roman" w:cs="Times New Roman"/>
          <w:sz w:val="28"/>
          <w:szCs w:val="28"/>
        </w:rPr>
        <w:t xml:space="preserve"> Việc bố trí công tác đối với công chức, viên chức của Sở phải căn cứ vào vị trí việc làm, tiêu chuẩn chức danh công chức, viên chức, theo phẩm chất, năng lực, sở trường và đảm bảo đúng các quy định của pháp luật.</w:t>
      </w:r>
      <w:r>
        <w:rPr>
          <w:rFonts w:ascii="Times New Roman" w:hAnsi="Times New Roman" w:eastAsia="Times New Roman" w:cs="Times New Roman"/>
          <w:sz w:val="28"/>
          <w:szCs w:val="28"/>
          <w:lang w:val="vi-VN"/>
        </w:rPr>
      </w:r>
      <w:r>
        <w:rPr>
          <w:rFonts w:ascii="Times New Roman" w:hAnsi="Times New Roman" w:eastAsia="Times New Roman" w:cs="Times New Roman"/>
          <w:sz w:val="28"/>
          <w:szCs w:val="28"/>
          <w:lang w:val="vi-VN"/>
        </w:rPr>
      </w:r>
    </w:p>
    <w:p>
      <w:pPr>
        <w:pBdr/>
        <w:tabs>
          <w:tab w:val="left" w:leader="none" w:pos="567"/>
        </w:tabs>
        <w:spacing w:after="120" w:before="120" w:line="24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Điều 4. Biên chế</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tabs>
          <w:tab w:val="left" w:leader="none" w:pos="567"/>
        </w:tabs>
        <w:spacing w:after="120" w:before="120" w:line="240" w:lineRule="auto"/>
        <w:ind w:firstLine="720"/>
        <w:jc w:val="both"/>
        <w:rPr>
          <w:rFonts w:ascii="Times New Roman" w:hAnsi="Times New Roman" w:eastAsia="Times New Roman" w:cs="Times New Roman"/>
          <w:spacing w:val="-2"/>
          <w:sz w:val="28"/>
          <w:szCs w:val="28"/>
        </w:rPr>
      </w:pPr>
      <w:r>
        <w:rPr>
          <w:rFonts w:ascii="Times New Roman" w:hAnsi="Times New Roman" w:eastAsia="Times New Roman" w:cs="Times New Roman"/>
          <w:spacing w:val="-2"/>
          <w:sz w:val="28"/>
          <w:szCs w:val="28"/>
        </w:rPr>
        <w:t xml:space="preserve">1. Biên chế công chức, số lượng người làm việc tron</w:t>
      </w:r>
      <w:r>
        <w:rPr>
          <w:rFonts w:ascii="Times New Roman" w:hAnsi="Times New Roman" w:eastAsia="Times New Roman" w:cs="Times New Roman"/>
          <w:spacing w:val="-2"/>
          <w:sz w:val="28"/>
          <w:szCs w:val="28"/>
        </w:rPr>
        <w:t xml:space="preserve">g đơn vị sự nghiệp công lập trực thuộc Sở được giao trên cơ sở vị trí việc làm, gắn với chức năng, nhiệm vụ, phạm vi hoạt động và nằm trong tổng số biên chế công chức, số lượng người làm việc trong các cơ quan, tổ chức của tỉnh được cấp có thẩm quyền giao.</w:t>
      </w:r>
      <w:r>
        <w:rPr>
          <w:rFonts w:ascii="Times New Roman" w:hAnsi="Times New Roman" w:eastAsia="Times New Roman" w:cs="Times New Roman"/>
          <w:spacing w:val="-2"/>
          <w:sz w:val="28"/>
          <w:szCs w:val="28"/>
        </w:rPr>
      </w:r>
      <w:r>
        <w:rPr>
          <w:rFonts w:ascii="Times New Roman" w:hAnsi="Times New Roman" w:eastAsia="Times New Roman" w:cs="Times New Roman"/>
          <w:spacing w:val="-2"/>
          <w:sz w:val="28"/>
          <w:szCs w:val="28"/>
        </w:rPr>
      </w:r>
    </w:p>
    <w:p>
      <w:pPr>
        <w:pBdr/>
        <w:tabs>
          <w:tab w:val="left" w:leader="none" w:pos="567"/>
        </w:tabs>
        <w:spacing w:after="120" w:before="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2. Căn cứ chức năng, nhiệm vụ, cơ cấu</w:t>
      </w:r>
      <w:r>
        <w:rPr>
          <w:rFonts w:ascii="Times New Roman" w:hAnsi="Times New Roman" w:eastAsia="Times New Roman" w:cs="Times New Roman"/>
          <w:sz w:val="28"/>
          <w:szCs w:val="28"/>
        </w:rPr>
        <w:t xml:space="preserve"> tổ chức và danh mục vị trí việc làm được cấp có thẩm quyền phê duyệt, hàng năm Sở Xây dựng xây dựng kế hoạch biên chế công chức, số lượng người làm việc trình Ủy ban nhân dân tỉnh để trình cấp có thẩm quyền xem xét, quyết định theo quy định của pháp luật.</w:t>
      </w:r>
      <w:bookmarkStart w:id="4" w:name="_GoBack"/>
      <w:r/>
      <w:bookmarkEnd w:id="4"/>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tabs>
          <w:tab w:val="left" w:leader="none" w:pos="567"/>
        </w:tabs>
        <w:spacing w:after="120" w:before="120" w:line="24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Điều 5. Tổ chức thực hiện</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tabs>
          <w:tab w:val="left" w:leader="none" w:pos="567"/>
        </w:tabs>
        <w:spacing w:after="120" w:before="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1. Giám đốc Sở Xây dựng có trách nhiệm ban hành văn bản quy định cụ thể chức năng, nhiệm vụ, quyền hạn, mối quan hệ công tác của các phòng chuyên môn nghiệp vụ thuộc Sở.</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tabs>
          <w:tab w:val="left" w:leader="none" w:pos="567"/>
        </w:tabs>
        <w:spacing w:after="120" w:before="12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2. Trong quá trình thực hiện, Quy định này có thể được sửa đổi, bổ sung cho phù hợp với tình hình thực tế và các chủ trương chính sách của Đảng, pháp luật của Nhà nước, theo đề nghị của Giám đốc Sở Xây dựng và quyết định của Ủy ban nhân dân tỉnh./.</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tabs>
          <w:tab w:val="left" w:leader="none" w:pos="567"/>
        </w:tabs>
        <w:spacing w:after="120" w:before="120" w:line="240" w:lineRule="auto"/>
        <w:ind w:firstLine="720"/>
        <w:jc w:val="both"/>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sectPr>
      <w:headerReference w:type="default" r:id="rId9"/>
      <w:footnotePr/>
      <w:endnotePr/>
      <w:type w:val="nextPage"/>
      <w:pgSz w:h="16838" w:orient="portrait" w:w="11906"/>
      <w:pgMar w:top="1138" w:right="1138" w:bottom="1138" w:left="1699"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
    <w:panose1 w:val="02020603050405020304"/>
  </w:font>
  <w:font w:name="Times New Roman">
    <w:panose1 w:val="02020603050405020304"/>
  </w:font>
  <w:font w:name="TimesNewRomanPS-BoldMT">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41677640"/>
      <w:docPartObj>
        <w:docPartGallery w:val="Page Numbers (Top of Page)"/>
        <w:docPartUnique w:val="true"/>
      </w:docPartObj>
      <w:rPr/>
    </w:sdtPr>
    <w:sdtContent>
      <w:p>
        <w:pPr>
          <w:pStyle w:val="970"/>
          <w:pBdr/>
          <w:spacing/>
          <w:ind/>
          <w:jc w:val="center"/>
          <w:rPr>
            <w:rFonts w:ascii="Times New Roman" w:hAnsi="Times New Roman" w:cs="Times New Roman"/>
            <w:sz w:val="28"/>
          </w:rPr>
        </w:pPr>
        <w:r>
          <w:rPr>
            <w:rFonts w:ascii="Times New Roman" w:hAnsi="Times New Roman" w:cs="Times New Roman"/>
            <w:sz w:val="28"/>
          </w:rPr>
          <w:fldChar w:fldCharType="begin"/>
        </w:r>
        <w:r>
          <w:rPr>
            <w:rFonts w:ascii="Times New Roman" w:hAnsi="Times New Roman" w:cs="Times New Roman"/>
            <w:sz w:val="28"/>
          </w:rPr>
          <w:instrText xml:space="preserve"> PAGE   \* MERGEFORMAT </w:instrText>
        </w:r>
        <w:r>
          <w:rPr>
            <w:rFonts w:ascii="Times New Roman" w:hAnsi="Times New Roman" w:cs="Times New Roman"/>
            <w:sz w:val="28"/>
          </w:rPr>
          <w:fldChar w:fldCharType="separate"/>
        </w:r>
        <w:r>
          <w:rPr>
            <w:rFonts w:ascii="Times New Roman" w:hAnsi="Times New Roman" w:cs="Times New Roman"/>
            <w:sz w:val="28"/>
          </w:rPr>
          <w:t xml:space="preserve">16</w:t>
        </w:r>
        <w:r>
          <w:rPr>
            <w:rFonts w:ascii="Times New Roman" w:hAnsi="Times New Roman" w:cs="Times New Roman"/>
            <w:sz w:val="28"/>
          </w:rPr>
          <w:fldChar w:fldCharType="end"/>
        </w:r>
        <w:r>
          <w:rPr>
            <w:rFonts w:ascii="Times New Roman" w:hAnsi="Times New Roman" w:cs="Times New Roman"/>
            <w:sz w:val="28"/>
          </w:rPr>
        </w:r>
        <w:r>
          <w:rPr>
            <w:rFonts w:ascii="Times New Roman" w:hAnsi="Times New Roman" w:cs="Times New Roman"/>
            <w:sz w:val="28"/>
          </w:rPr>
        </w:r>
      </w:p>
    </w:sdtContent>
  </w:sdt>
  <w:p>
    <w:pPr>
      <w:pStyle w:val="97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pPr>
      <w:rPr>
        <w:rFonts w:hint="default"/>
        <w:b w:val="0"/>
        <w:bCs w:val="0"/>
      </w:rPr>
      <w:start w:val="1"/>
      <w:suff w:val="space"/>
    </w:lvl>
    <w:lvl w:ilvl="1">
      <w:isLgl w:val="false"/>
      <w:lvlJc w:val="left"/>
      <w:lvlText w:val="㶚ʜ㶚ʜ(竰㍀ʜ竰㍀ʜ労섽翻.ʜ"/>
      <w:numFmt w:val="bullet"/>
      <w:pPr>
        <w:pBdr/>
        <w:spacing/>
        <w:ind/>
      </w:pPr>
      <w:rPr/>
      <w:start w:val="0"/>
      <w:suff w:val="tab"/>
    </w:lvl>
    <w:lvl w:ilvl="2">
      <w:isLgl w:val="false"/>
      <w:lvlJc w:val="left"/>
      <w:lvlText w:val="㶚ʜ㶚ʜ(竰㍀ʜ竰㍀ʜ労섽翻.ʜ"/>
      <w:numFmt w:val="bullet"/>
      <w:pPr>
        <w:pBdr/>
        <w:spacing/>
        <w:ind/>
      </w:pPr>
      <w:rPr/>
      <w:start w:val="0"/>
      <w:suff w:val="tab"/>
    </w:lvl>
    <w:lvl w:ilvl="3">
      <w:isLgl w:val="false"/>
      <w:lvlJc w:val="left"/>
      <w:lvlText w:val="㶚ʜ㶚ʜ(竰㍀ʜ竰㍀ʜ労섽翻.ʜ"/>
      <w:numFmt w:val="bullet"/>
      <w:pPr>
        <w:pBdr/>
        <w:spacing/>
        <w:ind/>
      </w:pPr>
      <w:rPr/>
      <w:start w:val="0"/>
      <w:suff w:val="tab"/>
    </w:lvl>
    <w:lvl w:ilvl="4">
      <w:isLgl w:val="false"/>
      <w:lvlJc w:val="left"/>
      <w:lvlText w:val="㶚ʜ㶚ʜ(竰㍀ʜ竰㍀ʜ労섽翻.ʜ"/>
      <w:numFmt w:val="bullet"/>
      <w:pPr>
        <w:pBdr/>
        <w:spacing/>
        <w:ind/>
      </w:pPr>
      <w:rPr/>
      <w:start w:val="0"/>
      <w:suff w:val="tab"/>
    </w:lvl>
    <w:lvl w:ilvl="5">
      <w:isLgl w:val="false"/>
      <w:lvlJc w:val="left"/>
      <w:lvlText w:val="㶚ʜ㶚ʜ(竰㍀ʜ竰㍀ʜ労섽翻.ʜ"/>
      <w:numFmt w:val="bullet"/>
      <w:pPr>
        <w:pBdr/>
        <w:spacing/>
        <w:ind/>
      </w:pPr>
      <w:rPr/>
      <w:start w:val="0"/>
      <w:suff w:val="tab"/>
    </w:lvl>
    <w:lvl w:ilvl="6">
      <w:isLgl w:val="false"/>
      <w:lvlJc w:val="left"/>
      <w:lvlText w:val="㶚ʜ㶚ʜ(竰㍀ʜ竰㍀ʜ労섽翻.ʜ"/>
      <w:numFmt w:val="bullet"/>
      <w:pPr>
        <w:pBdr/>
        <w:spacing/>
        <w:ind/>
      </w:pPr>
      <w:rPr/>
      <w:start w:val="0"/>
      <w:suff w:val="tab"/>
    </w:lvl>
    <w:lvl w:ilvl="7">
      <w:isLgl w:val="false"/>
      <w:lvlJc w:val="left"/>
      <w:lvlText w:val="㶚ʜ㶚ʜ(竰㍀ʜ竰㍀ʜ労섽翻.ʜ"/>
      <w:numFmt w:val="bullet"/>
      <w:pPr>
        <w:pBdr/>
        <w:spacing/>
        <w:ind/>
      </w:pPr>
      <w:rPr/>
      <w:start w:val="0"/>
      <w:suff w:val="tab"/>
    </w:lvl>
    <w:lvl w:ilvl="8">
      <w:isLgl w:val="false"/>
      <w:lvlJc w:val="left"/>
      <w:lvlText w:val="㶚ʜ㶚ʜ(竰㍀ʜ竰㍀ʜ労섽翻.ʜ"/>
      <w:numFmt w:val="bullet"/>
      <w:pPr>
        <w:pBdr/>
        <w:spacing/>
        <w:ind/>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4">
    <w:name w:val="Table Grid Light"/>
    <w:basedOn w:val="81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8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8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8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8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8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8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8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8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8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8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8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8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8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8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8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8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8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8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1"/>
    <w:basedOn w:val="8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2"/>
    <w:basedOn w:val="8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3"/>
    <w:basedOn w:val="8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4"/>
    <w:basedOn w:val="8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5"/>
    <w:basedOn w:val="8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6"/>
    <w:basedOn w:val="8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 Accent 1"/>
    <w:basedOn w:val="8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8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8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8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8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8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 Accent 1"/>
    <w:basedOn w:val="8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8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8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8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8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8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8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 Accent 1"/>
    <w:basedOn w:val="8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8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8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8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8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8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 Accent 1"/>
    <w:basedOn w:val="8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 Accent 1"/>
    <w:basedOn w:val="8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2">
    <w:name w:val="List Table 7 Colorful - Accent 2"/>
    <w:basedOn w:val="8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3">
    <w:name w:val="List Table 7 Colorful - Accent 3"/>
    <w:basedOn w:val="8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4">
    <w:name w:val="List Table 7 Colorful - Accent 4"/>
    <w:basedOn w:val="8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5">
    <w:name w:val="List Table 7 Colorful - Accent 5"/>
    <w:basedOn w:val="8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6">
    <w:name w:val="List Table 7 Colorful - Accent 6"/>
    <w:basedOn w:val="8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807" w:default="1">
    <w:name w:val="Normal"/>
    <w:qFormat/>
    <w:pPr>
      <w:pBdr/>
      <w:spacing/>
      <w:ind/>
    </w:pPr>
  </w:style>
  <w:style w:type="paragraph" w:styleId="808">
    <w:name w:val="Heading 1"/>
    <w:basedOn w:val="807"/>
    <w:next w:val="807"/>
    <w:link w:val="945"/>
    <w:uiPriority w:val="9"/>
    <w:qFormat/>
    <w:pPr>
      <w:keepNext w:val="true"/>
      <w:keepLines w:val="true"/>
      <w:pBdr/>
      <w:spacing w:after="80" w:before="360"/>
      <w:ind/>
      <w:outlineLvl w:val="0"/>
    </w:pPr>
    <w:rPr>
      <w:rFonts w:ascii="Arial" w:hAnsi="Arial" w:eastAsia="Arial" w:cs="Arial"/>
      <w:color w:val="365f91" w:themeColor="accent1" w:themeShade="BF"/>
      <w:sz w:val="40"/>
      <w:szCs w:val="40"/>
    </w:rPr>
  </w:style>
  <w:style w:type="paragraph" w:styleId="809">
    <w:name w:val="Heading 2"/>
    <w:basedOn w:val="807"/>
    <w:next w:val="807"/>
    <w:link w:val="946"/>
    <w:uiPriority w:val="9"/>
    <w:unhideWhenUsed/>
    <w:qFormat/>
    <w:pPr>
      <w:keepNext w:val="true"/>
      <w:keepLines w:val="true"/>
      <w:pBdr/>
      <w:spacing w:after="80" w:before="160"/>
      <w:ind/>
      <w:outlineLvl w:val="1"/>
    </w:pPr>
    <w:rPr>
      <w:rFonts w:ascii="Arial" w:hAnsi="Arial" w:eastAsia="Arial" w:cs="Arial"/>
      <w:color w:val="365f91" w:themeColor="accent1" w:themeShade="BF"/>
      <w:sz w:val="32"/>
      <w:szCs w:val="32"/>
    </w:rPr>
  </w:style>
  <w:style w:type="paragraph" w:styleId="810">
    <w:name w:val="Heading 3"/>
    <w:basedOn w:val="807"/>
    <w:next w:val="807"/>
    <w:link w:val="947"/>
    <w:uiPriority w:val="9"/>
    <w:unhideWhenUsed/>
    <w:qFormat/>
    <w:pPr>
      <w:keepNext w:val="true"/>
      <w:keepLines w:val="true"/>
      <w:pBdr/>
      <w:spacing w:after="80" w:before="160"/>
      <w:ind/>
      <w:outlineLvl w:val="2"/>
    </w:pPr>
    <w:rPr>
      <w:rFonts w:ascii="Arial" w:hAnsi="Arial" w:eastAsia="Arial" w:cs="Arial"/>
      <w:color w:val="365f91" w:themeColor="accent1" w:themeShade="BF"/>
      <w:sz w:val="28"/>
      <w:szCs w:val="28"/>
    </w:rPr>
  </w:style>
  <w:style w:type="paragraph" w:styleId="811">
    <w:name w:val="Heading 4"/>
    <w:basedOn w:val="807"/>
    <w:next w:val="807"/>
    <w:link w:val="948"/>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812">
    <w:name w:val="Heading 5"/>
    <w:basedOn w:val="807"/>
    <w:next w:val="807"/>
    <w:link w:val="949"/>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813">
    <w:name w:val="Heading 6"/>
    <w:basedOn w:val="807"/>
    <w:next w:val="807"/>
    <w:link w:val="9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14">
    <w:name w:val="Heading 7"/>
    <w:basedOn w:val="807"/>
    <w:next w:val="807"/>
    <w:link w:val="9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15">
    <w:name w:val="Heading 8"/>
    <w:basedOn w:val="807"/>
    <w:next w:val="807"/>
    <w:link w:val="9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16">
    <w:name w:val="Heading 9"/>
    <w:basedOn w:val="807"/>
    <w:next w:val="807"/>
    <w:link w:val="9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17" w:default="1">
    <w:name w:val="Default Paragraph Font"/>
    <w:uiPriority w:val="1"/>
    <w:semiHidden/>
    <w:unhideWhenUsed/>
    <w:pPr>
      <w:pBdr/>
      <w:spacing/>
      <w:ind/>
    </w:pPr>
  </w:style>
  <w:style w:type="table" w:styleId="81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9" w:default="1">
    <w:name w:val="No List"/>
    <w:uiPriority w:val="99"/>
    <w:semiHidden/>
    <w:unhideWhenUsed/>
    <w:pPr>
      <w:pBdr/>
      <w:spacing/>
      <w:ind/>
    </w:pPr>
  </w:style>
  <w:style w:type="table" w:styleId="820">
    <w:name w:val="Grid Table Light"/>
    <w:basedOn w:val="81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1"/>
    <w:basedOn w:val="81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2"/>
    <w:basedOn w:val="818"/>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3"/>
    <w:basedOn w:val="81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4"/>
    <w:basedOn w:val="81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5"/>
    <w:basedOn w:val="81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w:basedOn w:val="818"/>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Accent 1"/>
    <w:basedOn w:val="818"/>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Accent 2"/>
    <w:basedOn w:val="818"/>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Accent 3"/>
    <w:basedOn w:val="818"/>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Accent 4"/>
    <w:basedOn w:val="818"/>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Accent 5"/>
    <w:basedOn w:val="818"/>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Accent 6"/>
    <w:basedOn w:val="818"/>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w:basedOn w:val="81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Accent 1"/>
    <w:basedOn w:val="818"/>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Accent 2"/>
    <w:basedOn w:val="818"/>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Accent 3"/>
    <w:basedOn w:val="818"/>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Accent 4"/>
    <w:basedOn w:val="818"/>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Accent 5"/>
    <w:basedOn w:val="818"/>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Accent 6"/>
    <w:basedOn w:val="818"/>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w:basedOn w:val="81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Accent 1"/>
    <w:basedOn w:val="818"/>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Accent 2"/>
    <w:basedOn w:val="818"/>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Accent 3"/>
    <w:basedOn w:val="818"/>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Accent 4"/>
    <w:basedOn w:val="818"/>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Accent 5"/>
    <w:basedOn w:val="818"/>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Accent 6"/>
    <w:basedOn w:val="818"/>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w:basedOn w:val="818"/>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Accent 1"/>
    <w:basedOn w:val="818"/>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Accent 2"/>
    <w:basedOn w:val="818"/>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Accent 3"/>
    <w:basedOn w:val="818"/>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Accent 4"/>
    <w:basedOn w:val="818"/>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Accent 5"/>
    <w:basedOn w:val="818"/>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Accent 6"/>
    <w:basedOn w:val="818"/>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5 Dark- Accent 1"/>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Accent 2"/>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Accent 3"/>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5 Dark- Accent 4"/>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Accent 5"/>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Accent 6"/>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6 Colorful"/>
    <w:basedOn w:val="818"/>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6 Colorful Accent 1"/>
    <w:basedOn w:val="818"/>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6 Colorful Accent 2"/>
    <w:basedOn w:val="818"/>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6 Colorful Accent 3"/>
    <w:basedOn w:val="818"/>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6 Colorful Accent 4"/>
    <w:basedOn w:val="818"/>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6 Colorful Accent 5"/>
    <w:basedOn w:val="818"/>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6 Colorful Accent 6"/>
    <w:basedOn w:val="818"/>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w:basedOn w:val="818"/>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Accent 1"/>
    <w:basedOn w:val="818"/>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Accent 2"/>
    <w:basedOn w:val="818"/>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Accent 3"/>
    <w:basedOn w:val="818"/>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Accent 4"/>
    <w:basedOn w:val="818"/>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Accent 5"/>
    <w:basedOn w:val="818"/>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Accent 6"/>
    <w:basedOn w:val="818"/>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Accent 1"/>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Accent 2"/>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Accent 3"/>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Accent 4"/>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Accent 5"/>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Accent 6"/>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w:basedOn w:val="818"/>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Accent 1"/>
    <w:basedOn w:val="818"/>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Accent 2"/>
    <w:basedOn w:val="818"/>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Accent 3"/>
    <w:basedOn w:val="818"/>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Accent 4"/>
    <w:basedOn w:val="818"/>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Accent 5"/>
    <w:basedOn w:val="818"/>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Accent 6"/>
    <w:basedOn w:val="818"/>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w:basedOn w:val="81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Accent 1"/>
    <w:basedOn w:val="818"/>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Accent 2"/>
    <w:basedOn w:val="818"/>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Accent 3"/>
    <w:basedOn w:val="818"/>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Accent 4"/>
    <w:basedOn w:val="818"/>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Accent 5"/>
    <w:basedOn w:val="818"/>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Accent 6"/>
    <w:basedOn w:val="818"/>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w:basedOn w:val="81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Accent 1"/>
    <w:basedOn w:val="818"/>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Accent 2"/>
    <w:basedOn w:val="818"/>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Accent 3"/>
    <w:basedOn w:val="818"/>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Accent 4"/>
    <w:basedOn w:val="818"/>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Accent 5"/>
    <w:basedOn w:val="818"/>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Accent 6"/>
    <w:basedOn w:val="818"/>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5 Dark"/>
    <w:basedOn w:val="818"/>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5 Dark Accent 1"/>
    <w:basedOn w:val="818"/>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5 Dark Accent 2"/>
    <w:basedOn w:val="818"/>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5 Dark Accent 3"/>
    <w:basedOn w:val="818"/>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5 Dark Accent 4"/>
    <w:basedOn w:val="818"/>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5 Dark Accent 5"/>
    <w:basedOn w:val="818"/>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5 Dark Accent 6"/>
    <w:basedOn w:val="818"/>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w:basedOn w:val="818"/>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Accent 1"/>
    <w:basedOn w:val="818"/>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Accent 2"/>
    <w:basedOn w:val="818"/>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Accent 3"/>
    <w:basedOn w:val="818"/>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Accent 4"/>
    <w:basedOn w:val="818"/>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Accent 5"/>
    <w:basedOn w:val="818"/>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Accent 6"/>
    <w:basedOn w:val="818"/>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7 Colorful"/>
    <w:basedOn w:val="818"/>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7 Colorful Accent 1"/>
    <w:basedOn w:val="818"/>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7 Colorful Accent 2"/>
    <w:basedOn w:val="818"/>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7 Colorful Accent 3"/>
    <w:basedOn w:val="818"/>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7 Colorful Accent 4"/>
    <w:basedOn w:val="818"/>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7 Colorful Accent 5"/>
    <w:basedOn w:val="818"/>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7 Colorful Accent 6"/>
    <w:basedOn w:val="818"/>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ned - Accent"/>
    <w:basedOn w:val="8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ned - Accent 1"/>
    <w:basedOn w:val="8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ned - Accent 2"/>
    <w:basedOn w:val="8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ned - Accent 3"/>
    <w:basedOn w:val="8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ned - Accent 4"/>
    <w:basedOn w:val="8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ned - Accent 5"/>
    <w:basedOn w:val="8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ned - Accent 6"/>
    <w:basedOn w:val="8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amp; Lined - Accent"/>
    <w:basedOn w:val="818"/>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amp; Lined - Accent 1"/>
    <w:basedOn w:val="818"/>
    <w:uiPriority w:val="99"/>
    <w:pPr>
      <w:pBdr/>
      <w:spacing w:after="0" w:line="240" w:lineRule="auto"/>
      <w:ind/>
    </w:pPr>
    <w:rPr>
      <w:color w:val="404040"/>
      <w:sz w:val="2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amp; Lined - Accent 2"/>
    <w:basedOn w:val="818"/>
    <w:uiPriority w:val="99"/>
    <w:pPr>
      <w:pBdr/>
      <w:spacing w:after="0" w:line="240" w:lineRule="auto"/>
      <w:ind/>
    </w:pPr>
    <w:rPr>
      <w:color w:val="404040"/>
      <w:sz w:val="2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amp; Lined - Accent 3"/>
    <w:basedOn w:val="818"/>
    <w:uiPriority w:val="99"/>
    <w:pPr>
      <w:pBdr/>
      <w:spacing w:after="0" w:line="240" w:lineRule="auto"/>
      <w:ind/>
    </w:pPr>
    <w:rPr>
      <w:color w:val="404040"/>
      <w:sz w:val="2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amp; Lined - Accent 4"/>
    <w:basedOn w:val="818"/>
    <w:uiPriority w:val="99"/>
    <w:pPr>
      <w:pBdr/>
      <w:spacing w:after="0" w:line="240" w:lineRule="auto"/>
      <w:ind/>
    </w:pPr>
    <w:rPr>
      <w:color w:val="404040"/>
      <w:sz w:val="2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Bordered &amp; Lined - Accent 5"/>
    <w:basedOn w:val="818"/>
    <w:uiPriority w:val="99"/>
    <w:pPr>
      <w:pBdr/>
      <w:spacing w:after="0" w:line="240" w:lineRule="auto"/>
      <w:ind/>
    </w:pPr>
    <w:rPr>
      <w:color w:val="404040"/>
      <w:sz w:val="2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amp; Lined - Accent 6"/>
    <w:basedOn w:val="818"/>
    <w:uiPriority w:val="99"/>
    <w:pPr>
      <w:pBdr/>
      <w:spacing w:after="0" w:line="240" w:lineRule="auto"/>
      <w:ind/>
    </w:pPr>
    <w:rPr>
      <w:color w:val="404040"/>
      <w:sz w:val="2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Bordered"/>
    <w:basedOn w:val="818"/>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Bordered - Accent 1"/>
    <w:basedOn w:val="818"/>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Bordered - Accent 2"/>
    <w:basedOn w:val="818"/>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Bordered - Accent 3"/>
    <w:basedOn w:val="818"/>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Bordered - Accent 4"/>
    <w:basedOn w:val="818"/>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Bordered - Accent 5"/>
    <w:basedOn w:val="818"/>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Bordered - Accent 6"/>
    <w:basedOn w:val="818"/>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5" w:customStyle="1">
    <w:name w:val="Heading 1 Char"/>
    <w:basedOn w:val="817"/>
    <w:link w:val="808"/>
    <w:uiPriority w:val="9"/>
    <w:pPr>
      <w:pBdr/>
      <w:spacing/>
      <w:ind/>
    </w:pPr>
    <w:rPr>
      <w:rFonts w:ascii="Arial" w:hAnsi="Arial" w:eastAsia="Arial" w:cs="Arial"/>
      <w:color w:val="365f91" w:themeColor="accent1" w:themeShade="BF"/>
      <w:sz w:val="40"/>
      <w:szCs w:val="40"/>
    </w:rPr>
  </w:style>
  <w:style w:type="character" w:styleId="946" w:customStyle="1">
    <w:name w:val="Heading 2 Char"/>
    <w:basedOn w:val="817"/>
    <w:link w:val="809"/>
    <w:uiPriority w:val="9"/>
    <w:pPr>
      <w:pBdr/>
      <w:spacing/>
      <w:ind/>
    </w:pPr>
    <w:rPr>
      <w:rFonts w:ascii="Arial" w:hAnsi="Arial" w:eastAsia="Arial" w:cs="Arial"/>
      <w:color w:val="365f91" w:themeColor="accent1" w:themeShade="BF"/>
      <w:sz w:val="32"/>
      <w:szCs w:val="32"/>
    </w:rPr>
  </w:style>
  <w:style w:type="character" w:styleId="947" w:customStyle="1">
    <w:name w:val="Heading 3 Char"/>
    <w:basedOn w:val="817"/>
    <w:link w:val="810"/>
    <w:uiPriority w:val="9"/>
    <w:pPr>
      <w:pBdr/>
      <w:spacing/>
      <w:ind/>
    </w:pPr>
    <w:rPr>
      <w:rFonts w:ascii="Arial" w:hAnsi="Arial" w:eastAsia="Arial" w:cs="Arial"/>
      <w:color w:val="365f91" w:themeColor="accent1" w:themeShade="BF"/>
      <w:sz w:val="28"/>
      <w:szCs w:val="28"/>
    </w:rPr>
  </w:style>
  <w:style w:type="character" w:styleId="948" w:customStyle="1">
    <w:name w:val="Heading 4 Char"/>
    <w:basedOn w:val="817"/>
    <w:link w:val="811"/>
    <w:uiPriority w:val="9"/>
    <w:pPr>
      <w:pBdr/>
      <w:spacing/>
      <w:ind/>
    </w:pPr>
    <w:rPr>
      <w:rFonts w:ascii="Arial" w:hAnsi="Arial" w:eastAsia="Arial" w:cs="Arial"/>
      <w:i/>
      <w:iCs/>
      <w:color w:val="365f91" w:themeColor="accent1" w:themeShade="BF"/>
    </w:rPr>
  </w:style>
  <w:style w:type="character" w:styleId="949" w:customStyle="1">
    <w:name w:val="Heading 5 Char"/>
    <w:basedOn w:val="817"/>
    <w:link w:val="812"/>
    <w:uiPriority w:val="9"/>
    <w:pPr>
      <w:pBdr/>
      <w:spacing/>
      <w:ind/>
    </w:pPr>
    <w:rPr>
      <w:rFonts w:ascii="Arial" w:hAnsi="Arial" w:eastAsia="Arial" w:cs="Arial"/>
      <w:color w:val="365f91" w:themeColor="accent1" w:themeShade="BF"/>
    </w:rPr>
  </w:style>
  <w:style w:type="character" w:styleId="950" w:customStyle="1">
    <w:name w:val="Heading 6 Char"/>
    <w:basedOn w:val="817"/>
    <w:link w:val="813"/>
    <w:uiPriority w:val="9"/>
    <w:pPr>
      <w:pBdr/>
      <w:spacing/>
      <w:ind/>
    </w:pPr>
    <w:rPr>
      <w:rFonts w:ascii="Arial" w:hAnsi="Arial" w:eastAsia="Arial" w:cs="Arial"/>
      <w:i/>
      <w:iCs/>
      <w:color w:val="595959" w:themeColor="text1" w:themeTint="A6"/>
    </w:rPr>
  </w:style>
  <w:style w:type="character" w:styleId="951" w:customStyle="1">
    <w:name w:val="Heading 7 Char"/>
    <w:basedOn w:val="817"/>
    <w:link w:val="814"/>
    <w:uiPriority w:val="9"/>
    <w:pPr>
      <w:pBdr/>
      <w:spacing/>
      <w:ind/>
    </w:pPr>
    <w:rPr>
      <w:rFonts w:ascii="Arial" w:hAnsi="Arial" w:eastAsia="Arial" w:cs="Arial"/>
      <w:color w:val="595959" w:themeColor="text1" w:themeTint="A6"/>
    </w:rPr>
  </w:style>
  <w:style w:type="character" w:styleId="952" w:customStyle="1">
    <w:name w:val="Heading 8 Char"/>
    <w:basedOn w:val="817"/>
    <w:link w:val="815"/>
    <w:uiPriority w:val="9"/>
    <w:pPr>
      <w:pBdr/>
      <w:spacing/>
      <w:ind/>
    </w:pPr>
    <w:rPr>
      <w:rFonts w:ascii="Arial" w:hAnsi="Arial" w:eastAsia="Arial" w:cs="Arial"/>
      <w:i/>
      <w:iCs/>
      <w:color w:val="272727" w:themeColor="text1" w:themeTint="D8"/>
    </w:rPr>
  </w:style>
  <w:style w:type="character" w:styleId="953" w:customStyle="1">
    <w:name w:val="Heading 9 Char"/>
    <w:basedOn w:val="817"/>
    <w:link w:val="816"/>
    <w:uiPriority w:val="9"/>
    <w:pPr>
      <w:pBdr/>
      <w:spacing/>
      <w:ind/>
    </w:pPr>
    <w:rPr>
      <w:rFonts w:ascii="Arial" w:hAnsi="Arial" w:eastAsia="Arial" w:cs="Arial"/>
      <w:i/>
      <w:iCs/>
      <w:color w:val="272727" w:themeColor="text1" w:themeTint="D8"/>
    </w:rPr>
  </w:style>
  <w:style w:type="paragraph" w:styleId="954">
    <w:name w:val="Title"/>
    <w:basedOn w:val="807"/>
    <w:next w:val="807"/>
    <w:link w:val="955"/>
    <w:uiPriority w:val="10"/>
    <w:qFormat/>
    <w:pPr>
      <w:pBdr/>
      <w:spacing w:after="80" w:line="240" w:lineRule="auto"/>
      <w:ind/>
      <w:contextualSpacing w:val="true"/>
    </w:pPr>
    <w:rPr>
      <w:rFonts w:ascii="Arial" w:hAnsi="Arial" w:eastAsia="Arial" w:cs="Arial"/>
      <w:spacing w:val="-10"/>
      <w:sz w:val="56"/>
      <w:szCs w:val="56"/>
    </w:rPr>
  </w:style>
  <w:style w:type="character" w:styleId="955" w:customStyle="1">
    <w:name w:val="Title Char"/>
    <w:basedOn w:val="817"/>
    <w:link w:val="954"/>
    <w:uiPriority w:val="10"/>
    <w:pPr>
      <w:pBdr/>
      <w:spacing/>
      <w:ind/>
    </w:pPr>
    <w:rPr>
      <w:rFonts w:ascii="Arial" w:hAnsi="Arial" w:eastAsia="Arial" w:cs="Arial"/>
      <w:spacing w:val="-10"/>
      <w:sz w:val="56"/>
      <w:szCs w:val="56"/>
    </w:rPr>
  </w:style>
  <w:style w:type="paragraph" w:styleId="956">
    <w:name w:val="Subtitle"/>
    <w:basedOn w:val="807"/>
    <w:next w:val="807"/>
    <w:link w:val="957"/>
    <w:uiPriority w:val="11"/>
    <w:qFormat/>
    <w:pPr>
      <w:numPr>
        <w:ilvl w:val="1"/>
      </w:numPr>
      <w:pBdr/>
      <w:spacing/>
      <w:ind/>
    </w:pPr>
    <w:rPr>
      <w:color w:val="595959" w:themeColor="text1" w:themeTint="A6"/>
      <w:spacing w:val="15"/>
      <w:sz w:val="28"/>
      <w:szCs w:val="28"/>
    </w:rPr>
  </w:style>
  <w:style w:type="character" w:styleId="957" w:customStyle="1">
    <w:name w:val="Subtitle Char"/>
    <w:basedOn w:val="817"/>
    <w:link w:val="956"/>
    <w:uiPriority w:val="11"/>
    <w:pPr>
      <w:pBdr/>
      <w:spacing/>
      <w:ind/>
    </w:pPr>
    <w:rPr>
      <w:color w:val="595959" w:themeColor="text1" w:themeTint="A6"/>
      <w:spacing w:val="15"/>
      <w:sz w:val="28"/>
      <w:szCs w:val="28"/>
    </w:rPr>
  </w:style>
  <w:style w:type="paragraph" w:styleId="958">
    <w:name w:val="Quote"/>
    <w:basedOn w:val="807"/>
    <w:next w:val="807"/>
    <w:link w:val="959"/>
    <w:uiPriority w:val="29"/>
    <w:qFormat/>
    <w:pPr>
      <w:pBdr/>
      <w:spacing w:before="160"/>
      <w:ind/>
      <w:jc w:val="center"/>
    </w:pPr>
    <w:rPr>
      <w:i/>
      <w:iCs/>
      <w:color w:val="404040" w:themeColor="text1" w:themeTint="BF"/>
    </w:rPr>
  </w:style>
  <w:style w:type="character" w:styleId="959" w:customStyle="1">
    <w:name w:val="Quote Char"/>
    <w:basedOn w:val="817"/>
    <w:link w:val="958"/>
    <w:uiPriority w:val="29"/>
    <w:pPr>
      <w:pBdr/>
      <w:spacing/>
      <w:ind/>
    </w:pPr>
    <w:rPr>
      <w:i/>
      <w:iCs/>
      <w:color w:val="404040" w:themeColor="text1" w:themeTint="BF"/>
    </w:rPr>
  </w:style>
  <w:style w:type="character" w:styleId="960">
    <w:name w:val="Intense Emphasis"/>
    <w:basedOn w:val="817"/>
    <w:uiPriority w:val="21"/>
    <w:qFormat/>
    <w:pPr>
      <w:pBdr/>
      <w:spacing/>
      <w:ind/>
    </w:pPr>
    <w:rPr>
      <w:i/>
      <w:iCs/>
      <w:color w:val="365f91" w:themeColor="accent1" w:themeShade="BF"/>
    </w:rPr>
  </w:style>
  <w:style w:type="paragraph" w:styleId="961">
    <w:name w:val="Intense Quote"/>
    <w:basedOn w:val="807"/>
    <w:next w:val="807"/>
    <w:link w:val="962"/>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62" w:customStyle="1">
    <w:name w:val="Intense Quote Char"/>
    <w:basedOn w:val="817"/>
    <w:link w:val="961"/>
    <w:uiPriority w:val="30"/>
    <w:pPr>
      <w:pBdr/>
      <w:spacing/>
      <w:ind/>
    </w:pPr>
    <w:rPr>
      <w:i/>
      <w:iCs/>
      <w:color w:val="365f91" w:themeColor="accent1" w:themeShade="BF"/>
    </w:rPr>
  </w:style>
  <w:style w:type="character" w:styleId="963">
    <w:name w:val="Intense Reference"/>
    <w:basedOn w:val="817"/>
    <w:uiPriority w:val="32"/>
    <w:qFormat/>
    <w:pPr>
      <w:pBdr/>
      <w:spacing/>
      <w:ind/>
    </w:pPr>
    <w:rPr>
      <w:b/>
      <w:bCs/>
      <w:smallCaps/>
      <w:color w:val="365f91" w:themeColor="accent1" w:themeShade="BF"/>
      <w:spacing w:val="5"/>
    </w:rPr>
  </w:style>
  <w:style w:type="paragraph" w:styleId="964">
    <w:name w:val="No Spacing"/>
    <w:basedOn w:val="807"/>
    <w:uiPriority w:val="1"/>
    <w:qFormat/>
    <w:pPr>
      <w:pBdr/>
      <w:spacing w:after="0" w:line="240" w:lineRule="auto"/>
      <w:ind/>
    </w:pPr>
  </w:style>
  <w:style w:type="character" w:styleId="965">
    <w:name w:val="Subtle Emphasis"/>
    <w:basedOn w:val="817"/>
    <w:uiPriority w:val="19"/>
    <w:qFormat/>
    <w:pPr>
      <w:pBdr/>
      <w:spacing/>
      <w:ind/>
    </w:pPr>
    <w:rPr>
      <w:i/>
      <w:iCs/>
      <w:color w:val="404040" w:themeColor="text1" w:themeTint="BF"/>
    </w:rPr>
  </w:style>
  <w:style w:type="character" w:styleId="966">
    <w:name w:val="Emphasis"/>
    <w:basedOn w:val="817"/>
    <w:uiPriority w:val="20"/>
    <w:qFormat/>
    <w:pPr>
      <w:pBdr/>
      <w:spacing/>
      <w:ind/>
    </w:pPr>
    <w:rPr>
      <w:i/>
      <w:iCs/>
    </w:rPr>
  </w:style>
  <w:style w:type="character" w:styleId="967">
    <w:name w:val="Strong"/>
    <w:basedOn w:val="817"/>
    <w:uiPriority w:val="22"/>
    <w:qFormat/>
    <w:pPr>
      <w:pBdr/>
      <w:spacing/>
      <w:ind/>
    </w:pPr>
    <w:rPr>
      <w:b/>
      <w:bCs/>
    </w:rPr>
  </w:style>
  <w:style w:type="character" w:styleId="968">
    <w:name w:val="Subtle Reference"/>
    <w:basedOn w:val="817"/>
    <w:uiPriority w:val="31"/>
    <w:qFormat/>
    <w:pPr>
      <w:pBdr/>
      <w:spacing/>
      <w:ind/>
    </w:pPr>
    <w:rPr>
      <w:smallCaps/>
      <w:color w:val="5a5a5a" w:themeColor="text1" w:themeTint="A5"/>
    </w:rPr>
  </w:style>
  <w:style w:type="character" w:styleId="969">
    <w:name w:val="Book Title"/>
    <w:basedOn w:val="817"/>
    <w:uiPriority w:val="33"/>
    <w:qFormat/>
    <w:pPr>
      <w:pBdr/>
      <w:spacing/>
      <w:ind/>
    </w:pPr>
    <w:rPr>
      <w:b/>
      <w:bCs/>
      <w:i/>
      <w:iCs/>
      <w:spacing w:val="5"/>
    </w:rPr>
  </w:style>
  <w:style w:type="paragraph" w:styleId="970">
    <w:name w:val="Header"/>
    <w:basedOn w:val="807"/>
    <w:link w:val="971"/>
    <w:uiPriority w:val="99"/>
    <w:unhideWhenUsed/>
    <w:pPr>
      <w:pBdr/>
      <w:tabs>
        <w:tab w:val="center" w:leader="none" w:pos="4844"/>
        <w:tab w:val="right" w:leader="none" w:pos="9689"/>
      </w:tabs>
      <w:spacing w:after="0" w:line="240" w:lineRule="auto"/>
      <w:ind/>
    </w:pPr>
  </w:style>
  <w:style w:type="character" w:styleId="971" w:customStyle="1">
    <w:name w:val="Header Char"/>
    <w:basedOn w:val="817"/>
    <w:link w:val="970"/>
    <w:uiPriority w:val="99"/>
    <w:pPr>
      <w:pBdr/>
      <w:spacing/>
      <w:ind/>
    </w:pPr>
  </w:style>
  <w:style w:type="paragraph" w:styleId="972">
    <w:name w:val="Footer"/>
    <w:basedOn w:val="807"/>
    <w:link w:val="973"/>
    <w:uiPriority w:val="99"/>
    <w:unhideWhenUsed/>
    <w:pPr>
      <w:pBdr/>
      <w:tabs>
        <w:tab w:val="center" w:leader="none" w:pos="4844"/>
        <w:tab w:val="right" w:leader="none" w:pos="9689"/>
      </w:tabs>
      <w:spacing w:after="0" w:line="240" w:lineRule="auto"/>
      <w:ind/>
    </w:pPr>
  </w:style>
  <w:style w:type="character" w:styleId="973" w:customStyle="1">
    <w:name w:val="Footer Char"/>
    <w:basedOn w:val="817"/>
    <w:link w:val="972"/>
    <w:uiPriority w:val="99"/>
    <w:pPr>
      <w:pBdr/>
      <w:spacing/>
      <w:ind/>
    </w:pPr>
  </w:style>
  <w:style w:type="paragraph" w:styleId="974">
    <w:name w:val="Caption"/>
    <w:basedOn w:val="807"/>
    <w:next w:val="807"/>
    <w:uiPriority w:val="35"/>
    <w:unhideWhenUsed/>
    <w:qFormat/>
    <w:pPr>
      <w:pBdr/>
      <w:spacing w:line="240" w:lineRule="auto"/>
      <w:ind/>
    </w:pPr>
    <w:rPr>
      <w:i/>
      <w:iCs/>
      <w:color w:val="1f497d" w:themeColor="text2"/>
      <w:sz w:val="18"/>
      <w:szCs w:val="18"/>
    </w:rPr>
  </w:style>
  <w:style w:type="paragraph" w:styleId="975">
    <w:name w:val="endnote text"/>
    <w:basedOn w:val="807"/>
    <w:link w:val="976"/>
    <w:uiPriority w:val="99"/>
    <w:semiHidden/>
    <w:unhideWhenUsed/>
    <w:pPr>
      <w:pBdr/>
      <w:spacing w:after="0" w:line="240" w:lineRule="auto"/>
      <w:ind/>
    </w:pPr>
    <w:rPr>
      <w:sz w:val="20"/>
      <w:szCs w:val="20"/>
    </w:rPr>
  </w:style>
  <w:style w:type="character" w:styleId="976" w:customStyle="1">
    <w:name w:val="Endnote Text Char"/>
    <w:basedOn w:val="817"/>
    <w:link w:val="975"/>
    <w:uiPriority w:val="99"/>
    <w:semiHidden/>
    <w:pPr>
      <w:pBdr/>
      <w:spacing/>
      <w:ind/>
    </w:pPr>
    <w:rPr>
      <w:sz w:val="20"/>
      <w:szCs w:val="20"/>
    </w:rPr>
  </w:style>
  <w:style w:type="character" w:styleId="977">
    <w:name w:val="endnote reference"/>
    <w:basedOn w:val="817"/>
    <w:uiPriority w:val="99"/>
    <w:semiHidden/>
    <w:unhideWhenUsed/>
    <w:pPr>
      <w:pBdr/>
      <w:spacing/>
      <w:ind/>
    </w:pPr>
    <w:rPr>
      <w:vertAlign w:val="superscript"/>
    </w:rPr>
  </w:style>
  <w:style w:type="character" w:styleId="978">
    <w:name w:val="Hyperlink"/>
    <w:basedOn w:val="817"/>
    <w:uiPriority w:val="99"/>
    <w:unhideWhenUsed/>
    <w:pPr>
      <w:pBdr/>
      <w:spacing/>
      <w:ind/>
    </w:pPr>
    <w:rPr>
      <w:color w:val="0000ff" w:themeColor="hyperlink"/>
      <w:u w:val="single"/>
    </w:rPr>
  </w:style>
  <w:style w:type="character" w:styleId="979">
    <w:name w:val="FollowedHyperlink"/>
    <w:basedOn w:val="817"/>
    <w:uiPriority w:val="99"/>
    <w:semiHidden/>
    <w:unhideWhenUsed/>
    <w:pPr>
      <w:pBdr/>
      <w:spacing/>
      <w:ind/>
    </w:pPr>
    <w:rPr>
      <w:color w:val="800080" w:themeColor="followedHyperlink"/>
      <w:u w:val="single"/>
    </w:rPr>
  </w:style>
  <w:style w:type="paragraph" w:styleId="980">
    <w:name w:val="toc 1"/>
    <w:basedOn w:val="807"/>
    <w:next w:val="807"/>
    <w:uiPriority w:val="39"/>
    <w:unhideWhenUsed/>
    <w:pPr>
      <w:pBdr/>
      <w:spacing w:after="100"/>
      <w:ind/>
    </w:pPr>
  </w:style>
  <w:style w:type="paragraph" w:styleId="981">
    <w:name w:val="toc 2"/>
    <w:basedOn w:val="807"/>
    <w:next w:val="807"/>
    <w:uiPriority w:val="39"/>
    <w:unhideWhenUsed/>
    <w:pPr>
      <w:pBdr/>
      <w:spacing w:after="100"/>
      <w:ind w:left="220"/>
    </w:pPr>
  </w:style>
  <w:style w:type="paragraph" w:styleId="982">
    <w:name w:val="toc 3"/>
    <w:basedOn w:val="807"/>
    <w:next w:val="807"/>
    <w:uiPriority w:val="39"/>
    <w:unhideWhenUsed/>
    <w:pPr>
      <w:pBdr/>
      <w:spacing w:after="100"/>
      <w:ind w:left="440"/>
    </w:pPr>
  </w:style>
  <w:style w:type="paragraph" w:styleId="983">
    <w:name w:val="toc 4"/>
    <w:basedOn w:val="807"/>
    <w:next w:val="807"/>
    <w:uiPriority w:val="39"/>
    <w:unhideWhenUsed/>
    <w:pPr>
      <w:pBdr/>
      <w:spacing w:after="100"/>
      <w:ind w:left="660"/>
    </w:pPr>
  </w:style>
  <w:style w:type="paragraph" w:styleId="984">
    <w:name w:val="toc 5"/>
    <w:basedOn w:val="807"/>
    <w:next w:val="807"/>
    <w:uiPriority w:val="39"/>
    <w:unhideWhenUsed/>
    <w:pPr>
      <w:pBdr/>
      <w:spacing w:after="100"/>
      <w:ind w:left="880"/>
    </w:pPr>
  </w:style>
  <w:style w:type="paragraph" w:styleId="985">
    <w:name w:val="toc 6"/>
    <w:basedOn w:val="807"/>
    <w:next w:val="807"/>
    <w:uiPriority w:val="39"/>
    <w:unhideWhenUsed/>
    <w:pPr>
      <w:pBdr/>
      <w:spacing w:after="100"/>
      <w:ind w:left="1100"/>
    </w:pPr>
  </w:style>
  <w:style w:type="paragraph" w:styleId="986">
    <w:name w:val="toc 7"/>
    <w:basedOn w:val="807"/>
    <w:next w:val="807"/>
    <w:uiPriority w:val="39"/>
    <w:unhideWhenUsed/>
    <w:pPr>
      <w:pBdr/>
      <w:spacing w:after="100"/>
      <w:ind w:left="1320"/>
    </w:pPr>
  </w:style>
  <w:style w:type="paragraph" w:styleId="987">
    <w:name w:val="toc 8"/>
    <w:basedOn w:val="807"/>
    <w:next w:val="807"/>
    <w:uiPriority w:val="39"/>
    <w:unhideWhenUsed/>
    <w:pPr>
      <w:pBdr/>
      <w:spacing w:after="100"/>
      <w:ind w:left="1540"/>
    </w:pPr>
  </w:style>
  <w:style w:type="paragraph" w:styleId="988">
    <w:name w:val="toc 9"/>
    <w:basedOn w:val="807"/>
    <w:next w:val="807"/>
    <w:uiPriority w:val="39"/>
    <w:unhideWhenUsed/>
    <w:pPr>
      <w:pBdr/>
      <w:spacing w:after="100"/>
      <w:ind w:left="1760"/>
    </w:pPr>
  </w:style>
  <w:style w:type="paragraph" w:styleId="989">
    <w:name w:val="TOC Heading"/>
    <w:uiPriority w:val="39"/>
    <w:unhideWhenUsed/>
    <w:pPr>
      <w:pBdr/>
      <w:spacing/>
      <w:ind/>
    </w:pPr>
  </w:style>
  <w:style w:type="paragraph" w:styleId="990">
    <w:name w:val="table of figures"/>
    <w:basedOn w:val="807"/>
    <w:next w:val="807"/>
    <w:uiPriority w:val="99"/>
    <w:unhideWhenUsed/>
    <w:pPr>
      <w:pBdr/>
      <w:spacing w:after="0"/>
      <w:ind/>
    </w:pPr>
  </w:style>
  <w:style w:type="character" w:styleId="991" w:customStyle="1">
    <w:name w:val="fontstyle01"/>
    <w:basedOn w:val="817"/>
    <w:pPr>
      <w:pBdr/>
      <w:spacing/>
      <w:ind/>
    </w:pPr>
    <w:rPr>
      <w:rFonts w:hint="default" w:ascii="TimesNewRomanPS-BoldMT" w:hAnsi="TimesNewRomanPS-BoldMT"/>
      <w:b/>
      <w:bCs/>
      <w:i w:val="0"/>
      <w:iCs w:val="0"/>
      <w:color w:val="000000"/>
      <w:sz w:val="28"/>
      <w:szCs w:val="28"/>
    </w:rPr>
  </w:style>
  <w:style w:type="character" w:styleId="992" w:customStyle="1">
    <w:name w:val="fontstyle21"/>
    <w:basedOn w:val="817"/>
    <w:pPr>
      <w:pBdr/>
      <w:spacing/>
      <w:ind/>
    </w:pPr>
    <w:rPr>
      <w:rFonts w:hint="default" w:ascii="TimesNewRomanPSMT" w:hAnsi="TimesNewRomanPSMT"/>
      <w:b w:val="0"/>
      <w:bCs w:val="0"/>
      <w:i w:val="0"/>
      <w:iCs w:val="0"/>
      <w:color w:val="000000"/>
      <w:sz w:val="28"/>
      <w:szCs w:val="28"/>
    </w:rPr>
  </w:style>
  <w:style w:type="paragraph" w:styleId="993">
    <w:name w:val="Normal (Web)"/>
    <w:basedOn w:val="807"/>
    <w:uiPriority w:val="99"/>
    <w:unhideWhenUsed/>
    <w:pPr>
      <w:pBdr/>
      <w:spacing w:after="100" w:afterAutospacing="1" w:before="100" w:beforeAutospacing="1" w:line="240" w:lineRule="auto"/>
      <w:ind/>
    </w:pPr>
    <w:rPr>
      <w:rFonts w:ascii="Times New Roman" w:hAnsi="Times New Roman" w:eastAsia="Times New Roman" w:cs="Times New Roman"/>
      <w:sz w:val="24"/>
      <w:szCs w:val="24"/>
    </w:rPr>
  </w:style>
  <w:style w:type="table" w:styleId="994">
    <w:name w:val="Table Grid"/>
    <w:basedOn w:val="818"/>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5">
    <w:name w:val="Body Text Indent"/>
    <w:basedOn w:val="807"/>
    <w:link w:val="996"/>
    <w:uiPriority w:val="99"/>
    <w:unhideWhenUsed/>
    <w:qFormat/>
    <w:pPr>
      <w:widowControl w:val="false"/>
      <w:pBdr/>
      <w:spacing w:after="120" w:line="240" w:lineRule="auto"/>
      <w:ind w:left="360"/>
    </w:pPr>
    <w:rPr>
      <w:rFonts w:ascii="Times New Roman" w:hAnsi="Times New Roman" w:eastAsia="Times New Roman" w:cs="Times New Roman"/>
      <w:lang w:val="vi-VN"/>
    </w:rPr>
  </w:style>
  <w:style w:type="character" w:styleId="996" w:customStyle="1">
    <w:name w:val="Body Text Indent Char"/>
    <w:basedOn w:val="817"/>
    <w:link w:val="995"/>
    <w:uiPriority w:val="99"/>
    <w:qFormat/>
    <w:pPr>
      <w:pBdr/>
      <w:spacing/>
      <w:ind/>
    </w:pPr>
    <w:rPr>
      <w:rFonts w:ascii="Times New Roman" w:hAnsi="Times New Roman" w:eastAsia="Times New Roman" w:cs="Times New Roman"/>
      <w:lang w:val="vi-VN"/>
    </w:rPr>
  </w:style>
  <w:style w:type="character" w:styleId="997">
    <w:name w:val="footnote reference"/>
    <w:basedOn w:val="817"/>
    <w:link w:val="998"/>
    <w:unhideWhenUsed/>
    <w:qFormat/>
    <w:pPr>
      <w:pBdr/>
      <w:spacing/>
      <w:ind/>
    </w:pPr>
    <w:rPr>
      <w:vertAlign w:val="superscript"/>
    </w:rPr>
  </w:style>
  <w:style w:type="paragraph" w:styleId="998" w:customStyle="1">
    <w:name w:val="BVI fnr Car Car"/>
    <w:basedOn w:val="807"/>
    <w:link w:val="997"/>
    <w:qFormat/>
    <w:pPr>
      <w:pBdr/>
      <w:spacing w:after="160" w:line="240" w:lineRule="exact"/>
      <w:ind/>
    </w:pPr>
    <w:rPr>
      <w:vertAlign w:val="superscript"/>
    </w:rPr>
  </w:style>
  <w:style w:type="paragraph" w:styleId="999">
    <w:name w:val="footnote text"/>
    <w:basedOn w:val="807"/>
    <w:link w:val="1000"/>
    <w:semiHidden/>
    <w:unhideWhenUsed/>
    <w:qFormat/>
    <w:pPr>
      <w:widowControl w:val="false"/>
      <w:pBdr/>
      <w:spacing w:after="40" w:line="240" w:lineRule="auto"/>
      <w:ind/>
    </w:pPr>
    <w:rPr>
      <w:rFonts w:ascii="Times New Roman" w:hAnsi="Times New Roman" w:eastAsia="Times New Roman" w:cs="Times New Roman"/>
      <w:sz w:val="18"/>
      <w:lang w:val="vi-VN"/>
    </w:rPr>
  </w:style>
  <w:style w:type="character" w:styleId="1000" w:customStyle="1">
    <w:name w:val="Footnote Text Char"/>
    <w:basedOn w:val="817"/>
    <w:link w:val="999"/>
    <w:semiHidden/>
    <w:qFormat/>
    <w:pPr>
      <w:pBdr/>
      <w:spacing/>
      <w:ind/>
    </w:pPr>
    <w:rPr>
      <w:rFonts w:ascii="Times New Roman" w:hAnsi="Times New Roman" w:eastAsia="Times New Roman" w:cs="Times New Roman"/>
      <w:sz w:val="18"/>
      <w:lang w:val="vi-VN"/>
    </w:rPr>
  </w:style>
  <w:style w:type="paragraph" w:styleId="1001">
    <w:name w:val="List Paragraph"/>
    <w:basedOn w:val="807"/>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643169-1608-4CFB-98F0-F5ED9519E7E4}">
  <ds:schemaRefs>
    <ds:schemaRef ds:uri="http://schemas.openxmlformats.org/officeDocument/2006/bibliography"/>
  </ds:schemaRefs>
</ds:datastoreItem>
</file>

<file path=customXml/itemProps2.xml><?xml version="1.0" encoding="utf-8"?>
<ds:datastoreItem xmlns:ds="http://schemas.openxmlformats.org/officeDocument/2006/customXml" ds:itemID="{5FA5FAF9-915C-4349-8EB0-04711AD110E5}"/>
</file>

<file path=customXml/itemProps3.xml><?xml version="1.0" encoding="utf-8"?>
<ds:datastoreItem xmlns:ds="http://schemas.openxmlformats.org/officeDocument/2006/customXml" ds:itemID="{BF0160B6-B8A4-45C6-AFDB-0419C9F8B211}"/>
</file>

<file path=customXml/itemProps4.xml><?xml version="1.0" encoding="utf-8"?>
<ds:datastoreItem xmlns:ds="http://schemas.openxmlformats.org/officeDocument/2006/customXml" ds:itemID="{5472CB62-373D-4932-9756-42B9F169B18A}"/>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 10</dc:creator>
  <cp:lastModifiedBy>Lưu Hương xuân</cp:lastModifiedBy>
  <cp:revision>89</cp:revision>
  <dcterms:created xsi:type="dcterms:W3CDTF">2025-06-14T02:46:00Z</dcterms:created>
  <dcterms:modified xsi:type="dcterms:W3CDTF">2025-07-04T02:32:36Z</dcterms:modified>
</cp:coreProperties>
</file>