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456" w:type="pct"/>
        <w:tblInd w:w="-284" w:type="dxa"/>
        <w:tblLook w:val="04A0" w:firstRow="1" w:lastRow="0" w:firstColumn="1" w:lastColumn="0" w:noHBand="0" w:noVBand="1"/>
      </w:tblPr>
      <w:tblGrid>
        <w:gridCol w:w="3943"/>
        <w:gridCol w:w="6192"/>
      </w:tblGrid>
      <w:tr w:rsidR="00F45B67" w:rsidRPr="002850DB" w:rsidTr="001501FA">
        <w:trPr>
          <w:trHeight w:val="2552"/>
        </w:trPr>
        <w:tc>
          <w:tcPr>
            <w:tcW w:w="1945" w:type="pct"/>
            <w:hideMark/>
          </w:tcPr>
          <w:p w:rsidR="00F45B67" w:rsidRDefault="00F45B67" w:rsidP="00F45B67">
            <w:pPr>
              <w:spacing w:before="100" w:beforeAutospacing="1" w:after="100" w:afterAutospacing="1" w:line="240" w:lineRule="auto"/>
              <w:jc w:val="center"/>
              <w:rPr>
                <w:rFonts w:eastAsia="Times New Roman" w:cs="Times New Roman"/>
                <w:b/>
                <w:bCs/>
                <w:sz w:val="24"/>
                <w:szCs w:val="24"/>
              </w:rPr>
            </w:pPr>
            <w:bookmarkStart w:id="0" w:name="_GoBack"/>
            <w:bookmarkEnd w:id="0"/>
            <w:r w:rsidRPr="00F45B67">
              <w:rPr>
                <w:rFonts w:eastAsia="Times New Roman" w:cs="Times New Roman"/>
                <w:b/>
                <w:bCs/>
                <w:sz w:val="24"/>
                <w:szCs w:val="24"/>
              </w:rPr>
              <w:t>HỘI ĐỒNG NHÂN DÂN</w:t>
            </w:r>
            <w:r w:rsidRPr="00F45B67">
              <w:rPr>
                <w:rFonts w:eastAsia="Times New Roman" w:cs="Times New Roman"/>
                <w:b/>
                <w:bCs/>
                <w:sz w:val="24"/>
                <w:szCs w:val="24"/>
              </w:rPr>
              <w:br/>
              <w:t>TỈNH BÌNH ĐỊNH</w:t>
            </w:r>
          </w:p>
          <w:p w:rsidR="00F45B67" w:rsidRPr="00C659C6" w:rsidRDefault="00F45B67" w:rsidP="00F45B67">
            <w:pPr>
              <w:spacing w:before="100" w:beforeAutospacing="1" w:after="100" w:afterAutospacing="1" w:line="240" w:lineRule="auto"/>
              <w:rPr>
                <w:sz w:val="26"/>
                <w:szCs w:val="26"/>
              </w:rPr>
            </w:pPr>
            <w:r w:rsidRPr="00F45B67">
              <w:rPr>
                <w:rFonts w:eastAsia="Times New Roman" w:cs="Times New Roman"/>
                <w:sz w:val="24"/>
                <w:szCs w:val="24"/>
              </w:rPr>
              <w:t>          Số: 20/2023/NQ-HĐND</w:t>
            </w:r>
          </w:p>
        </w:tc>
        <w:tc>
          <w:tcPr>
            <w:tcW w:w="3055" w:type="pct"/>
            <w:hideMark/>
          </w:tcPr>
          <w:p w:rsidR="00F45B67" w:rsidRPr="002850DB" w:rsidRDefault="00F45B67" w:rsidP="00F45B67">
            <w:pPr>
              <w:widowControl w:val="0"/>
              <w:spacing w:after="0" w:line="240" w:lineRule="auto"/>
              <w:ind w:left="142" w:right="-91"/>
              <w:jc w:val="center"/>
              <w:rPr>
                <w:b/>
                <w:sz w:val="26"/>
                <w:szCs w:val="26"/>
              </w:rPr>
            </w:pPr>
            <w:r w:rsidRPr="002850DB">
              <w:rPr>
                <w:b/>
                <w:sz w:val="26"/>
                <w:szCs w:val="26"/>
              </w:rPr>
              <w:t>CỘNG HÒA XÃ HỘI CHỦ NGHĨA VIỆT NAM</w:t>
            </w:r>
          </w:p>
          <w:p w:rsidR="00F45B67" w:rsidRPr="002850DB" w:rsidRDefault="00F45B67" w:rsidP="00F45B67">
            <w:pPr>
              <w:widowControl w:val="0"/>
              <w:spacing w:after="0" w:line="240" w:lineRule="auto"/>
              <w:ind w:left="142" w:right="-91"/>
              <w:jc w:val="center"/>
              <w:rPr>
                <w:b/>
                <w:szCs w:val="28"/>
              </w:rPr>
            </w:pPr>
            <w:r w:rsidRPr="002850DB">
              <w:rPr>
                <w:b/>
                <w:szCs w:val="28"/>
              </w:rPr>
              <w:t>Độc lập - Tự do - Hạnh phúc</w:t>
            </w:r>
          </w:p>
          <w:p w:rsidR="00F45B67" w:rsidRPr="002850DB" w:rsidRDefault="00F45B67" w:rsidP="00F45B67">
            <w:pPr>
              <w:spacing w:before="100" w:beforeAutospacing="1" w:after="100" w:afterAutospacing="1" w:line="240" w:lineRule="auto"/>
              <w:jc w:val="center"/>
              <w:rPr>
                <w:b/>
                <w:szCs w:val="28"/>
              </w:rPr>
            </w:pPr>
            <w:r w:rsidRPr="00F45B67">
              <w:rPr>
                <w:rFonts w:eastAsia="Times New Roman" w:cs="Times New Roman"/>
                <w:sz w:val="24"/>
                <w:szCs w:val="24"/>
              </w:rPr>
              <w:t>Bình Định, ngày 14 tháng 7 năm 2023</w:t>
            </w:r>
          </w:p>
        </w:tc>
      </w:tr>
    </w:tbl>
    <w:p w:rsidR="00F45B67" w:rsidRPr="00F45B67" w:rsidRDefault="00F45B67" w:rsidP="00F45B67">
      <w:pPr>
        <w:spacing w:before="100" w:beforeAutospacing="1" w:after="100" w:afterAutospacing="1" w:line="240" w:lineRule="auto"/>
        <w:jc w:val="center"/>
        <w:rPr>
          <w:rFonts w:eastAsia="Times New Roman" w:cs="Times New Roman"/>
          <w:sz w:val="24"/>
          <w:szCs w:val="24"/>
        </w:rPr>
      </w:pPr>
      <w:r w:rsidRPr="00F45B67">
        <w:rPr>
          <w:rFonts w:eastAsia="Times New Roman" w:cs="Times New Roman"/>
          <w:b/>
          <w:bCs/>
          <w:sz w:val="24"/>
          <w:szCs w:val="24"/>
        </w:rPr>
        <w:t>NGHỊ QUYẾT</w:t>
      </w:r>
      <w:r w:rsidRPr="00F45B67">
        <w:rPr>
          <w:rFonts w:eastAsia="Times New Roman" w:cs="Times New Roman"/>
          <w:b/>
          <w:bCs/>
          <w:sz w:val="24"/>
          <w:szCs w:val="24"/>
        </w:rPr>
        <w:br/>
        <w:t>Quy định một số chính sách đối với huấn luyện viên, vận động viên thể thao tỉnh Bình Định đạt thành tích xuất sắc tại các giải thể thao trong nước và quốc tế</w:t>
      </w:r>
    </w:p>
    <w:p w:rsidR="00F45B67" w:rsidRPr="00F45B67" w:rsidRDefault="00F45B67" w:rsidP="00F45B67">
      <w:pPr>
        <w:spacing w:before="100" w:beforeAutospacing="1" w:after="100" w:afterAutospacing="1" w:line="240" w:lineRule="auto"/>
        <w:jc w:val="center"/>
        <w:rPr>
          <w:rFonts w:eastAsia="Times New Roman" w:cs="Times New Roman"/>
          <w:sz w:val="24"/>
          <w:szCs w:val="24"/>
        </w:rPr>
      </w:pPr>
      <w:r w:rsidRPr="00F45B67">
        <w:rPr>
          <w:rFonts w:eastAsia="Times New Roman" w:cs="Times New Roman"/>
          <w:b/>
          <w:bCs/>
          <w:sz w:val="24"/>
          <w:szCs w:val="24"/>
        </w:rPr>
        <w:t>HỘI ĐỒNG NHÂN DÂN TỈNH BÌNH ĐỊNH</w:t>
      </w:r>
      <w:r w:rsidRPr="00F45B67">
        <w:rPr>
          <w:rFonts w:eastAsia="Times New Roman" w:cs="Times New Roman"/>
          <w:b/>
          <w:bCs/>
          <w:sz w:val="24"/>
          <w:szCs w:val="24"/>
        </w:rPr>
        <w:br/>
        <w:t>KHÓA XIII KỲ HỌP THỨ 11</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Căn cứ Luật Ban hành văn bản quy phạm pháp luật ngày 22 tháng 6 năm 2015; Luật Sửa đổi, bổ sung một số điều của Luật ban hành văn bản quy phạm pháp luật ngày 18 tháng 6 năm 2020;</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Căn cứ Luật Thể dục, thể thao ngày 29 tháng 11 năm 2006; Luật Sửa đổi, bổ sung một số điều của Luật Thể dục, thể thao ngày 14 tháng 6 năm 2018;</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Căn cứ Luật Ngân sách nhà nước ngày 25 tháng 6 năm 2015;</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Căn cứ Nghị định số 112/2007/NĐ-CP ngày 26 tháng 6 năm 2007 của Chính phủ quy định chi tiết và hướng dẫn thi hành một số điều của Luật Thể dục, thể thao;</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Căn cứ Nghị định số 36/2019/NĐ-CP ngày 29 tháng 4 năm 2019 của Chính phủ quy định chi tiết một số điều của Luật sửa đổi, bổ sung một số điều của Luật Thể dục, thể thao;</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Căn cứ Nghị định số 163/2016/NĐ-CP ngày 21 tháng 12 năm 2016 của Chính phủ quy định chi tiết và hướng dẫn thi hành Luật Ngân sách nhà nước;</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Căn cứ Thông tư số 06/2021/TT-BVHTTDL ngày 22 tháng 7 năm 2021 của Bộ trưởng Bộ Văn hóa, Thể thao và Du lịch Quy định tiêu chuẩn phong đẳng cấp vận động viên thể thao thành tích cao;</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 xml:space="preserve">Xét Tờ trình số 103/TTr-UBND ngày 12 tháng 6 năm 2023 của Ủy ban nhân dân tỉnh về Quy định một số chính sách đối với huấn luyện viên, vận động viên thể thao tỉnh Bình Định đạt thành tích xuất sắc tại các giải thể thao trong nước và </w:t>
      </w:r>
      <w:r w:rsidRPr="00073B9F">
        <w:rPr>
          <w:rFonts w:eastAsia="Times New Roman" w:cs="Times New Roman"/>
          <w:i/>
          <w:iCs/>
          <w:szCs w:val="28"/>
        </w:rPr>
        <w:lastRenderedPageBreak/>
        <w:t>quốc tế; Báo cáo thẩm tra số 39/VHXH ngày 07 tháng 7 năm 2023 của Ban Văn hóa - Xã hội Hội đồng nhân dân tỉnh; ý kiến thảo luận của đại biểu Hội đồng nhân dân tỉnh tại kỳ họp.</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QUYẾT NGHỊ:</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 xml:space="preserve">Điều 1. </w:t>
      </w:r>
      <w:r w:rsidRPr="00F45B67">
        <w:rPr>
          <w:rFonts w:eastAsia="Times New Roman" w:cs="Times New Roman"/>
          <w:szCs w:val="28"/>
        </w:rPr>
        <w:t>Nhất trí thông qua Nghị quyết Quy định một số chính sách đối với huấn luyện viên, vận động viên thể thao tỉnh Bình Định đạt thành tích xuất sắc tại các giải thể thao trong nước và quốc tế như sau:</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1. Phạm vi điều chỉnh</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Nghị quyết này Quy định chính sách đãi ngộ, hỗ trợ đối với huấn luyện viên, vận động viên thể thao tỉnh đạt thành tích xuất sắc tại các giải thể thao trong nước và quốc tế.</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2. Đối tượng áp dụng</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Huấn luyện viên, vận động viên thể thao thành tích cao tập trung huấn luyện, tập luyện, tập huấn và tham gia thi đấu tại các đội tuyển:</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a) Đội tuyển sinh.</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b) Đội tuyển Trẻ tỉnh.</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c) Đội tuyển Năng khiếu tỉnh.</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3. Nội dung và mức chi</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a) Huấn luyện viên, vận động viên quy định tại khoản 2 Điều 1 Nghị quyết này sau khi lập thành tích xuất sắc tại Đại hội Thể thao, giải thể thao trong hệ thống thi đấu quốc gia, khu vực, châu lục, thế giới được hưởng chính sách đãi ngộ như sau:</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i/>
          <w:iCs/>
          <w:szCs w:val="28"/>
        </w:rPr>
        <w:t>ĐVT: triệu đồng/người/tháng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2"/>
        <w:gridCol w:w="3095"/>
        <w:gridCol w:w="917"/>
        <w:gridCol w:w="966"/>
        <w:gridCol w:w="1189"/>
        <w:gridCol w:w="2153"/>
      </w:tblGrid>
      <w:tr w:rsidR="00F45B67" w:rsidRPr="00F45B67" w:rsidTr="00F45B67">
        <w:trPr>
          <w:trHeight w:val="786"/>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240" w:line="240" w:lineRule="auto"/>
              <w:jc w:val="both"/>
              <w:rPr>
                <w:rFonts w:eastAsia="Times New Roman" w:cs="Times New Roman"/>
                <w:szCs w:val="28"/>
              </w:rPr>
            </w:pPr>
            <w:r w:rsidRPr="00073B9F">
              <w:rPr>
                <w:rFonts w:eastAsia="Times New Roman" w:cs="Times New Roman"/>
                <w:b/>
                <w:bCs/>
                <w:szCs w:val="28"/>
              </w:rPr>
              <w:t>TT</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240" w:line="240" w:lineRule="auto"/>
              <w:jc w:val="both"/>
              <w:rPr>
                <w:rFonts w:eastAsia="Times New Roman" w:cs="Times New Roman"/>
                <w:szCs w:val="28"/>
              </w:rPr>
            </w:pPr>
            <w:r w:rsidRPr="00073B9F">
              <w:rPr>
                <w:rFonts w:eastAsia="Times New Roman" w:cs="Times New Roman"/>
                <w:b/>
                <w:bCs/>
                <w:szCs w:val="28"/>
              </w:rPr>
              <w:t>Tên Giải</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073B9F">
              <w:rPr>
                <w:rFonts w:eastAsia="Times New Roman" w:cs="Times New Roman"/>
                <w:b/>
                <w:bCs/>
                <w:szCs w:val="28"/>
              </w:rPr>
              <w:t>Thành tích/mức/tháng</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240" w:line="240" w:lineRule="auto"/>
              <w:jc w:val="both"/>
              <w:rPr>
                <w:rFonts w:eastAsia="Times New Roman" w:cs="Times New Roman"/>
                <w:szCs w:val="28"/>
              </w:rPr>
            </w:pPr>
            <w:r w:rsidRPr="00073B9F">
              <w:rPr>
                <w:rFonts w:eastAsia="Times New Roman" w:cs="Times New Roman"/>
                <w:b/>
                <w:bCs/>
                <w:szCs w:val="28"/>
              </w:rPr>
              <w:t>Thời gian hỗ trợ (tháng)</w:t>
            </w:r>
          </w:p>
        </w:tc>
      </w:tr>
      <w:tr w:rsidR="00F45B67" w:rsidRPr="00F45B67" w:rsidTr="00F45B67">
        <w:trPr>
          <w:trHeight w:val="681"/>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073B9F">
              <w:rPr>
                <w:rFonts w:eastAsia="Times New Roman" w:cs="Times New Roman"/>
                <w:b/>
                <w:bCs/>
                <w:szCs w:val="28"/>
              </w:rPr>
              <w:t>HCV</w:t>
            </w:r>
          </w:p>
        </w:tc>
        <w:tc>
          <w:tcPr>
            <w:tcW w:w="0" w:type="auto"/>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073B9F">
              <w:rPr>
                <w:rFonts w:eastAsia="Times New Roman" w:cs="Times New Roman"/>
                <w:b/>
                <w:bCs/>
                <w:szCs w:val="28"/>
              </w:rPr>
              <w:t>HCB</w:t>
            </w:r>
          </w:p>
        </w:tc>
        <w:tc>
          <w:tcPr>
            <w:tcW w:w="0" w:type="auto"/>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073B9F">
              <w:rPr>
                <w:rFonts w:eastAsia="Times New Roman" w:cs="Times New Roman"/>
                <w:b/>
                <w:bCs/>
                <w:szCs w:val="28"/>
              </w:rPr>
              <w:t>HCĐ</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p>
        </w:tc>
      </w:tr>
      <w:tr w:rsidR="00F45B67" w:rsidRPr="00F45B67" w:rsidTr="00F45B67">
        <w:trPr>
          <w:trHeight w:val="315"/>
        </w:trPr>
        <w:tc>
          <w:tcPr>
            <w:tcW w:w="960" w:type="dxa"/>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w:t>
            </w:r>
          </w:p>
        </w:tc>
        <w:tc>
          <w:tcPr>
            <w:tcW w:w="3520" w:type="dxa"/>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Đại hội Thể thao Châu Á</w:t>
            </w:r>
          </w:p>
        </w:tc>
        <w:tc>
          <w:tcPr>
            <w:tcW w:w="1040" w:type="dxa"/>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8</w:t>
            </w:r>
          </w:p>
        </w:tc>
        <w:tc>
          <w:tcPr>
            <w:tcW w:w="1120" w:type="dxa"/>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w:t>
            </w:r>
          </w:p>
        </w:tc>
        <w:tc>
          <w:tcPr>
            <w:tcW w:w="1440" w:type="dxa"/>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w:t>
            </w:r>
          </w:p>
        </w:tc>
        <w:tc>
          <w:tcPr>
            <w:tcW w:w="2740" w:type="dxa"/>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48</w:t>
            </w:r>
          </w:p>
        </w:tc>
      </w:tr>
      <w:tr w:rsidR="00F45B67" w:rsidRPr="00F45B67" w:rsidTr="00F45B67">
        <w:trPr>
          <w:trHeight w:val="315"/>
        </w:trPr>
        <w:tc>
          <w:tcPr>
            <w:tcW w:w="960" w:type="dxa"/>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Đại hội Thể thao Đông Nam Á</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24</w:t>
            </w:r>
          </w:p>
        </w:tc>
      </w:tr>
      <w:tr w:rsidR="00F45B67" w:rsidRPr="00F45B67" w:rsidTr="00F45B67">
        <w:trPr>
          <w:trHeight w:val="315"/>
        </w:trPr>
        <w:tc>
          <w:tcPr>
            <w:tcW w:w="960" w:type="dxa"/>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3</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Đại hội Thể thao toàn quốc</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15</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48</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xml:space="preserve">Giải Vô địch Thế giới từng </w:t>
            </w:r>
            <w:r w:rsidRPr="00F45B67">
              <w:rPr>
                <w:rFonts w:eastAsia="Times New Roman" w:cs="Times New Roman"/>
                <w:szCs w:val="28"/>
              </w:rPr>
              <w:lastRenderedPageBreak/>
              <w:t>môn</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lastRenderedPageBreak/>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lastRenderedPageBreak/>
              <w:t>4.1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14</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9</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3</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25</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4.3</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III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15</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5</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Giải Vô địch Châu Á từng môn</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5.1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3</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25</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5.2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15</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5.3</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III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3</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Giải Vô địch Đông Nam Á từng môn</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 </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4</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3</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2</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6.3</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Nhóm III</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1,5</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0,8</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r w:rsidR="00F45B67" w:rsidRPr="00F45B67" w:rsidTr="00F45B67">
        <w:trPr>
          <w:trHeight w:val="315"/>
        </w:trPr>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7</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Giải Vô địch quốc gia</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0,8</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0,8</w:t>
            </w:r>
          </w:p>
        </w:tc>
        <w:tc>
          <w:tcPr>
            <w:tcW w:w="0" w:type="auto"/>
            <w:tcBorders>
              <w:top w:val="nil"/>
              <w:left w:val="outset" w:sz="6" w:space="0" w:color="auto"/>
              <w:bottom w:val="outset" w:sz="6" w:space="0" w:color="auto"/>
              <w:right w:val="outset" w:sz="6" w:space="0" w:color="auto"/>
            </w:tcBorders>
            <w:vAlign w:val="center"/>
            <w:hideMark/>
          </w:tcPr>
          <w:p w:rsidR="00F45B67" w:rsidRPr="00F45B67" w:rsidRDefault="00F45B67" w:rsidP="00073B9F">
            <w:pPr>
              <w:spacing w:after="0" w:line="240" w:lineRule="auto"/>
              <w:jc w:val="both"/>
              <w:rPr>
                <w:rFonts w:eastAsia="Times New Roman" w:cs="Times New Roman"/>
                <w:szCs w:val="28"/>
              </w:rPr>
            </w:pPr>
            <w:r w:rsidRPr="00F45B67">
              <w:rPr>
                <w:rFonts w:eastAsia="Times New Roman" w:cs="Times New Roman"/>
                <w:szCs w:val="28"/>
              </w:rPr>
              <w:t>12</w:t>
            </w:r>
          </w:p>
        </w:tc>
      </w:tr>
    </w:tbl>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b) Vận động viên quy định tại khoản 2 Điều 1 Nghị quyết này khi đạt đẳng cấp trong hệ thống thi đấu các giải thể thao được hưởng chính sách hỗ trợ trong thời gian 12 tháng, mức hỗ trợ cụ thể như sau:</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Vận động viên Kiện tướng:</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2.000.000 đồng/tháng/người.</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Vận động viên Cấp 1:</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1.000.000 đồng/tháng/người.</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c) Huấn luyện viên, vận động viên lập nhiều thành tích thì chỉ được hưởng một mức đãi ngộ cao nhất theo quy định tại điểm a, khoản 3, Điều 1 Nghị quyết này. Thành tích của năm trước được bắt đầu tính hưởng từ tháng 01 năm sau. Trong thời gian hưởng chế độ đãi ngộ, nếu huấn luyện viên, vận động viên đạt thêm nhiều thành tích mới thì sẽ được xét duyệt hưởng chế độ đãi ngộ với thành tích cao nhất. Trường hợp khi huấn luyện viên, vận động viên hết thời gian hưởng chế độ đãi ngộ cao nhất nếu còn thời gian được hưởng chế độ đãi ngộ cho việc đạt thành tích tại các giải khác, thì huấn luyện viên, vận động viên tiếp tục được hưởng chế độ đối với giải khác theo nguyên tắc chọn thành tích cao nhất như trên.</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d) Huấn luyện viên, vận động viên không còn phục vụ cho ngành thể thao tỉnh Bình Định sẽ thôi hưởng chính sách đãi ngộ và hỗ trợ theo quy định tại khoản 3 Điều 1 Nghị quyết này (trừ trường hợp vận động viên nghỉ thi đấu do chấn thương khi thực hiện nhiệm vụ).</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lastRenderedPageBreak/>
        <w:t>e) Mức đãi ngộ đối với huấn luyện viên, vận động viên sau khi lập thành tích xuất sắc tại Đại hội Thể thao, giải thể thao trong hệ thống thi đấu quốc gia, khu vực, châu lục, thế giới theo điểm a khoản 3 Điều 1 Nghị quyết này chỉ áp dụng cho huấn luyện viên, vận động viên thi đấu nội dung cá nhân.</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g) Đối với thi đấu nội dung từ 02 người trở lên, môn thi đấu tập thể thì mỗi huấn luyện viên, vận động viên được hưởng 50% mức hưởng của nội dung cá nhân. Số lượng vận động viên được tính theo quy định điều lệ giải và quyết định của cấp có thẩm quyền cử tham gia thi đấu.</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4. Nguồn kinh phí thực hiện</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Nguồn kinh phí thực hiện chính sách đối với huấn luyện viên, vận động viên thể thao tỉnh Bình Định đạt thành tích xuất sắc tại các giải thể thao trong nước và quốc tế quy định tại Nghị quyết này được bảo đảm chi từ nguồn ngân sách tỉnh và các nguồn kinh phí hợp pháp khác theo quy định của pháp luật.</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5.</w:t>
      </w:r>
      <w:r w:rsidRPr="00F45B67">
        <w:rPr>
          <w:rFonts w:eastAsia="Times New Roman" w:cs="Times New Roman"/>
          <w:szCs w:val="28"/>
        </w:rPr>
        <w:t xml:space="preserve"> Huấn luyện viên, vận động viên thể thao tỉnh Bình Định đã đạt thành tích xuất sắc tại các giải thể thao trong nước và quốc tế trong năm 2023 trước ngày Nghị quyết này có hiệu lực thi hành thì vẫn được hưởng chế độ đãi ngộ quy định tại khoản 3 Điều 1 Nghị quyết này.</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 xml:space="preserve">Điều 2. </w:t>
      </w:r>
      <w:r w:rsidRPr="00F45B67">
        <w:rPr>
          <w:rFonts w:eastAsia="Times New Roman" w:cs="Times New Roman"/>
          <w:szCs w:val="28"/>
        </w:rPr>
        <w:t>Ủy ban nhân dân tỉnh có trách nhiệm tổ chức triển khai thực hiện theo Nghị quyết.</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073B9F">
        <w:rPr>
          <w:rFonts w:eastAsia="Times New Roman" w:cs="Times New Roman"/>
          <w:b/>
          <w:bCs/>
          <w:szCs w:val="28"/>
        </w:rPr>
        <w:t xml:space="preserve">Điều 3. </w:t>
      </w:r>
      <w:r w:rsidRPr="00F45B67">
        <w:rPr>
          <w:rFonts w:eastAsia="Times New Roman" w:cs="Times New Roman"/>
          <w:szCs w:val="28"/>
        </w:rPr>
        <w:t>Thường trực Hội đồng nhân dân tỉnh, các Ban của Hội đồng nhân dân tỉnh, các Tổ đại biểu Hội đồng nhân dân tỉnh và đại biểu Hội đồng nhân dân tỉnh có trách nhiệm kiểm tra, giám sát việc thực hiện Nghị quyết.</w:t>
      </w:r>
    </w:p>
    <w:p w:rsidR="00F45B67" w:rsidRPr="00F45B67" w:rsidRDefault="00F45B67" w:rsidP="00073B9F">
      <w:pPr>
        <w:spacing w:before="100" w:beforeAutospacing="1" w:after="100" w:afterAutospacing="1" w:line="240" w:lineRule="auto"/>
        <w:jc w:val="both"/>
        <w:rPr>
          <w:rFonts w:eastAsia="Times New Roman" w:cs="Times New Roman"/>
          <w:szCs w:val="28"/>
        </w:rPr>
      </w:pPr>
      <w:r w:rsidRPr="00F45B67">
        <w:rPr>
          <w:rFonts w:eastAsia="Times New Roman" w:cs="Times New Roman"/>
          <w:szCs w:val="28"/>
        </w:rPr>
        <w:t>Nghị quyết này được Hội đồng nhân dân tỉnh Bình Định Khóa XIII Kỳ họp thứ 11 thông qua ngày 14 tháng 7 năm 2023 và có hiệu lực từ ngày 24 tháng 7 năm 2023.</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965"/>
        <w:gridCol w:w="2137"/>
      </w:tblGrid>
      <w:tr w:rsidR="00F45B67" w:rsidRPr="00F45B67" w:rsidTr="00F45B67">
        <w:tc>
          <w:tcPr>
            <w:tcW w:w="0" w:type="auto"/>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F45B67">
            <w:pPr>
              <w:spacing w:after="0" w:line="240" w:lineRule="auto"/>
              <w:jc w:val="both"/>
              <w:rPr>
                <w:rFonts w:eastAsia="Times New Roman" w:cs="Times New Roman"/>
                <w:sz w:val="24"/>
                <w:szCs w:val="24"/>
              </w:rPr>
            </w:pPr>
            <w:r w:rsidRPr="00F45B67">
              <w:rPr>
                <w:rFonts w:eastAsia="Times New Roman" w:cs="Times New Roman"/>
                <w:b/>
                <w:bCs/>
                <w:i/>
                <w:iCs/>
                <w:sz w:val="24"/>
                <w:szCs w:val="24"/>
              </w:rPr>
              <w:t>Nơi nhận:</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UBTVOH: Chính phủ (b/cáo):</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VPQH, VPCP, BỘ TC, BỘ VH-TT&amp;DL, BỘ NV;</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Bộ Tư pháp (Cục Kiểm tra VBQPPL);</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TT Tinh ủy (b/cáo);</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TT HĐND tỉnh, UBND tỉnh, Đoàn ĐBQH tỉnh;</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Các Ban HĐND tỉnh, Đại biểu HĐND tỉnh;</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UBMTTQVN tỉnh và các tổ chức chính trị - xã hội tỉnh;</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Sở Tư pháp, các sở, ban, ngành liên quan;</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VP: Tỉnh ủy, ĐBBQH&amp;HDND, UBND tỉnh;</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TT HĐND, UBND các huyện, thị xã, thành phố</w:t>
            </w:r>
          </w:p>
          <w:p w:rsidR="00F45B67" w:rsidRPr="00F45B67" w:rsidRDefault="00F45B67" w:rsidP="00F45B67">
            <w:pPr>
              <w:spacing w:after="0" w:line="240" w:lineRule="auto"/>
              <w:jc w:val="both"/>
              <w:rPr>
                <w:rFonts w:eastAsia="Times New Roman" w:cs="Times New Roman"/>
                <w:sz w:val="22"/>
                <w:szCs w:val="24"/>
              </w:rPr>
            </w:pPr>
            <w:r w:rsidRPr="00F45B67">
              <w:rPr>
                <w:rFonts w:eastAsia="Times New Roman" w:cs="Times New Roman"/>
                <w:sz w:val="22"/>
                <w:szCs w:val="24"/>
              </w:rPr>
              <w:t>- TT Tin học - Công báo tỉnh;</w:t>
            </w:r>
          </w:p>
          <w:p w:rsidR="00F45B67" w:rsidRPr="00F45B67" w:rsidRDefault="00F45B67" w:rsidP="00F45B67">
            <w:pPr>
              <w:spacing w:after="0" w:line="240" w:lineRule="auto"/>
              <w:jc w:val="both"/>
              <w:rPr>
                <w:rFonts w:eastAsia="Times New Roman" w:cs="Times New Roman"/>
                <w:sz w:val="24"/>
                <w:szCs w:val="24"/>
              </w:rPr>
            </w:pPr>
            <w:r w:rsidRPr="00F45B67">
              <w:rPr>
                <w:rFonts w:eastAsia="Times New Roman" w:cs="Times New Roman"/>
                <w:sz w:val="22"/>
                <w:szCs w:val="24"/>
              </w:rPr>
              <w:t>- Lưu: VT, hồ sơ kỳ họp,</w:t>
            </w:r>
          </w:p>
        </w:tc>
        <w:tc>
          <w:tcPr>
            <w:tcW w:w="0" w:type="auto"/>
            <w:tcBorders>
              <w:top w:val="outset" w:sz="6" w:space="0" w:color="auto"/>
              <w:left w:val="outset" w:sz="6" w:space="0" w:color="auto"/>
              <w:bottom w:val="outset" w:sz="6" w:space="0" w:color="auto"/>
              <w:right w:val="outset" w:sz="6" w:space="0" w:color="auto"/>
            </w:tcBorders>
            <w:vAlign w:val="center"/>
            <w:hideMark/>
          </w:tcPr>
          <w:p w:rsidR="00F45B67" w:rsidRPr="00F45B67" w:rsidRDefault="00F45B67" w:rsidP="00F45B67">
            <w:pPr>
              <w:spacing w:before="100" w:beforeAutospacing="1" w:after="100" w:afterAutospacing="1" w:line="240" w:lineRule="auto"/>
              <w:jc w:val="center"/>
              <w:rPr>
                <w:rFonts w:eastAsia="Times New Roman" w:cs="Times New Roman"/>
                <w:sz w:val="24"/>
                <w:szCs w:val="24"/>
              </w:rPr>
            </w:pPr>
            <w:r w:rsidRPr="00F45B67">
              <w:rPr>
                <w:rFonts w:eastAsia="Times New Roman" w:cs="Times New Roman"/>
                <w:b/>
                <w:bCs/>
                <w:sz w:val="24"/>
                <w:szCs w:val="24"/>
              </w:rPr>
              <w:t>CHỦ TỊCH</w:t>
            </w:r>
          </w:p>
          <w:p w:rsidR="00F45B67" w:rsidRPr="00F45B67" w:rsidRDefault="00F45B67" w:rsidP="00F45B67">
            <w:pPr>
              <w:spacing w:before="100" w:beforeAutospacing="1" w:after="100" w:afterAutospacing="1" w:line="240" w:lineRule="auto"/>
              <w:jc w:val="center"/>
              <w:rPr>
                <w:rFonts w:eastAsia="Times New Roman" w:cs="Times New Roman"/>
                <w:sz w:val="24"/>
                <w:szCs w:val="24"/>
              </w:rPr>
            </w:pPr>
            <w:r w:rsidRPr="00F45B67">
              <w:rPr>
                <w:rFonts w:eastAsia="Times New Roman" w:cs="Times New Roman"/>
                <w:b/>
                <w:bCs/>
                <w:i/>
                <w:iCs/>
                <w:sz w:val="24"/>
                <w:szCs w:val="24"/>
              </w:rPr>
              <w:t>(Đã ký)</w:t>
            </w:r>
          </w:p>
          <w:p w:rsidR="00F45B67" w:rsidRPr="00F45B67" w:rsidRDefault="00F45B67" w:rsidP="00F45B67">
            <w:pPr>
              <w:spacing w:before="100" w:beforeAutospacing="1" w:after="100" w:afterAutospacing="1" w:line="240" w:lineRule="auto"/>
              <w:jc w:val="center"/>
              <w:rPr>
                <w:rFonts w:eastAsia="Times New Roman" w:cs="Times New Roman"/>
                <w:sz w:val="24"/>
                <w:szCs w:val="24"/>
              </w:rPr>
            </w:pPr>
            <w:r w:rsidRPr="00F45B67">
              <w:rPr>
                <w:rFonts w:eastAsia="Times New Roman" w:cs="Times New Roman"/>
                <w:b/>
                <w:bCs/>
                <w:sz w:val="24"/>
                <w:szCs w:val="24"/>
              </w:rPr>
              <w:t>Hồ Quốc Dũng</w:t>
            </w:r>
          </w:p>
        </w:tc>
      </w:tr>
    </w:tbl>
    <w:p w:rsidR="004F43EC" w:rsidRDefault="004F43EC"/>
    <w:sectPr w:rsidR="004F43EC" w:rsidSect="000D443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B67"/>
    <w:rsid w:val="00073B9F"/>
    <w:rsid w:val="000D443B"/>
    <w:rsid w:val="004F43EC"/>
    <w:rsid w:val="0052020B"/>
    <w:rsid w:val="00F45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5B6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45B67"/>
    <w:rPr>
      <w:b/>
      <w:bCs/>
    </w:rPr>
  </w:style>
  <w:style w:type="character" w:styleId="Emphasis">
    <w:name w:val="Emphasis"/>
    <w:basedOn w:val="DefaultParagraphFont"/>
    <w:uiPriority w:val="20"/>
    <w:qFormat/>
    <w:rsid w:val="00F45B67"/>
    <w:rPr>
      <w:i/>
      <w:iCs/>
    </w:rPr>
  </w:style>
  <w:style w:type="paragraph" w:customStyle="1" w:styleId="prov-article">
    <w:name w:val="prov-article"/>
    <w:basedOn w:val="Normal"/>
    <w:rsid w:val="00F45B67"/>
    <w:pPr>
      <w:spacing w:before="100" w:beforeAutospacing="1" w:after="100" w:afterAutospacing="1" w:line="240" w:lineRule="auto"/>
    </w:pPr>
    <w:rPr>
      <w:rFonts w:eastAsia="Times New Roman" w:cs="Times New Roman"/>
      <w:sz w:val="24"/>
      <w:szCs w:val="24"/>
    </w:rPr>
  </w:style>
  <w:style w:type="paragraph" w:customStyle="1" w:styleId="prov-clause">
    <w:name w:val="prov-clause"/>
    <w:basedOn w:val="Normal"/>
    <w:rsid w:val="00F45B67"/>
    <w:pPr>
      <w:spacing w:before="100" w:beforeAutospacing="1" w:after="100" w:afterAutospacing="1" w:line="240" w:lineRule="auto"/>
    </w:pPr>
    <w:rPr>
      <w:rFonts w:eastAsia="Times New Roman" w:cs="Times New Roman"/>
      <w:sz w:val="24"/>
      <w:szCs w:val="24"/>
    </w:rPr>
  </w:style>
  <w:style w:type="paragraph" w:customStyle="1" w:styleId="prov-content">
    <w:name w:val="prov-content"/>
    <w:basedOn w:val="Normal"/>
    <w:rsid w:val="00F45B67"/>
    <w:pPr>
      <w:spacing w:before="100" w:beforeAutospacing="1" w:after="100" w:afterAutospacing="1" w:line="240" w:lineRule="auto"/>
    </w:pPr>
    <w:rPr>
      <w:rFonts w:eastAsia="Times New Roman" w:cs="Times New Roman"/>
      <w:sz w:val="24"/>
      <w:szCs w:val="24"/>
    </w:rPr>
  </w:style>
  <w:style w:type="paragraph" w:customStyle="1" w:styleId="prov-item">
    <w:name w:val="prov-item"/>
    <w:basedOn w:val="Normal"/>
    <w:rsid w:val="00F45B67"/>
    <w:pPr>
      <w:spacing w:before="100" w:beforeAutospacing="1" w:after="100" w:afterAutospacing="1" w:line="240" w:lineRule="auto"/>
    </w:pPr>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5B6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45B67"/>
    <w:rPr>
      <w:b/>
      <w:bCs/>
    </w:rPr>
  </w:style>
  <w:style w:type="character" w:styleId="Emphasis">
    <w:name w:val="Emphasis"/>
    <w:basedOn w:val="DefaultParagraphFont"/>
    <w:uiPriority w:val="20"/>
    <w:qFormat/>
    <w:rsid w:val="00F45B67"/>
    <w:rPr>
      <w:i/>
      <w:iCs/>
    </w:rPr>
  </w:style>
  <w:style w:type="paragraph" w:customStyle="1" w:styleId="prov-article">
    <w:name w:val="prov-article"/>
    <w:basedOn w:val="Normal"/>
    <w:rsid w:val="00F45B67"/>
    <w:pPr>
      <w:spacing w:before="100" w:beforeAutospacing="1" w:after="100" w:afterAutospacing="1" w:line="240" w:lineRule="auto"/>
    </w:pPr>
    <w:rPr>
      <w:rFonts w:eastAsia="Times New Roman" w:cs="Times New Roman"/>
      <w:sz w:val="24"/>
      <w:szCs w:val="24"/>
    </w:rPr>
  </w:style>
  <w:style w:type="paragraph" w:customStyle="1" w:styleId="prov-clause">
    <w:name w:val="prov-clause"/>
    <w:basedOn w:val="Normal"/>
    <w:rsid w:val="00F45B67"/>
    <w:pPr>
      <w:spacing w:before="100" w:beforeAutospacing="1" w:after="100" w:afterAutospacing="1" w:line="240" w:lineRule="auto"/>
    </w:pPr>
    <w:rPr>
      <w:rFonts w:eastAsia="Times New Roman" w:cs="Times New Roman"/>
      <w:sz w:val="24"/>
      <w:szCs w:val="24"/>
    </w:rPr>
  </w:style>
  <w:style w:type="paragraph" w:customStyle="1" w:styleId="prov-content">
    <w:name w:val="prov-content"/>
    <w:basedOn w:val="Normal"/>
    <w:rsid w:val="00F45B67"/>
    <w:pPr>
      <w:spacing w:before="100" w:beforeAutospacing="1" w:after="100" w:afterAutospacing="1" w:line="240" w:lineRule="auto"/>
    </w:pPr>
    <w:rPr>
      <w:rFonts w:eastAsia="Times New Roman" w:cs="Times New Roman"/>
      <w:sz w:val="24"/>
      <w:szCs w:val="24"/>
    </w:rPr>
  </w:style>
  <w:style w:type="paragraph" w:customStyle="1" w:styleId="prov-item">
    <w:name w:val="prov-item"/>
    <w:basedOn w:val="Normal"/>
    <w:rsid w:val="00F45B67"/>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8145138">
      <w:bodyDiv w:val="1"/>
      <w:marLeft w:val="0"/>
      <w:marRight w:val="0"/>
      <w:marTop w:val="0"/>
      <w:marBottom w:val="0"/>
      <w:divBdr>
        <w:top w:val="none" w:sz="0" w:space="0" w:color="auto"/>
        <w:left w:val="none" w:sz="0" w:space="0" w:color="auto"/>
        <w:bottom w:val="none" w:sz="0" w:space="0" w:color="auto"/>
        <w:right w:val="none" w:sz="0" w:space="0" w:color="auto"/>
      </w:divBdr>
      <w:divsChild>
        <w:div w:id="1879706740">
          <w:marLeft w:val="0"/>
          <w:marRight w:val="0"/>
          <w:marTop w:val="0"/>
          <w:marBottom w:val="150"/>
          <w:divBdr>
            <w:top w:val="none" w:sz="0" w:space="0" w:color="auto"/>
            <w:left w:val="none" w:sz="0" w:space="0" w:color="auto"/>
            <w:bottom w:val="none" w:sz="0" w:space="0" w:color="auto"/>
            <w:right w:val="none" w:sz="0" w:space="0" w:color="auto"/>
          </w:divBdr>
          <w:divsChild>
            <w:div w:id="1507868212">
              <w:marLeft w:val="0"/>
              <w:marRight w:val="0"/>
              <w:marTop w:val="0"/>
              <w:marBottom w:val="0"/>
              <w:divBdr>
                <w:top w:val="none" w:sz="0" w:space="0" w:color="auto"/>
                <w:left w:val="none" w:sz="0" w:space="0" w:color="auto"/>
                <w:bottom w:val="none" w:sz="0" w:space="0" w:color="auto"/>
                <w:right w:val="none" w:sz="0" w:space="0" w:color="auto"/>
              </w:divBdr>
            </w:div>
            <w:div w:id="1816491156">
              <w:marLeft w:val="0"/>
              <w:marRight w:val="0"/>
              <w:marTop w:val="0"/>
              <w:marBottom w:val="0"/>
              <w:divBdr>
                <w:top w:val="none" w:sz="0" w:space="0" w:color="auto"/>
                <w:left w:val="none" w:sz="0" w:space="0" w:color="auto"/>
                <w:bottom w:val="none" w:sz="0" w:space="0" w:color="auto"/>
                <w:right w:val="none" w:sz="0" w:space="0" w:color="auto"/>
              </w:divBdr>
            </w:div>
          </w:divsChild>
        </w:div>
        <w:div w:id="1310552947">
          <w:marLeft w:val="0"/>
          <w:marRight w:val="0"/>
          <w:marTop w:val="0"/>
          <w:marBottom w:val="150"/>
          <w:divBdr>
            <w:top w:val="none" w:sz="0" w:space="0" w:color="auto"/>
            <w:left w:val="none" w:sz="0" w:space="0" w:color="auto"/>
            <w:bottom w:val="none" w:sz="0" w:space="0" w:color="auto"/>
            <w:right w:val="none" w:sz="0" w:space="0" w:color="auto"/>
          </w:divBdr>
          <w:divsChild>
            <w:div w:id="1469318278">
              <w:marLeft w:val="0"/>
              <w:marRight w:val="0"/>
              <w:marTop w:val="0"/>
              <w:marBottom w:val="0"/>
              <w:divBdr>
                <w:top w:val="none" w:sz="0" w:space="0" w:color="auto"/>
                <w:left w:val="none" w:sz="0" w:space="0" w:color="auto"/>
                <w:bottom w:val="none" w:sz="0" w:space="0" w:color="auto"/>
                <w:right w:val="none" w:sz="0" w:space="0" w:color="auto"/>
              </w:divBdr>
            </w:div>
            <w:div w:id="102304390">
              <w:marLeft w:val="0"/>
              <w:marRight w:val="0"/>
              <w:marTop w:val="0"/>
              <w:marBottom w:val="0"/>
              <w:divBdr>
                <w:top w:val="none" w:sz="0" w:space="0" w:color="auto"/>
                <w:left w:val="none" w:sz="0" w:space="0" w:color="auto"/>
                <w:bottom w:val="none" w:sz="0" w:space="0" w:color="auto"/>
                <w:right w:val="none" w:sz="0" w:space="0" w:color="auto"/>
              </w:divBdr>
            </w:div>
          </w:divsChild>
        </w:div>
        <w:div w:id="2135057953">
          <w:marLeft w:val="0"/>
          <w:marRight w:val="0"/>
          <w:marTop w:val="0"/>
          <w:marBottom w:val="150"/>
          <w:divBdr>
            <w:top w:val="none" w:sz="0" w:space="0" w:color="auto"/>
            <w:left w:val="none" w:sz="0" w:space="0" w:color="auto"/>
            <w:bottom w:val="none" w:sz="0" w:space="0" w:color="auto"/>
            <w:right w:val="none" w:sz="0" w:space="0" w:color="auto"/>
          </w:divBdr>
          <w:divsChild>
            <w:div w:id="1237934329">
              <w:marLeft w:val="0"/>
              <w:marRight w:val="0"/>
              <w:marTop w:val="0"/>
              <w:marBottom w:val="0"/>
              <w:divBdr>
                <w:top w:val="none" w:sz="0" w:space="0" w:color="auto"/>
                <w:left w:val="none" w:sz="0" w:space="0" w:color="auto"/>
                <w:bottom w:val="none" w:sz="0" w:space="0" w:color="auto"/>
                <w:right w:val="none" w:sz="0" w:space="0" w:color="auto"/>
              </w:divBdr>
            </w:div>
            <w:div w:id="1508130420">
              <w:marLeft w:val="0"/>
              <w:marRight w:val="0"/>
              <w:marTop w:val="0"/>
              <w:marBottom w:val="0"/>
              <w:divBdr>
                <w:top w:val="none" w:sz="0" w:space="0" w:color="auto"/>
                <w:left w:val="none" w:sz="0" w:space="0" w:color="auto"/>
                <w:bottom w:val="none" w:sz="0" w:space="0" w:color="auto"/>
                <w:right w:val="none" w:sz="0" w:space="0" w:color="auto"/>
              </w:divBdr>
            </w:div>
          </w:divsChild>
        </w:div>
        <w:div w:id="303660119">
          <w:marLeft w:val="0"/>
          <w:marRight w:val="0"/>
          <w:marTop w:val="0"/>
          <w:marBottom w:val="150"/>
          <w:divBdr>
            <w:top w:val="none" w:sz="0" w:space="0" w:color="auto"/>
            <w:left w:val="none" w:sz="0" w:space="0" w:color="auto"/>
            <w:bottom w:val="none" w:sz="0" w:space="0" w:color="auto"/>
            <w:right w:val="none" w:sz="0" w:space="0" w:color="auto"/>
          </w:divBdr>
          <w:divsChild>
            <w:div w:id="695732364">
              <w:marLeft w:val="0"/>
              <w:marRight w:val="0"/>
              <w:marTop w:val="0"/>
              <w:marBottom w:val="0"/>
              <w:divBdr>
                <w:top w:val="none" w:sz="0" w:space="0" w:color="auto"/>
                <w:left w:val="none" w:sz="0" w:space="0" w:color="auto"/>
                <w:bottom w:val="none" w:sz="0" w:space="0" w:color="auto"/>
                <w:right w:val="none" w:sz="0" w:space="0" w:color="auto"/>
              </w:divBdr>
            </w:div>
            <w:div w:id="1922982829">
              <w:marLeft w:val="0"/>
              <w:marRight w:val="0"/>
              <w:marTop w:val="0"/>
              <w:marBottom w:val="0"/>
              <w:divBdr>
                <w:top w:val="none" w:sz="0" w:space="0" w:color="auto"/>
                <w:left w:val="none" w:sz="0" w:space="0" w:color="auto"/>
                <w:bottom w:val="none" w:sz="0" w:space="0" w:color="auto"/>
                <w:right w:val="none" w:sz="0" w:space="0" w:color="auto"/>
              </w:divBdr>
            </w:div>
          </w:divsChild>
        </w:div>
        <w:div w:id="2009139153">
          <w:marLeft w:val="0"/>
          <w:marRight w:val="0"/>
          <w:marTop w:val="0"/>
          <w:marBottom w:val="150"/>
          <w:divBdr>
            <w:top w:val="none" w:sz="0" w:space="0" w:color="auto"/>
            <w:left w:val="none" w:sz="0" w:space="0" w:color="auto"/>
            <w:bottom w:val="none" w:sz="0" w:space="0" w:color="auto"/>
            <w:right w:val="none" w:sz="0" w:space="0" w:color="auto"/>
          </w:divBdr>
          <w:divsChild>
            <w:div w:id="9815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1031</Words>
  <Characters>5877</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cp:lastModifiedBy>CMS</cp:lastModifiedBy>
  <cp:revision>2</cp:revision>
  <dcterms:created xsi:type="dcterms:W3CDTF">2026-05-27T01:07:00Z</dcterms:created>
  <dcterms:modified xsi:type="dcterms:W3CDTF">2026-05-27T01:07:00Z</dcterms:modified>
</cp:coreProperties>
</file>