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1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3"/>
      </w:tblGrid>
      <w:tr>
        <w:trPr/>
        <w:tc>
          <w:tcPr>
            <w:tcBorders/>
            <w:tcW w:w="3415" w:type="dxa"/>
            <w:textDirection w:val="lrTb"/>
            <w:noWrap w:val="false"/>
          </w:tcPr>
          <w:p>
            <w:pPr>
              <w:pStyle w:val="906"/>
              <w:pBdr/>
              <w:spacing w:after="0" w:afterAutospacing="0" w:before="0" w:beforeAutospacing="0"/>
              <w:ind/>
              <w:jc w:val="center"/>
              <w:rPr>
                <w:b/>
                <w:bCs/>
                <w:sz w:val="26"/>
                <w:szCs w:val="26"/>
              </w:rPr>
            </w:pPr>
            <w:r>
              <w:rPr>
                <w:b/>
                <w:bCs/>
                <w:sz w:val="26"/>
                <w:szCs w:val="26"/>
              </w:rPr>
              <w:t xml:space="preserve">ỦY BAN NHÂN DÂN</w:t>
            </w:r>
            <w:r>
              <w:rPr>
                <w:b/>
                <w:bCs/>
                <w:sz w:val="26"/>
                <w:szCs w:val="26"/>
              </w:rPr>
            </w:r>
          </w:p>
          <w:p>
            <w:pPr>
              <w:pStyle w:val="906"/>
              <w:pBdr/>
              <w:spacing w:after="0" w:afterAutospacing="0" w:before="0" w:beforeAutospacing="0"/>
              <w:ind/>
              <w:jc w:val="center"/>
              <w:rPr>
                <w:b/>
                <w:bCs/>
                <w:sz w:val="26"/>
                <w:szCs w:val="26"/>
              </w:rPr>
            </w:pPr>
            <w:r>
              <w:rPr>
                <w:b/>
                <w:bCs/>
                <w:sz w:val="26"/>
                <w:szCs w:val="26"/>
              </w:rPr>
              <w:t xml:space="preserve">TỈNH TÂY NINH</w:t>
            </w:r>
            <w:r>
              <w:rPr>
                <w:b/>
                <w:bCs/>
                <w:sz w:val="26"/>
                <w:szCs w:val="26"/>
              </w:rPr>
            </w:r>
          </w:p>
          <w:p>
            <w:pPr>
              <w:pStyle w:val="906"/>
              <w:pBdr/>
              <w:spacing w:after="0" w:afterAutospacing="0" w:before="0" w:beforeAutospacing="0"/>
              <w:ind/>
              <w:jc w:val="center"/>
              <w:rPr>
                <w:b/>
                <w:bCs/>
                <w:sz w:val="26"/>
                <w:szCs w:val="26"/>
              </w:rPr>
            </w:pPr>
            <w:r>
              <w:rPr>
                <w:b/>
                <w:bCs/>
                <w:sz w:val="26"/>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667385</wp:posOffset>
                      </wp:positionH>
                      <wp:positionV relativeFrom="paragraph">
                        <wp:posOffset>53340</wp:posOffset>
                      </wp:positionV>
                      <wp:extent cx="6477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6432;mso-wrap-distance-left:9.00pt;mso-wrap-distance-top:0.00pt;mso-wrap-distance-right:9.00pt;mso-wrap-distance-bottom:0.00pt;visibility:visible;" from="52.5pt,4.2pt" to="103.5pt,4.2pt" filled="f" strokecolor="#000000" strokeweight="0.75pt">
                      <v:stroke dashstyle="solid"/>
                    </v:line>
                  </w:pict>
                </mc:Fallback>
              </mc:AlternateContent>
            </w:r>
            <w:r>
              <w:rPr>
                <w:b/>
                <w:bCs/>
                <w:sz w:val="26"/>
                <w:szCs w:val="26"/>
              </w:rPr>
            </w:r>
          </w:p>
        </w:tc>
        <w:tc>
          <w:tcPr>
            <w:tcBorders/>
            <w:tcW w:w="5643" w:type="dxa"/>
            <w:textDirection w:val="lrTb"/>
            <w:noWrap w:val="false"/>
          </w:tcPr>
          <w:p>
            <w:pPr>
              <w:pStyle w:val="906"/>
              <w:pBdr/>
              <w:spacing w:after="0" w:afterAutospacing="0" w:before="0" w:beforeAutospacing="0"/>
              <w:ind/>
              <w:jc w:val="center"/>
              <w:rPr>
                <w:b/>
                <w:bCs/>
                <w:sz w:val="26"/>
                <w:szCs w:val="26"/>
              </w:rPr>
            </w:pPr>
            <w:r>
              <w:rPr>
                <w:b/>
                <w:bCs/>
                <w:sz w:val="26"/>
                <w:szCs w:val="26"/>
              </w:rPr>
              <w:t xml:space="preserve">CỘNG HÒA XÃ HỘI CHỦ NGHĨA VIỆT NAM</w:t>
            </w:r>
            <w:r>
              <w:rPr>
                <w:b/>
                <w:bCs/>
                <w:sz w:val="26"/>
                <w:szCs w:val="26"/>
              </w:rPr>
            </w:r>
          </w:p>
          <w:p>
            <w:pPr>
              <w:pStyle w:val="906"/>
              <w:pBdr/>
              <w:spacing w:after="0" w:afterAutospacing="0" w:before="0" w:beforeAutospacing="0"/>
              <w:ind/>
              <w:jc w:val="center"/>
              <w:rPr>
                <w:b/>
                <w:bCs/>
                <w:sz w:val="26"/>
                <w:szCs w:val="26"/>
              </w:rPr>
            </w:pPr>
            <w:r>
              <w:rPr>
                <w:b/>
                <w:bCs/>
                <w:sz w:val="28"/>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603885</wp:posOffset>
                      </wp:positionH>
                      <wp:positionV relativeFrom="paragraph">
                        <wp:posOffset>252730</wp:posOffset>
                      </wp:positionV>
                      <wp:extent cx="2228850" cy="0"/>
                      <wp:effectExtent l="0" t="0" r="19050" b="19050"/>
                      <wp:wrapNone/>
                      <wp:docPr id="2" name="Straight Connector 8"/>
                      <wp:cNvGraphicFramePr/>
                      <a:graphic xmlns:a="http://schemas.openxmlformats.org/drawingml/2006/main">
                        <a:graphicData uri="http://schemas.microsoft.com/office/word/2010/wordprocessingShape">
                          <wps:wsp>
                            <wps:cNvPr id="0" name=""/>
                            <wps:cNvSp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7456;mso-wrap-distance-left:9.00pt;mso-wrap-distance-top:0.00pt;mso-wrap-distance-right:9.00pt;mso-wrap-distance-bottom:0.00pt;visibility:visible;" from="47.5pt,19.9pt" to="223.1pt,19.9pt" filled="f" strokecolor="#000000" strokeweight="0.75pt">
                      <v:stroke dashstyle="solid"/>
                    </v:line>
                  </w:pict>
                </mc:Fallback>
              </mc:AlternateContent>
            </w:r>
            <w:r>
              <w:rPr>
                <w:b/>
                <w:bCs/>
                <w:sz w:val="28"/>
                <w:szCs w:val="26"/>
              </w:rPr>
              <w:t xml:space="preserve">Độc lập – Tự do – Hạnh phúc</w:t>
            </w:r>
            <w:r>
              <w:rPr>
                <w:b/>
                <w:bCs/>
                <w:sz w:val="26"/>
                <w:szCs w:val="26"/>
              </w:rPr>
            </w:r>
          </w:p>
        </w:tc>
      </w:tr>
      <w:tr>
        <w:trPr/>
        <w:tc>
          <w:tcPr>
            <w:tcBorders/>
            <w:tcW w:w="3415" w:type="dxa"/>
            <w:textDirection w:val="lrTb"/>
            <w:noWrap w:val="false"/>
          </w:tcPr>
          <w:p>
            <w:pPr>
              <w:pStyle w:val="906"/>
              <w:pBdr/>
              <w:spacing w:after="0" w:afterAutospacing="0" w:before="0" w:beforeAutospacing="0"/>
              <w:ind/>
              <w:jc w:val="center"/>
              <w:rPr>
                <w:bCs/>
                <w:sz w:val="28"/>
                <w:szCs w:val="28"/>
              </w:rPr>
            </w:pPr>
            <w:r>
              <w:rPr>
                <w:bCs/>
                <w:sz w:val="28"/>
                <w:szCs w:val="28"/>
              </w:rPr>
              <w:t xml:space="preserve">Số:  11  /2025/QĐ-UBND</w:t>
            </w:r>
            <w:r>
              <w:rPr>
                <w:bCs/>
                <w:sz w:val="28"/>
                <w:szCs w:val="28"/>
              </w:rPr>
            </w:r>
          </w:p>
        </w:tc>
        <w:tc>
          <w:tcPr>
            <w:tcBorders/>
            <w:tcW w:w="5643" w:type="dxa"/>
            <w:textDirection w:val="lrTb"/>
            <w:noWrap w:val="false"/>
          </w:tcPr>
          <w:p>
            <w:pPr>
              <w:pStyle w:val="906"/>
              <w:pBdr/>
              <w:spacing w:after="0" w:afterAutospacing="0" w:before="0" w:beforeAutospacing="0"/>
              <w:ind/>
              <w:jc w:val="center"/>
              <w:rPr>
                <w:bCs/>
                <w:i/>
                <w:sz w:val="28"/>
                <w:szCs w:val="28"/>
              </w:rPr>
            </w:pPr>
            <w:r>
              <w:rPr>
                <w:bCs/>
                <w:i/>
                <w:sz w:val="28"/>
                <w:szCs w:val="28"/>
              </w:rPr>
              <w:t xml:space="preserve">Long An, ngày     03    tháng  7  năm 2025</w:t>
            </w:r>
            <w:r>
              <w:rPr>
                <w:bCs/>
                <w:i/>
                <w:sz w:val="28"/>
                <w:szCs w:val="28"/>
              </w:rPr>
            </w:r>
          </w:p>
        </w:tc>
      </w:tr>
    </w:tbl>
    <w:p>
      <w:pPr>
        <w:pStyle w:val="906"/>
        <w:pBdr/>
        <w:spacing w:after="0" w:afterAutospacing="0" w:before="0" w:beforeAutospacing="0"/>
        <w:ind/>
        <w:rPr>
          <w:b/>
          <w:bCs/>
          <w:sz w:val="28"/>
          <w:szCs w:val="28"/>
        </w:rPr>
      </w:pPr>
      <w:r>
        <w:rPr>
          <w:b/>
          <w:bCs/>
          <w:sz w:val="28"/>
          <w:szCs w:val="28"/>
        </w:rPr>
      </w:r>
      <w:r>
        <w:rPr>
          <w:b/>
          <w:bCs/>
          <w:sz w:val="28"/>
          <w:szCs w:val="28"/>
        </w:rPr>
      </w:r>
    </w:p>
    <w:p>
      <w:pPr>
        <w:pStyle w:val="906"/>
        <w:pBdr/>
        <w:spacing w:after="0" w:afterAutospacing="0" w:before="120" w:beforeAutospacing="0"/>
        <w:ind/>
        <w:jc w:val="center"/>
        <w:rPr>
          <w:sz w:val="28"/>
          <w:szCs w:val="28"/>
        </w:rPr>
      </w:pPr>
      <w:r>
        <w:rPr>
          <w:b/>
          <w:bCs/>
          <w:sz w:val="28"/>
          <w:szCs w:val="28"/>
        </w:rPr>
        <w:t xml:space="preserve">QUYẾT ĐỊNH</w:t>
      </w:r>
      <w:r>
        <w:rPr>
          <w:sz w:val="28"/>
          <w:szCs w:val="28"/>
        </w:rPr>
      </w:r>
    </w:p>
    <w:p>
      <w:pPr>
        <w:pBdr/>
        <w:spacing/>
        <w:ind w:left="-142"/>
        <w:jc w:val="center"/>
        <w:rPr>
          <w:b/>
          <w:sz w:val="28"/>
          <w:szCs w:val="28"/>
        </w:rPr>
      </w:pPr>
      <w:r>
        <w:rPr>
          <w:b/>
          <w:bCs/>
          <w:sz w:val="28"/>
          <w:szCs w:val="28"/>
        </w:rPr>
        <w:t xml:space="preserve">Về việc </w:t>
      </w:r>
      <w:r>
        <w:rPr>
          <w:b/>
          <w:sz w:val="28"/>
          <w:szCs w:val="28"/>
        </w:rPr>
        <w:t xml:space="preserve">ban hành quy định chức năng, nhiệm vụ, quyền hạn </w:t>
      </w:r>
      <w:r>
        <w:rPr>
          <w:b/>
          <w:sz w:val="28"/>
          <w:szCs w:val="28"/>
        </w:rPr>
      </w:r>
    </w:p>
    <w:p>
      <w:pPr>
        <w:pBdr/>
        <w:spacing/>
        <w:ind w:left="-142"/>
        <w:jc w:val="center"/>
        <w:rPr>
          <w:b/>
          <w:sz w:val="28"/>
          <w:szCs w:val="28"/>
        </w:rPr>
      </w:pPr>
      <w:r>
        <w:rPr>
          <w:b/>
          <w:sz w:val="28"/>
          <w:szCs w:val="28"/>
        </w:rPr>
        <w:t xml:space="preserve">và cơ cấu tổ chức của Sở Ngoại vụ tỉnh Tây Ninh</w:t>
      </w:r>
      <w:r>
        <w:rPr>
          <w:b/>
          <w:sz w:val="28"/>
          <w:szCs w:val="28"/>
        </w:rPr>
      </w:r>
    </w:p>
    <w:p>
      <w:pPr>
        <w:pStyle w:val="906"/>
        <w:pBdr/>
        <w:spacing w:after="0" w:afterAutospacing="0" w:before="0" w:beforeAutospacing="0"/>
        <w:ind/>
        <w:jc w:val="center"/>
        <w:rPr>
          <w:b/>
          <w:bCs/>
          <w:sz w:val="28"/>
          <w:szCs w:val="28"/>
        </w:rPr>
      </w:pPr>
      <w:r>
        <w:rPr>
          <w:b/>
          <w:bCs/>
          <w:sz w:val="28"/>
          <w:szCs w:val="28"/>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1910714</wp:posOffset>
                </wp:positionH>
                <wp:positionV relativeFrom="paragraph">
                  <wp:posOffset>66675</wp:posOffset>
                </wp:positionV>
                <wp:extent cx="2066925" cy="0"/>
                <wp:effectExtent l="0" t="0" r="28575" b="19050"/>
                <wp:wrapNone/>
                <wp:docPr id="3" name="Straight Connector 9"/>
                <wp:cNvGraphicFramePr/>
                <a:graphic xmlns:a="http://schemas.openxmlformats.org/drawingml/2006/main">
                  <a:graphicData uri="http://schemas.microsoft.com/office/word/2010/wordprocessingShape">
                    <wps:wsp>
                      <wps:cNvPr id="0" name=""/>
                      <wps:cNvSpPr/>
                      <wps:spPr bwMode="auto">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8480;mso-wrap-distance-left:9.00pt;mso-wrap-distance-top:0.00pt;mso-wrap-distance-right:9.00pt;mso-wrap-distance-bottom:0.00pt;visibility:visible;" from="150.4pt,5.3pt" to="313.2pt,5.3pt" filled="f" strokecolor="#000000" strokeweight="0.75pt">
                <v:stroke dashstyle="solid"/>
              </v:line>
            </w:pict>
          </mc:Fallback>
        </mc:AlternateContent>
      </w:r>
      <w:r>
        <w:rPr>
          <w:b/>
          <w:bCs/>
          <w:sz w:val="28"/>
          <w:szCs w:val="28"/>
        </w:rPr>
      </w:r>
    </w:p>
    <w:p>
      <w:pPr>
        <w:pStyle w:val="906"/>
        <w:pBdr/>
        <w:spacing w:after="240" w:afterAutospacing="0" w:before="240" w:beforeAutospacing="0"/>
        <w:ind/>
        <w:jc w:val="center"/>
        <w:rPr>
          <w:sz w:val="28"/>
          <w:szCs w:val="28"/>
        </w:rPr>
      </w:pPr>
      <w:r>
        <w:rPr>
          <w:b/>
          <w:bCs/>
          <w:sz w:val="28"/>
          <w:szCs w:val="28"/>
        </w:rPr>
        <w:t xml:space="preserve">ỦY BAN NHÂN DÂN TỈNH TÂY NINH</w:t>
      </w:r>
      <w:r>
        <w:rPr>
          <w:sz w:val="28"/>
          <w:szCs w:val="28"/>
        </w:rPr>
      </w:r>
    </w:p>
    <w:p>
      <w:pPr>
        <w:pBdr/>
        <w:spacing w:after="120" w:before="120" w:line="276" w:lineRule="auto"/>
        <w:ind w:firstLine="720"/>
        <w:jc w:val="both"/>
        <w:rPr>
          <w:rFonts w:eastAsia="Times New Roman"/>
          <w:i/>
          <w:iCs/>
          <w:sz w:val="28"/>
          <w:szCs w:val="28"/>
        </w:rPr>
      </w:pPr>
      <w:r>
        <w:rPr>
          <w:rFonts w:eastAsia="Times New Roman"/>
          <w:i/>
          <w:iCs/>
          <w:sz w:val="28"/>
          <w:szCs w:val="28"/>
        </w:rPr>
        <w:t xml:space="preserve">Căn cứ Luật Tổ chức chính quyền địa phương ngày 16/6/2025;</w:t>
      </w:r>
      <w:r>
        <w:rPr>
          <w:rFonts w:eastAsia="Times New Roman"/>
          <w:i/>
          <w:iCs/>
          <w:sz w:val="28"/>
          <w:szCs w:val="28"/>
        </w:rPr>
      </w:r>
    </w:p>
    <w:p>
      <w:pPr>
        <w:pBdr/>
        <w:spacing w:after="120" w:before="120" w:line="276" w:lineRule="auto"/>
        <w:ind w:firstLine="720"/>
        <w:jc w:val="both"/>
        <w:rPr>
          <w:rFonts w:eastAsiaTheme="minorEastAsia"/>
          <w:i/>
          <w:iCs/>
          <w:sz w:val="28"/>
          <w:szCs w:val="28"/>
        </w:rPr>
      </w:pPr>
      <w:r>
        <w:rPr>
          <w:i/>
          <w:iCs/>
          <w:sz w:val="28"/>
          <w:szCs w:val="28"/>
        </w:rPr>
        <w:t xml:space="preserve">Căn cứ Nghị định số 134/2025/NĐ-CP ngày 12/6/2025 của Chính phủ </w:t>
      </w:r>
      <w:bookmarkStart w:id="0" w:name="loai_1_name"/>
      <w:r>
        <w:rPr>
          <w:i/>
          <w:iCs/>
          <w:sz w:val="28"/>
          <w:szCs w:val="28"/>
          <w:shd w:val="clear" w:color="auto" w:fill="ffffff"/>
        </w:rPr>
        <w:t xml:space="preserve">về phân quyền, phân cấp trong lĩnh vực đối ngoại</w:t>
      </w:r>
      <w:bookmarkEnd w:id="0"/>
      <w:r>
        <w:rPr>
          <w:sz w:val="28"/>
          <w:szCs w:val="28"/>
          <w:shd w:val="clear" w:color="auto" w:fill="ffffff"/>
        </w:rPr>
        <w:t xml:space="preserve">;</w:t>
      </w:r>
      <w:r>
        <w:rPr>
          <w:rFonts w:eastAsiaTheme="minorEastAsia"/>
          <w:i/>
          <w:iCs/>
          <w:sz w:val="28"/>
          <w:szCs w:val="28"/>
        </w:rPr>
      </w:r>
    </w:p>
    <w:p>
      <w:pPr>
        <w:pBdr/>
        <w:spacing w:after="120" w:before="120" w:line="276" w:lineRule="auto"/>
        <w:ind w:firstLine="720"/>
        <w:jc w:val="both"/>
        <w:rPr>
          <w:rFonts w:eastAsiaTheme="minorEastAsia"/>
          <w:i/>
          <w:iCs/>
          <w:sz w:val="28"/>
          <w:szCs w:val="28"/>
        </w:rPr>
      </w:pPr>
      <w:r>
        <w:rPr>
          <w:rFonts w:eastAsiaTheme="minorEastAsia"/>
          <w:i/>
          <w:iCs/>
          <w:sz w:val="28"/>
          <w:szCs w:val="28"/>
        </w:rPr>
        <w:t xml:space="preserve">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r>
        <w:rPr>
          <w:rFonts w:eastAsiaTheme="minorEastAsia"/>
          <w:i/>
          <w:iCs/>
          <w:sz w:val="28"/>
          <w:szCs w:val="28"/>
        </w:rPr>
      </w:r>
    </w:p>
    <w:p>
      <w:pPr>
        <w:pStyle w:val="906"/>
        <w:pBdr/>
        <w:spacing w:after="0" w:afterAutospacing="0" w:before="120" w:beforeAutospacing="0" w:line="276" w:lineRule="auto"/>
        <w:ind w:firstLine="720"/>
        <w:jc w:val="both"/>
        <w:rPr>
          <w:i/>
          <w:iCs/>
          <w:color w:val="000000"/>
          <w:sz w:val="28"/>
          <w:szCs w:val="28"/>
          <w:shd w:val="clear" w:color="auto" w:fill="ffffff"/>
        </w:rPr>
      </w:pPr>
      <w:r>
        <w:rPr>
          <w:i/>
          <w:iCs/>
          <w:sz w:val="28"/>
          <w:szCs w:val="28"/>
          <w:lang w:val="vi-VN"/>
        </w:rPr>
        <w:t xml:space="preserve">Theo đề nghị của Giám đốc Sở Ngoại vụ tại Tờ trình số </w:t>
      </w:r>
      <w:r>
        <w:rPr>
          <w:i/>
          <w:iCs/>
          <w:sz w:val="28"/>
          <w:szCs w:val="28"/>
        </w:rPr>
        <w:t xml:space="preserve">10</w:t>
      </w:r>
      <w:r>
        <w:rPr>
          <w:i/>
          <w:iCs/>
          <w:sz w:val="28"/>
          <w:szCs w:val="28"/>
          <w:lang w:val="vi-VN"/>
        </w:rPr>
        <w:t xml:space="preserve">/</w:t>
      </w:r>
      <w:r>
        <w:rPr>
          <w:rFonts w:hint="eastAsia"/>
          <w:i/>
          <w:iCs/>
          <w:sz w:val="28"/>
          <w:szCs w:val="28"/>
          <w:lang w:val="vi-VN"/>
        </w:rPr>
        <w:t xml:space="preserve">TTr-</w:t>
      </w:r>
      <w:r>
        <w:rPr>
          <w:i/>
          <w:iCs/>
          <w:sz w:val="28"/>
          <w:szCs w:val="28"/>
          <w:lang w:val="vi-VN"/>
        </w:rPr>
        <w:t xml:space="preserve">SNgV ngày </w:t>
      </w:r>
      <w:r>
        <w:rPr>
          <w:i/>
          <w:iCs/>
          <w:sz w:val="28"/>
          <w:szCs w:val="28"/>
        </w:rPr>
        <w:t xml:space="preserve">03</w:t>
      </w:r>
      <w:r>
        <w:rPr>
          <w:i/>
          <w:iCs/>
          <w:sz w:val="28"/>
          <w:szCs w:val="28"/>
          <w:lang w:val="vi-VN"/>
        </w:rPr>
        <w:t xml:space="preserve">/</w:t>
      </w:r>
      <w:r>
        <w:rPr>
          <w:i/>
          <w:iCs/>
          <w:sz w:val="28"/>
          <w:szCs w:val="28"/>
        </w:rPr>
        <w:t xml:space="preserve">7</w:t>
      </w:r>
      <w:r>
        <w:rPr>
          <w:i/>
          <w:iCs/>
          <w:sz w:val="28"/>
          <w:szCs w:val="28"/>
          <w:lang w:val="vi-VN"/>
        </w:rPr>
        <w:t xml:space="preserve">/202</w:t>
      </w:r>
      <w:r>
        <w:rPr>
          <w:i/>
          <w:iCs/>
          <w:sz w:val="28"/>
          <w:szCs w:val="28"/>
        </w:rPr>
        <w:t xml:space="preserve">5</w:t>
      </w:r>
      <w:r>
        <w:rPr>
          <w:i/>
          <w:iCs/>
          <w:sz w:val="28"/>
          <w:szCs w:val="28"/>
          <w:lang w:val="vi-VN"/>
        </w:rPr>
        <w:t xml:space="preserve">.</w:t>
      </w:r>
      <w:r>
        <w:rPr>
          <w:i/>
          <w:iCs/>
          <w:color w:val="000000"/>
          <w:sz w:val="28"/>
          <w:szCs w:val="28"/>
          <w:shd w:val="clear" w:color="auto" w:fill="ffffff"/>
        </w:rPr>
        <w:t xml:space="preserve"> </w:t>
      </w:r>
      <w:r>
        <w:rPr>
          <w:i/>
          <w:iCs/>
          <w:color w:val="000000"/>
          <w:sz w:val="28"/>
          <w:szCs w:val="28"/>
          <w:shd w:val="clear" w:color="auto" w:fill="ffffff"/>
        </w:rPr>
      </w:r>
    </w:p>
    <w:p>
      <w:pPr>
        <w:pStyle w:val="906"/>
        <w:pBdr/>
        <w:spacing w:after="0" w:afterAutospacing="0" w:before="120" w:beforeAutospacing="0" w:line="276" w:lineRule="auto"/>
        <w:ind w:firstLine="720"/>
        <w:jc w:val="both"/>
        <w:rPr>
          <w:i/>
          <w:iCs/>
          <w:sz w:val="28"/>
          <w:szCs w:val="28"/>
          <w:lang w:val="vi-VN"/>
        </w:rPr>
      </w:pPr>
      <w:r>
        <w:rPr>
          <w:i/>
          <w:iCs/>
          <w:color w:val="000000"/>
          <w:sz w:val="28"/>
          <w:szCs w:val="28"/>
          <w:shd w:val="clear" w:color="auto" w:fill="ffffff"/>
        </w:rPr>
        <w:t xml:space="preserve">Ủy ban nhân dân</w:t>
      </w:r>
      <w:r>
        <w:rPr>
          <w:i/>
          <w:iCs/>
          <w:color w:val="000000"/>
          <w:sz w:val="28"/>
          <w:szCs w:val="28"/>
          <w:shd w:val="clear" w:color="auto" w:fill="ffffff"/>
        </w:rPr>
        <w:t xml:space="preserve"> tỉnh ban hành Quyết định </w:t>
      </w:r>
      <w:r>
        <w:rPr>
          <w:i/>
          <w:iCs/>
          <w:color w:val="000000"/>
          <w:sz w:val="28"/>
          <w:szCs w:val="28"/>
        </w:rPr>
        <w:t xml:space="preserve">quy định chức năng, nhiệm vụ, quyền hạn và cơ cấu tổ chức của Sở Ngoại vụ tỉnh Tây Ninh.</w:t>
      </w:r>
      <w:r>
        <w:rPr>
          <w:i/>
          <w:iCs/>
          <w:sz w:val="28"/>
          <w:szCs w:val="28"/>
          <w:lang w:val="vi-VN"/>
        </w:rPr>
      </w:r>
    </w:p>
    <w:p>
      <w:pPr>
        <w:pBdr/>
        <w:spacing w:after="120" w:before="120" w:line="276" w:lineRule="auto"/>
        <w:ind w:firstLine="709"/>
        <w:jc w:val="both"/>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after="120" w:before="120" w:line="276" w:lineRule="auto"/>
        <w:ind w:firstLine="709"/>
        <w:jc w:val="both"/>
        <w:rPr>
          <w:rFonts w:eastAsia="Times New Roman"/>
          <w:lang w:eastAsia="en-US" w:bidi="km-KH"/>
        </w:rPr>
      </w:pPr>
      <w:r>
        <w:rPr>
          <w:rFonts w:eastAsia="Times New Roman"/>
          <w:b/>
          <w:bCs/>
          <w:sz w:val="28"/>
          <w:szCs w:val="28"/>
          <w:lang w:eastAsia="en-US" w:bidi="km-KH"/>
        </w:rPr>
        <w:t xml:space="preserve">Điều 1. </w:t>
      </w:r>
      <w:r>
        <w:rPr>
          <w:rFonts w:eastAsia="Times New Roman"/>
          <w:sz w:val="28"/>
          <w:szCs w:val="28"/>
          <w:lang w:eastAsia="en-US" w:bidi="km-KH"/>
        </w:rPr>
        <w:t xml:space="preserve">Ban hành kèm theo Quyết định này Quy định chức năng, nhiệm vụ, quyền hạn, cơ cấu tổ chức của Sở Ngoại vụ tỉnh Tây Ninh.</w:t>
      </w:r>
      <w:r>
        <w:rPr>
          <w:rFonts w:eastAsia="Times New Roman"/>
          <w:lang w:eastAsia="en-US" w:bidi="km-KH"/>
        </w:rPr>
      </w:r>
    </w:p>
    <w:p>
      <w:pPr>
        <w:pBdr/>
        <w:spacing w:after="120" w:before="120" w:line="276" w:lineRule="auto"/>
        <w:ind w:firstLine="720"/>
        <w:jc w:val="both"/>
        <w:rPr>
          <w:rFonts w:eastAsia="Times New Roman"/>
          <w:lang w:eastAsia="en-US" w:bidi="km-KH"/>
        </w:rPr>
      </w:pPr>
      <w:r>
        <w:rPr>
          <w:rFonts w:eastAsia="Times New Roman"/>
          <w:b/>
          <w:bCs/>
          <w:sz w:val="28"/>
          <w:szCs w:val="28"/>
          <w:lang w:eastAsia="en-US" w:bidi="km-KH"/>
        </w:rPr>
        <w:t xml:space="preserve">Điều 2. </w:t>
      </w:r>
      <w:r>
        <w:rPr>
          <w:rFonts w:eastAsia="Times New Roman"/>
          <w:color w:val="000000"/>
          <w:sz w:val="28"/>
          <w:szCs w:val="28"/>
          <w:shd w:val="clear" w:color="auto" w:fill="ffffff"/>
          <w:lang w:eastAsia="en-US" w:bidi="km-KH"/>
        </w:rPr>
        <w:t xml:space="preserve">Giao Giám đốc Sở Ngoại vụ phối hợp với các cơ quan, đơn vị, địa phương tổ chức triển khai thực hiện Quyết định này.</w:t>
      </w:r>
      <w:r>
        <w:rPr>
          <w:rFonts w:eastAsia="Times New Roman"/>
          <w:lang w:eastAsia="en-US" w:bidi="km-KH"/>
        </w:rPr>
      </w:r>
    </w:p>
    <w:p>
      <w:pPr>
        <w:pBdr/>
        <w:spacing w:after="120" w:before="120" w:line="276" w:lineRule="auto"/>
        <w:ind w:firstLine="720"/>
        <w:jc w:val="both"/>
        <w:rPr>
          <w:rFonts w:eastAsia="Times New Roman"/>
          <w:spacing w:val="-2"/>
          <w:lang w:eastAsia="en-US" w:bidi="km-KH"/>
        </w:rPr>
      </w:pPr>
      <w:r>
        <w:rPr>
          <w:rFonts w:eastAsia="Times New Roman"/>
          <w:color w:val="000000"/>
          <w:spacing w:val="-2"/>
          <w:sz w:val="28"/>
          <w:szCs w:val="28"/>
          <w:shd w:val="clear" w:color="auto" w:fill="ffffff"/>
          <w:lang w:eastAsia="en-US" w:bidi="km-KH"/>
        </w:rPr>
        <w:t xml:space="preserve">Quyết định này có hiệu lực thi hành kể từ ngày ký và thay thế Quyết định số 37/2022/QĐ-UBND ngày 20/7/2022 của UBND tỉnh Long An ban hành quy định chức năng, nhiệm vụ, quyền hạn và cơ cấu tổ chức của Sở Ngoại </w:t>
      </w:r>
      <w:r>
        <w:rPr>
          <w:rFonts w:eastAsia="Times New Roman"/>
          <w:color w:val="000000"/>
          <w:spacing w:val="-2"/>
          <w:sz w:val="28"/>
          <w:szCs w:val="28"/>
          <w:shd w:val="clear" w:color="auto" w:fill="ffffff"/>
          <w:lang w:eastAsia="en-US" w:bidi="km-KH"/>
        </w:rPr>
        <w:t xml:space="preserve">vụ tỉnh Long An; Quyết định số 17/2025/QĐ-UBND ngày 28/02/2025 của UBND tỉnh Long An về việc sửa đổi một số Điều của Quyết định số 37/2022/QĐ-UBND ngày 20/7/2022 của UBND tỉnh về việc ban hành quy định chức năng, nhiệm vụ, quyền hạn và cơ cấu tổ chức của S</w:t>
      </w:r>
      <w:r>
        <w:rPr>
          <w:rFonts w:eastAsia="Times New Roman"/>
          <w:color w:val="000000"/>
          <w:spacing w:val="-2"/>
          <w:sz w:val="28"/>
          <w:szCs w:val="28"/>
          <w:shd w:val="clear" w:color="auto" w:fill="ffffff"/>
          <w:lang w:eastAsia="en-US" w:bidi="km-KH"/>
        </w:rPr>
        <w:t xml:space="preserve">ở Ngoại vụ tỉnh Long An; Quyết </w:t>
      </w:r>
      <w:r>
        <w:rPr>
          <w:rFonts w:eastAsia="Times New Roman"/>
          <w:color w:val="000000"/>
          <w:spacing w:val="-2"/>
          <w:sz w:val="28"/>
          <w:szCs w:val="28"/>
          <w:shd w:val="clear" w:color="auto" w:fill="ffffff"/>
          <w:lang w:eastAsia="en-US" w:bidi="km-KH"/>
        </w:rPr>
        <w:t xml:space="preserve">định số 0569/QĐ-VP ngày 19/3/2025 ban hành Quy định chức năng, nhiệm vụ, quyền hạn và cơ cấu tổ chức của các phòng, ban, trung tâm thuộc Văn phòng UBND tỉnh Tây Ninh (cũ).</w:t>
      </w:r>
      <w:r>
        <w:rPr>
          <w:rFonts w:eastAsia="Times New Roman"/>
          <w:spacing w:val="-2"/>
          <w:lang w:eastAsia="en-US" w:bidi="km-KH"/>
        </w:rPr>
      </w:r>
    </w:p>
    <w:p>
      <w:pPr>
        <w:pBdr>
          <w:top w:val="single" w:color="ffffff" w:sz="4" w:space="0"/>
          <w:left w:val="single" w:color="ffffff" w:sz="4" w:space="0"/>
          <w:bottom w:val="single" w:color="ffffff" w:sz="4" w:space="0"/>
          <w:right w:val="single" w:color="ffffff" w:sz="4" w:space="0"/>
        </w:pBdr>
        <w:shd w:val="clear" w:color="auto" w:fill="ffffff"/>
        <w:spacing w:after="120" w:before="120" w:line="276" w:lineRule="auto"/>
        <w:ind w:firstLine="720"/>
        <w:jc w:val="both"/>
        <w:rPr>
          <w:rFonts w:eastAsia="Times New Roman"/>
          <w:sz w:val="28"/>
          <w:szCs w:val="28"/>
          <w:lang w:eastAsia="en-US" w:bidi="km-KH"/>
        </w:rPr>
      </w:pPr>
      <w:r>
        <w:rPr>
          <w:rFonts w:eastAsia="Times New Roman"/>
          <w:b/>
          <w:bCs/>
          <w:sz w:val="28"/>
          <w:szCs w:val="28"/>
          <w:lang w:eastAsia="en-US" w:bidi="km-KH"/>
        </w:rPr>
        <w:t xml:space="preserve">Điều 3. </w:t>
      </w:r>
      <w:r>
        <w:rPr>
          <w:rFonts w:eastAsia="Times New Roman"/>
          <w:sz w:val="28"/>
          <w:szCs w:val="28"/>
          <w:lang w:eastAsia="en-US" w:bidi="km-KH"/>
        </w:rPr>
        <w:t xml:space="preserve">Chánh Văn phòng Ủy ban nhân dân tỉnh, Thủ trưởng các sở, ban, ngành thuộc tỉnh và Chủ tịch </w:t>
      </w:r>
      <w:r>
        <w:rPr>
          <w:rFonts w:eastAsia="Times New Roman"/>
          <w:sz w:val="28"/>
          <w:szCs w:val="28"/>
          <w:lang w:eastAsia="en-US" w:bidi="km-KH"/>
        </w:rPr>
        <w:t xml:space="preserve">Ủy ban nhân dân</w:t>
      </w:r>
      <w:r>
        <w:rPr>
          <w:rFonts w:eastAsia="Times New Roman"/>
          <w:sz w:val="28"/>
          <w:szCs w:val="28"/>
          <w:lang w:eastAsia="en-US" w:bidi="km-KH"/>
        </w:rPr>
        <w:t xml:space="preserve"> các xã, phường chịu trách nhiệm thi hành Quyết định này./.</w:t>
      </w:r>
      <w:r>
        <w:rPr>
          <w:rFonts w:eastAsia="Times New Roman"/>
          <w:sz w:val="28"/>
          <w:szCs w:val="28"/>
          <w:lang w:eastAsia="en-US" w:bidi="km-KH"/>
        </w:rPr>
      </w:r>
    </w:p>
    <w:tbl>
      <w:tblPr>
        <w:tblStyle w:val="91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9"/>
        <w:gridCol w:w="4389"/>
      </w:tblGrid>
      <w:tr>
        <w:trPr/>
        <w:tc>
          <w:tcPr>
            <w:tcBorders/>
            <w:tcW w:w="4389" w:type="dxa"/>
            <w:textDirection w:val="lrTb"/>
            <w:noWrap w:val="false"/>
          </w:tcPr>
          <w:p>
            <w:pPr>
              <w:pBdr/>
              <w:spacing/>
              <w:ind/>
              <w:rPr>
                <w:rFonts w:eastAsia="Times New Roman"/>
                <w:lang w:eastAsia="en-US" w:bidi="km-KH"/>
              </w:rPr>
            </w:pPr>
            <w:r>
              <w:rPr>
                <w:rFonts w:eastAsia="Times New Roman"/>
                <w:b/>
                <w:bCs/>
                <w:i/>
                <w:iCs/>
                <w:lang w:eastAsia="en-US" w:bidi="km-KH"/>
              </w:rPr>
              <w:t xml:space="preserve">Nơi nhận:</w:t>
            </w:r>
            <w:r>
              <w:rPr>
                <w:rFonts w:eastAsia="Times New Roman"/>
                <w:b/>
                <w:bCs/>
                <w:lang w:eastAsia="en-US" w:bidi="km-KH"/>
              </w:rPr>
              <w:t xml:space="preserve"> </w:t>
            </w:r>
            <w:r>
              <w:rPr>
                <w:rFonts w:eastAsia="Times New Roman"/>
                <w:lang w:eastAsia="en-US" w:bidi="km-KH"/>
              </w:rPr>
            </w:r>
          </w:p>
          <w:p>
            <w:pPr>
              <w:pBdr/>
              <w:spacing/>
              <w:ind/>
              <w:rPr>
                <w:rFonts w:eastAsia="Times New Roman"/>
                <w:lang w:eastAsia="en-US" w:bidi="km-KH"/>
              </w:rPr>
            </w:pPr>
            <w:r>
              <w:rPr>
                <w:rFonts w:eastAsia="Times New Roman"/>
                <w:sz w:val="22"/>
                <w:szCs w:val="22"/>
                <w:lang w:eastAsia="en-US" w:bidi="km-KH"/>
              </w:rPr>
              <w:t xml:space="preserve">- Như Điều 3;</w:t>
            </w:r>
            <w:r>
              <w:rPr>
                <w:rFonts w:eastAsia="Times New Roman"/>
                <w:lang w:eastAsia="en-US" w:bidi="km-KH"/>
              </w:rPr>
            </w:r>
          </w:p>
          <w:p>
            <w:pPr>
              <w:pBdr/>
              <w:spacing/>
              <w:ind/>
              <w:rPr>
                <w:rFonts w:eastAsia="Times New Roman"/>
                <w:lang w:eastAsia="en-US" w:bidi="km-KH"/>
              </w:rPr>
            </w:pPr>
            <w:r>
              <w:rPr>
                <w:rFonts w:eastAsia="Times New Roman"/>
                <w:sz w:val="22"/>
                <w:szCs w:val="22"/>
                <w:lang w:eastAsia="en-US" w:bidi="km-KH"/>
              </w:rPr>
              <w:t xml:space="preserve">- Bộ Ngoại giao;</w:t>
            </w:r>
            <w:r>
              <w:rPr>
                <w:rFonts w:eastAsia="Times New Roman"/>
                <w:lang w:eastAsia="en-US" w:bidi="km-KH"/>
              </w:rPr>
            </w:r>
          </w:p>
          <w:p>
            <w:pPr>
              <w:pBdr/>
              <w:spacing/>
              <w:ind/>
              <w:rPr>
                <w:rFonts w:eastAsia="Times New Roman"/>
                <w:sz w:val="22"/>
                <w:szCs w:val="22"/>
                <w:lang w:eastAsia="en-US" w:bidi="km-KH"/>
              </w:rPr>
            </w:pPr>
            <w:r>
              <w:rPr>
                <w:rFonts w:eastAsia="Times New Roman"/>
                <w:sz w:val="22"/>
                <w:szCs w:val="22"/>
                <w:lang w:eastAsia="en-US" w:bidi="km-KH"/>
              </w:rPr>
              <w:t xml:space="preserve">- Bộ Nội vụ;</w:t>
            </w:r>
            <w:r>
              <w:rPr>
                <w:rFonts w:eastAsia="Times New Roman"/>
                <w:sz w:val="22"/>
                <w:szCs w:val="22"/>
                <w:lang w:eastAsia="en-US" w:bidi="km-KH"/>
              </w:rPr>
            </w:r>
          </w:p>
          <w:p>
            <w:pPr>
              <w:pBdr/>
              <w:spacing/>
              <w:ind/>
              <w:rPr>
                <w:rFonts w:eastAsia="Times New Roman"/>
                <w:lang w:eastAsia="en-US" w:bidi="km-KH"/>
              </w:rPr>
            </w:pPr>
            <w:r>
              <w:rPr>
                <w:rFonts w:eastAsia="Times New Roman"/>
                <w:sz w:val="22"/>
                <w:szCs w:val="22"/>
                <w:lang w:eastAsia="en-US" w:bidi="km-KH"/>
              </w:rPr>
              <w:t xml:space="preserve">- Vụ Pháp chế, Bộ Nội vụ;</w:t>
            </w:r>
            <w:r>
              <w:rPr>
                <w:rFonts w:eastAsia="Times New Roman"/>
                <w:lang w:eastAsia="en-US" w:bidi="km-KH"/>
              </w:rPr>
            </w:r>
          </w:p>
          <w:p>
            <w:pPr>
              <w:pBdr/>
              <w:spacing/>
              <w:ind/>
              <w:rPr>
                <w:rFonts w:eastAsia="Times New Roman"/>
                <w:lang w:eastAsia="en-US" w:bidi="km-KH"/>
              </w:rPr>
            </w:pPr>
            <w:r>
              <w:rPr>
                <w:rFonts w:eastAsia="Times New Roman"/>
                <w:sz w:val="22"/>
                <w:szCs w:val="22"/>
                <w:lang w:eastAsia="en-US" w:bidi="km-KH"/>
              </w:rPr>
              <w:t xml:space="preserve">- Cục KTVB và QLXLVPHC- Bộ Tư pháp;</w:t>
            </w:r>
            <w:r>
              <w:rPr>
                <w:rFonts w:eastAsia="Times New Roman"/>
                <w:lang w:eastAsia="en-US" w:bidi="km-KH"/>
              </w:rPr>
            </w:r>
          </w:p>
          <w:p>
            <w:pPr>
              <w:pBdr/>
              <w:spacing/>
              <w:ind/>
              <w:rPr>
                <w:rFonts w:eastAsia="Times New Roman"/>
                <w:lang w:eastAsia="en-US" w:bidi="km-KH"/>
              </w:rPr>
            </w:pPr>
            <w:r>
              <w:rPr>
                <w:rFonts w:eastAsia="Times New Roman"/>
                <w:sz w:val="22"/>
                <w:szCs w:val="22"/>
                <w:lang w:eastAsia="en-US" w:bidi="km-KH"/>
              </w:rPr>
              <w:t xml:space="preserve">- Cục Ngoại vụ - Bộ Ngoại giao;</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Vụ Pháp chế - Bộ Ngoại giao;</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Thường trực Tỉnh ủy;</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Thường trực HĐND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CT, các PCT UBND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Ủy ban MTTQ Việt Nam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CVP, các PCVP UBND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Các tổ chức CT-XH cấp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Công báo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Cổng Thông tin điện tử tỉnh;</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Phòng THKSTTHC;</w:t>
            </w:r>
            <w:r>
              <w:rPr>
                <w:rFonts w:eastAsia="Times New Roman"/>
                <w:lang w:eastAsia="en-US" w:bidi="km-KH"/>
              </w:rPr>
            </w:r>
          </w:p>
          <w:p>
            <w:pPr>
              <w:pBdr/>
              <w:spacing/>
              <w:ind/>
              <w:jc w:val="both"/>
              <w:rPr>
                <w:rFonts w:eastAsia="Times New Roman"/>
                <w:lang w:eastAsia="en-US" w:bidi="km-KH"/>
              </w:rPr>
            </w:pPr>
            <w:r>
              <w:rPr>
                <w:rFonts w:eastAsia="Times New Roman"/>
                <w:sz w:val="22"/>
                <w:szCs w:val="22"/>
                <w:lang w:eastAsia="en-US" w:bidi="km-KH"/>
              </w:rPr>
              <w:t xml:space="preserve">- Lưu: VT, DK.</w:t>
            </w:r>
            <w:r>
              <w:rPr>
                <w:rFonts w:eastAsia="Times New Roman"/>
                <w:lang w:eastAsia="en-US" w:bidi="km-KH"/>
              </w:rPr>
            </w:r>
          </w:p>
        </w:tc>
        <w:tc>
          <w:tcPr>
            <w:tcBorders/>
            <w:tcW w:w="4389" w:type="dxa"/>
            <w:textDirection w:val="lrTb"/>
            <w:noWrap w:val="false"/>
          </w:tcPr>
          <w:p>
            <w:pPr>
              <w:pBdr/>
              <w:spacing/>
              <w:ind/>
              <w:jc w:val="center"/>
              <w:rPr>
                <w:rFonts w:eastAsia="Times New Roman"/>
                <w:lang w:eastAsia="en-US" w:bidi="km-KH"/>
              </w:rPr>
            </w:pPr>
            <w:r>
              <w:rPr>
                <w:rFonts w:eastAsia="Times New Roman"/>
                <w:b/>
                <w:bCs/>
                <w:sz w:val="28"/>
                <w:szCs w:val="28"/>
                <w:lang w:eastAsia="en-US" w:bidi="km-KH"/>
              </w:rPr>
              <w:t xml:space="preserve">TM. ỦY BAN NHÂN DÂN</w:t>
            </w:r>
            <w:r>
              <w:rPr>
                <w:rFonts w:eastAsia="Times New Roman"/>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t xml:space="preserve">CHỦ TỊCH</w:t>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b/>
                <w:bCs/>
                <w:sz w:val="28"/>
                <w:szCs w:val="28"/>
                <w:lang w:eastAsia="en-US" w:bidi="km-KH"/>
              </w:rPr>
            </w:pPr>
            <w:r>
              <w:rPr>
                <w:rFonts w:eastAsia="Times New Roman"/>
                <w:b/>
                <w:bCs/>
                <w:sz w:val="28"/>
                <w:szCs w:val="28"/>
                <w:lang w:eastAsia="en-US" w:bidi="km-KH"/>
              </w:rPr>
            </w:r>
            <w:r>
              <w:rPr>
                <w:rFonts w:eastAsia="Times New Roman"/>
                <w:b/>
                <w:bCs/>
                <w:sz w:val="28"/>
                <w:szCs w:val="28"/>
                <w:lang w:eastAsia="en-US" w:bidi="km-KH"/>
              </w:rPr>
            </w:r>
          </w:p>
          <w:p>
            <w:pPr>
              <w:pBdr/>
              <w:spacing/>
              <w:ind/>
              <w:jc w:val="center"/>
              <w:rPr>
                <w:rFonts w:eastAsia="Times New Roman"/>
                <w:lang w:eastAsia="en-US" w:bidi="km-KH"/>
              </w:rPr>
            </w:pPr>
            <w:r>
              <w:rPr>
                <w:rFonts w:eastAsia="Times New Roman"/>
                <w:b/>
                <w:bCs/>
                <w:sz w:val="28"/>
                <w:szCs w:val="28"/>
                <w:lang w:eastAsia="en-US" w:bidi="km-KH"/>
              </w:rPr>
              <w:t xml:space="preserve">Nguyễn Văn Út</w:t>
            </w:r>
            <w:r>
              <w:rPr>
                <w:rFonts w:eastAsia="Times New Roman"/>
                <w:lang w:eastAsia="en-US" w:bidi="km-KH"/>
              </w:rPr>
            </w:r>
          </w:p>
          <w:p>
            <w:pPr>
              <w:pBdr/>
              <w:spacing w:after="120" w:before="120"/>
              <w:ind/>
              <w:jc w:val="both"/>
              <w:rPr>
                <w:rFonts w:eastAsia="Times New Roman"/>
                <w:lang w:eastAsia="en-US" w:bidi="km-KH"/>
              </w:rPr>
            </w:pPr>
            <w:r>
              <w:rPr>
                <w:rFonts w:eastAsia="Times New Roman"/>
                <w:lang w:eastAsia="en-US" w:bidi="km-KH"/>
              </w:rPr>
            </w:r>
            <w:r>
              <w:rPr>
                <w:rFonts w:eastAsia="Times New Roman"/>
                <w:lang w:eastAsia="en-US" w:bidi="km-KH"/>
              </w:rPr>
            </w:r>
          </w:p>
        </w:tc>
      </w:tr>
    </w:tbl>
    <w:p>
      <w:pPr>
        <w:pBdr>
          <w:top w:val="single" w:color="ffffff" w:sz="4" w:space="0"/>
          <w:left w:val="single" w:color="ffffff" w:sz="4" w:space="0"/>
          <w:bottom w:val="single" w:color="ffffff" w:sz="4" w:space="0"/>
          <w:right w:val="single" w:color="ffffff" w:sz="4" w:space="0"/>
        </w:pBdr>
        <w:shd w:val="clear" w:color="auto" w:fill="ffffff"/>
        <w:spacing w:after="120" w:before="120"/>
        <w:ind/>
        <w:jc w:val="both"/>
        <w:rPr>
          <w:rFonts w:eastAsia="Times New Roman"/>
          <w:lang w:eastAsia="en-US" w:bidi="km-KH"/>
        </w:rPr>
      </w:pPr>
      <w:r>
        <w:rPr>
          <w:rFonts w:eastAsia="Times New Roman"/>
          <w:lang w:eastAsia="en-US" w:bidi="km-KH"/>
        </w:rPr>
      </w:r>
      <w:r>
        <w:rPr>
          <w:rFonts w:eastAsia="Times New Roman"/>
          <w:lang w:eastAsia="en-US" w:bidi="km-KH"/>
        </w:rPr>
      </w:r>
    </w:p>
    <w:tbl>
      <w:tblPr>
        <w:tblW w:w="8931" w:type="dxa"/>
        <w:tblCellSpacing w:w="0" w:type="dxa"/>
        <w:tblBorders/>
        <w:tblLook w:val="04A0" w:firstRow="1" w:lastRow="0" w:firstColumn="1" w:lastColumn="0" w:noHBand="0" w:noVBand="1"/>
      </w:tblPr>
      <w:tblGrid>
        <w:gridCol w:w="4213"/>
        <w:gridCol w:w="4718"/>
      </w:tblGrid>
      <w:tr>
        <w:trPr>
          <w:tblCellSpacing w:w="0" w:type="dxa"/>
          <w:trHeight w:val="353"/>
        </w:trPr>
        <w:tc>
          <w:tcPr>
            <w:tcBorders>
              <w:top w:val="none" w:color="000000" w:sz="4" w:space="0"/>
              <w:left w:val="none" w:color="000000" w:sz="4" w:space="0"/>
              <w:bottom w:val="none" w:color="000000" w:sz="4" w:space="0"/>
              <w:right w:val="none" w:color="000000" w:sz="4" w:space="0"/>
            </w:tcBorders>
            <w:tcW w:w="4213" w:type="dxa"/>
            <w:vAlign w:val="center"/>
            <w:textDirection w:val="lrTb"/>
            <w:noWrap w:val="false"/>
          </w:tcPr>
          <w:p>
            <w:pPr>
              <w:pBdr/>
              <w:spacing/>
              <w:ind/>
              <w:rPr>
                <w:rFonts w:eastAsia="Times New Roman"/>
                <w:lang w:eastAsia="en-US" w:bidi="km-KH"/>
              </w:rPr>
            </w:pPr>
            <w:r>
              <w:rPr>
                <w:rFonts w:eastAsia="Times New Roman"/>
                <w:i/>
                <w:iCs/>
                <w:sz w:val="28"/>
                <w:szCs w:val="28"/>
                <w:lang w:eastAsia="en-US" w:bidi="km-KH"/>
              </w:rPr>
              <w:t xml:space="preserve"> </w:t>
            </w:r>
            <w:r>
              <w:rPr>
                <w:rFonts w:eastAsia="Times New Roman"/>
                <w:lang w:eastAsia="en-US" w:bidi="km-KH"/>
              </w:rPr>
            </w:r>
          </w:p>
          <w:p>
            <w:pPr>
              <w:pBdr/>
              <w:spacing/>
              <w:ind/>
              <w:rPr>
                <w:rFonts w:eastAsia="Times New Roman"/>
                <w:lang w:eastAsia="en-US" w:bidi="km-KH"/>
              </w:rPr>
            </w:pPr>
            <w:r>
              <w:rPr>
                <w:rFonts w:eastAsia="Times New Roman"/>
                <w:lang w:eastAsia="en-US" w:bidi="km-KH"/>
              </w:rPr>
            </w:r>
            <w:r>
              <w:rPr>
                <w:rFonts w:eastAsia="Times New Roman"/>
                <w:lang w:eastAsia="en-US" w:bidi="km-KH"/>
              </w:rPr>
            </w:r>
          </w:p>
        </w:tc>
        <w:tc>
          <w:tcPr>
            <w:tcBorders>
              <w:top w:val="none" w:color="000000" w:sz="4" w:space="0"/>
              <w:left w:val="none" w:color="000000" w:sz="4" w:space="0"/>
              <w:bottom w:val="none" w:color="000000" w:sz="4" w:space="0"/>
              <w:right w:val="none" w:color="000000" w:sz="4" w:space="0"/>
            </w:tcBorders>
            <w:tcW w:w="4718" w:type="dxa"/>
            <w:vAlign w:val="center"/>
            <w:textDirection w:val="lrTb"/>
            <w:noWrap w:val="false"/>
          </w:tcPr>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p>
            <w:pPr>
              <w:pBdr/>
              <w:spacing/>
              <w:ind/>
              <w:jc w:val="center"/>
              <w:rPr>
                <w:rFonts w:eastAsia="Times New Roman"/>
                <w:lang w:eastAsia="en-US" w:bidi="km-KH"/>
              </w:rPr>
            </w:pPr>
            <w:r>
              <w:rPr>
                <w:rFonts w:eastAsia="Times New Roman"/>
                <w:lang w:eastAsia="en-US" w:bidi="km-KH"/>
              </w:rPr>
            </w:r>
            <w:r>
              <w:rPr>
                <w:rFonts w:eastAsia="Times New Roman"/>
                <w:lang w:eastAsia="en-US" w:bidi="km-KH"/>
              </w:rPr>
            </w:r>
          </w:p>
        </w:tc>
      </w:tr>
    </w:tbl>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906"/>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tbl>
      <w:tblPr>
        <w:tblW w:w="9637" w:type="dxa"/>
        <w:tblInd w:w="108" w:type="dxa"/>
        <w:tblBorders/>
        <w:tblCellMar>
          <w:left w:w="0" w:type="dxa"/>
          <w:right w:w="0" w:type="dxa"/>
        </w:tblCellMar>
        <w:tblLook w:val="04A0" w:firstRow="1" w:lastRow="0" w:firstColumn="1" w:lastColumn="0" w:noHBand="0" w:noVBand="1"/>
      </w:tblPr>
      <w:tblGrid>
        <w:gridCol w:w="2977"/>
        <w:gridCol w:w="6660"/>
      </w:tblGrid>
      <w:tr>
        <w:trPr>
          <w:trHeight w:val="719" w:hRule="exact"/>
        </w:trPr>
        <w:tc>
          <w:tcPr>
            <w:tcBorders/>
            <w:tcMar>
              <w:left w:w="108" w:type="dxa"/>
              <w:top w:w="0" w:type="dxa"/>
              <w:right w:w="108" w:type="dxa"/>
              <w:bottom w:w="0" w:type="dxa"/>
            </w:tcMar>
            <w:tcW w:w="2977" w:type="dxa"/>
            <w:textDirection w:val="lrTb"/>
            <w:noWrap w:val="false"/>
          </w:tcPr>
          <w:p>
            <w:pPr>
              <w:pStyle w:val="906"/>
              <w:pBdr/>
              <w:spacing w:after="120" w:afterAutospacing="0" w:before="0" w:beforeAutospacing="0"/>
              <w:ind w:right="-108"/>
              <w:jc w:val="center"/>
              <w:rPr>
                <w:sz w:val="26"/>
                <w:szCs w:val="26"/>
              </w:rPr>
            </w:pPr>
            <w:r>
              <w:rPr>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584200</wp:posOffset>
                      </wp:positionH>
                      <wp:positionV relativeFrom="paragraph">
                        <wp:posOffset>419735</wp:posOffset>
                      </wp:positionV>
                      <wp:extent cx="647700" cy="0"/>
                      <wp:effectExtent l="0" t="0" r="19050" b="19050"/>
                      <wp:wrapNone/>
                      <wp:docPr id="4" name="Straight Connector 1"/>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0528;mso-wrap-distance-left:9.00pt;mso-wrap-distance-top:0.00pt;mso-wrap-distance-right:9.00pt;mso-wrap-distance-bottom:0.00pt;visibility:visible;" from="46.0pt,33.0pt" to="97.0pt,33.0pt" filled="f" strokecolor="#000000" strokeweight="0.75pt">
                      <v:stroke dashstyle="solid"/>
                    </v:line>
                  </w:pict>
                </mc:Fallback>
              </mc:AlternateContent>
            </w:r>
            <w:r>
              <w:rPr>
                <w:lang w:eastAsia="en-US"/>
              </w:rPr>
              <mc:AlternateContent>
                <mc:Choice Requires="wpg">
                  <w:drawing>
                    <wp:anchor xmlns:wp="http://schemas.openxmlformats.org/drawingml/2006/wordprocessingDrawing" xmlns:wp14="http://schemas.microsoft.com/office/word/2010/wordprocessingDrawing" distT="0" distB="4294967291" distL="114300" distR="114300" simplePos="0" relativeHeight="251664384" behindDoc="0" locked="0" layoutInCell="1" allowOverlap="1">
                      <wp:simplePos x="0" y="0"/>
                      <wp:positionH relativeFrom="column">
                        <wp:posOffset>-270537001</wp:posOffset>
                      </wp:positionH>
                      <wp:positionV relativeFrom="paragraph">
                        <wp:posOffset>-146355435</wp:posOffset>
                      </wp:positionV>
                      <wp:extent cx="1179195" cy="0"/>
                      <wp:effectExtent l="0" t="0" r="20955" b="19050"/>
                      <wp:wrapNone/>
                      <wp:docPr id="5" name="Line 6"/>
                      <wp:cNvGraphicFramePr/>
                      <a:graphic xmlns:a="http://schemas.openxmlformats.org/drawingml/2006/main">
                        <a:graphicData uri="http://schemas.microsoft.com/office/word/2010/wordprocessingShape">
                          <wps:wsp>
                            <wps:cNvPr id="0" name=""/>
                            <wps:cNvSpPr/>
                            <wps:spPr bwMode="auto">
                              <a:xfrm>
                                <a:off x="0" y="0"/>
                                <a:ext cx="117919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 o:spid="_x0000_s4" style="position:absolute;left:0;text-align:left;z-index:251664384;mso-wrap-distance-left:9.00pt;mso-wrap-distance-top:0.00pt;mso-wrap-distance-right:9.00pt;mso-wrap-distance-bottom:-169093.20pt;visibility:visible;" from="-21302.1pt,-11524.0pt" to="-21209.3pt,-11524.0pt" filled="f" strokecolor="#000000" strokeweight="0.75pt"/>
                  </w:pict>
                </mc:Fallback>
              </mc:AlternateContent>
            </w:r>
            <w:r>
              <w:rPr>
                <w:b/>
                <w:bCs/>
                <w:sz w:val="26"/>
                <w:szCs w:val="26"/>
              </w:rPr>
              <w:t xml:space="preserve">ỦY BAN NHÂN DÂN</w:t>
            </w:r>
            <w:r>
              <w:rPr>
                <w:b/>
                <w:bCs/>
                <w:sz w:val="26"/>
                <w:szCs w:val="26"/>
              </w:rPr>
              <w:br/>
              <w:t xml:space="preserve">TỈNH TÂY NINH</w:t>
            </w:r>
            <w:r>
              <w:rPr>
                <w:b/>
                <w:bCs/>
                <w:sz w:val="26"/>
                <w:szCs w:val="26"/>
              </w:rPr>
              <w:br/>
            </w:r>
            <w:r>
              <w:rPr>
                <w:sz w:val="26"/>
                <w:szCs w:val="26"/>
              </w:rPr>
            </w:r>
          </w:p>
        </w:tc>
        <w:tc>
          <w:tcPr>
            <w:tcBorders/>
            <w:tcMar>
              <w:left w:w="108" w:type="dxa"/>
              <w:top w:w="0" w:type="dxa"/>
              <w:right w:w="108" w:type="dxa"/>
              <w:bottom w:w="0" w:type="dxa"/>
            </w:tcMar>
            <w:tcW w:w="6660" w:type="dxa"/>
            <w:textDirection w:val="lrTb"/>
            <w:noWrap w:val="false"/>
          </w:tcPr>
          <w:p>
            <w:pPr>
              <w:pStyle w:val="906"/>
              <w:pBdr/>
              <w:spacing w:after="120" w:afterAutospacing="0" w:before="0"/>
              <w:ind/>
              <w:jc w:val="center"/>
              <w:rPr>
                <w:sz w:val="26"/>
                <w:szCs w:val="26"/>
              </w:rPr>
            </w:pPr>
            <w:r>
              <w:rPr>
                <w:lang w:eastAsia="en-US"/>
              </w:rPr>
              <mc:AlternateContent>
                <mc:Choice Requires="wpg">
                  <w:drawing>
                    <wp:anchor xmlns:wp="http://schemas.openxmlformats.org/drawingml/2006/wordprocessingDrawing" xmlns:wp14="http://schemas.microsoft.com/office/word/2010/wordprocessingDrawing" distT="0" distB="4294967291" distL="114300" distR="114300" simplePos="0" relativeHeight="251665408" behindDoc="0" locked="0" layoutInCell="1" allowOverlap="1">
                      <wp:simplePos x="0" y="0"/>
                      <wp:positionH relativeFrom="column">
                        <wp:posOffset>941070</wp:posOffset>
                      </wp:positionH>
                      <wp:positionV relativeFrom="paragraph">
                        <wp:posOffset>427990</wp:posOffset>
                      </wp:positionV>
                      <wp:extent cx="2171700" cy="0"/>
                      <wp:effectExtent l="0" t="0" r="19050" b="19050"/>
                      <wp:wrapNone/>
                      <wp:docPr id="6" name="Line 9"/>
                      <wp:cNvGraphicFramePr/>
                      <a:graphic xmlns:a="http://schemas.openxmlformats.org/drawingml/2006/main">
                        <a:graphicData uri="http://schemas.microsoft.com/office/word/2010/wordprocessingShape">
                          <wps:wsp>
                            <wps:cNvPr id="0" name=""/>
                            <wps:cNvSpPr/>
                            <wps:spPr bwMode="auto">
                              <a:xfrm>
                                <a:off x="0" y="0"/>
                                <a:ext cx="21717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 o:spid="_x0000_s5" style="position:absolute;left:0;text-align:left;z-index:251665408;mso-wrap-distance-left:9.00pt;mso-wrap-distance-top:0.00pt;mso-wrap-distance-right:9.00pt;mso-wrap-distance-bottom:-169093.20pt;visibility:visible;" from="74.1pt,33.7pt" to="245.1pt,33.7pt" filled="f" strokecolor="#000000" strokeweight="0.75pt"/>
                  </w:pict>
                </mc:Fallback>
              </mc:AlternateContent>
            </w:r>
            <w:r>
              <w:rPr>
                <w:b/>
                <w:bCs/>
                <w:sz w:val="26"/>
                <w:szCs w:val="26"/>
              </w:rPr>
              <w:t xml:space="preserve">CỘNG HÒA XÃ HỘI CHỦ NGHĨA VIỆT NAM</w:t>
            </w:r>
            <w:r>
              <w:rPr>
                <w:b/>
                <w:bCs/>
                <w:sz w:val="26"/>
                <w:szCs w:val="26"/>
              </w:rPr>
              <w:br/>
            </w:r>
            <w:r>
              <w:rPr>
                <w:b/>
                <w:bCs/>
                <w:sz w:val="28"/>
                <w:szCs w:val="28"/>
              </w:rPr>
              <w:t xml:space="preserve">Độc lập - Tự do - Hạnh phúc</w:t>
            </w:r>
            <w:r>
              <w:rPr>
                <w:b/>
                <w:bCs/>
                <w:sz w:val="26"/>
                <w:szCs w:val="26"/>
              </w:rPr>
              <w:br/>
            </w:r>
            <w:r>
              <w:rPr>
                <w:sz w:val="26"/>
                <w:szCs w:val="26"/>
              </w:rPr>
            </w:r>
          </w:p>
        </w:tc>
      </w:tr>
      <w:tr>
        <w:trPr/>
        <w:tc>
          <w:tcPr>
            <w:tcBorders/>
            <w:tcMar>
              <w:left w:w="108" w:type="dxa"/>
              <w:top w:w="0" w:type="dxa"/>
              <w:right w:w="108" w:type="dxa"/>
              <w:bottom w:w="0" w:type="dxa"/>
            </w:tcMar>
            <w:tcW w:w="2977" w:type="dxa"/>
            <w:textDirection w:val="lrTb"/>
            <w:noWrap w:val="false"/>
          </w:tcPr>
          <w:p>
            <w:pPr>
              <w:pStyle w:val="906"/>
              <w:pBdr/>
              <w:spacing w:after="0" w:afterAutospacing="0" w:before="120" w:beforeAutospacing="0"/>
              <w:ind/>
              <w:jc w:val="center"/>
              <w:rPr/>
            </w:pPr>
            <w:r/>
            <w:r/>
          </w:p>
        </w:tc>
        <w:tc>
          <w:tcPr>
            <w:tcBorders/>
            <w:tcMar>
              <w:left w:w="108" w:type="dxa"/>
              <w:top w:w="0" w:type="dxa"/>
              <w:right w:w="108" w:type="dxa"/>
              <w:bottom w:w="0" w:type="dxa"/>
            </w:tcMar>
            <w:tcW w:w="6660" w:type="dxa"/>
            <w:textDirection w:val="lrTb"/>
            <w:noWrap w:val="false"/>
          </w:tcPr>
          <w:p>
            <w:pPr>
              <w:pStyle w:val="906"/>
              <w:pBdr/>
              <w:spacing w:after="0" w:afterAutospacing="0" w:before="120" w:beforeAutospacing="0"/>
              <w:ind w:left="-108"/>
              <w:jc w:val="center"/>
              <w:rPr>
                <w:sz w:val="28"/>
                <w:szCs w:val="28"/>
              </w:rPr>
            </w:pPr>
            <w:r>
              <w:rPr>
                <w:sz w:val="28"/>
                <w:szCs w:val="28"/>
              </w:rPr>
            </w:r>
            <w:r>
              <w:rPr>
                <w:sz w:val="28"/>
                <w:szCs w:val="28"/>
              </w:rPr>
            </w:r>
          </w:p>
        </w:tc>
      </w:tr>
    </w:tbl>
    <w:p>
      <w:pPr>
        <w:keepNext w:val="true"/>
        <w:keepLines w:val="true"/>
        <w:pBdr/>
        <w:spacing/>
        <w:ind w:right="-426"/>
        <w:jc w:val="center"/>
        <w:outlineLvl w:val="2"/>
        <w:rPr>
          <w:rFonts w:eastAsia="Times New Roman"/>
          <w:b/>
          <w:bCs/>
          <w:sz w:val="27"/>
          <w:szCs w:val="27"/>
          <w:lang w:eastAsia="en-US" w:bidi="km-KH"/>
        </w:rPr>
      </w:pPr>
      <w:r>
        <w:rPr>
          <w:rFonts w:eastAsia="Times New Roman"/>
          <w:b/>
          <w:bCs/>
          <w:sz w:val="28"/>
          <w:szCs w:val="28"/>
          <w:lang w:eastAsia="en-US" w:bidi="km-KH"/>
        </w:rPr>
        <w:t xml:space="preserve">QUY ĐỊNH</w:t>
      </w:r>
      <w:r>
        <w:rPr>
          <w:rFonts w:eastAsia="Times New Roman"/>
          <w:b/>
          <w:bCs/>
          <w:sz w:val="27"/>
          <w:szCs w:val="27"/>
          <w:lang w:eastAsia="en-US" w:bidi="km-KH"/>
        </w:rPr>
      </w:r>
    </w:p>
    <w:p>
      <w:pPr>
        <w:keepNext w:val="true"/>
        <w:keepLines w:val="true"/>
        <w:pBdr/>
        <w:spacing/>
        <w:ind w:right="-426"/>
        <w:jc w:val="center"/>
        <w:outlineLvl w:val="2"/>
        <w:rPr>
          <w:rFonts w:eastAsia="Times New Roman"/>
          <w:b/>
          <w:bCs/>
          <w:sz w:val="27"/>
          <w:szCs w:val="27"/>
          <w:lang w:eastAsia="en-US" w:bidi="km-KH"/>
        </w:rPr>
      </w:pPr>
      <w:r>
        <w:rPr>
          <w:rFonts w:eastAsia="Times New Roman"/>
          <w:b/>
          <w:bCs/>
          <w:sz w:val="28"/>
          <w:szCs w:val="28"/>
          <w:lang w:eastAsia="en-US" w:bidi="km-KH"/>
        </w:rPr>
        <w:t xml:space="preserve">Chức năng, nhiệm vụ, quyền hạn và cơ cấu tổ chức</w:t>
      </w:r>
      <w:r>
        <w:rPr>
          <w:rFonts w:eastAsia="Times New Roman"/>
          <w:b/>
          <w:bCs/>
          <w:sz w:val="27"/>
          <w:szCs w:val="27"/>
          <w:lang w:eastAsia="en-US" w:bidi="km-KH"/>
        </w:rPr>
      </w:r>
    </w:p>
    <w:p>
      <w:pPr>
        <w:keepNext w:val="true"/>
        <w:keepLines w:val="true"/>
        <w:pBdr/>
        <w:spacing/>
        <w:ind w:right="-425"/>
        <w:jc w:val="center"/>
        <w:outlineLvl w:val="4"/>
        <w:rPr>
          <w:rFonts w:eastAsia="Times New Roman"/>
          <w:b/>
          <w:bCs/>
          <w:sz w:val="20"/>
          <w:szCs w:val="20"/>
          <w:lang w:eastAsia="en-US" w:bidi="km-KH"/>
        </w:rPr>
      </w:pPr>
      <w:r>
        <w:rPr>
          <w:rFonts w:eastAsia="Times New Roman"/>
          <w:b/>
          <w:bCs/>
          <w:sz w:val="28"/>
          <w:szCs w:val="28"/>
          <w:lang w:eastAsia="en-US" w:bidi="km-KH"/>
        </w:rPr>
        <w:t xml:space="preserve">của Sở Ngoại vụ tỉnh Tây Ninh</w:t>
      </w:r>
      <w:bookmarkStart w:id="1" w:name="_GoBack"/>
      <w:r/>
      <w:bookmarkEnd w:id="1"/>
      <w:r/>
      <w:r>
        <w:rPr>
          <w:rFonts w:eastAsia="Times New Roman"/>
          <w:b/>
          <w:bCs/>
          <w:sz w:val="20"/>
          <w:szCs w:val="20"/>
          <w:lang w:eastAsia="en-US" w:bidi="km-KH"/>
        </w:rPr>
      </w:r>
    </w:p>
    <w:p>
      <w:pPr>
        <w:pBdr/>
        <w:spacing/>
        <w:ind/>
        <w:jc w:val="center"/>
        <w:rPr>
          <w:rFonts w:eastAsia="Times New Roman"/>
          <w:lang w:eastAsia="en-US" w:bidi="km-KH"/>
        </w:rPr>
      </w:pPr>
      <w:r>
        <w:rPr>
          <w:rFonts w:eastAsia="Times New Roman"/>
          <w:i/>
          <w:iCs/>
          <w:sz w:val="28"/>
          <w:szCs w:val="28"/>
          <w:lang w:eastAsia="en-US" w:bidi="km-KH"/>
        </w:rPr>
        <w:t xml:space="preserve">(Kèm theo Quyết định số   11  /2025/QĐ-UBND ngày    03 / 7/2025 </w:t>
      </w:r>
      <w:r>
        <w:rPr>
          <w:rFonts w:eastAsia="Times New Roman"/>
          <w:lang w:eastAsia="en-US" w:bidi="km-KH"/>
        </w:rPr>
      </w:r>
    </w:p>
    <w:p>
      <w:pPr>
        <w:pBdr/>
        <w:spacing/>
        <w:ind/>
        <w:jc w:val="center"/>
        <w:rPr>
          <w:rFonts w:eastAsia="Times New Roman"/>
          <w:i/>
          <w:iCs/>
          <w:sz w:val="28"/>
          <w:szCs w:val="28"/>
          <w:lang w:eastAsia="en-US" w:bidi="km-KH"/>
        </w:rPr>
      </w:pPr>
      <w:r>
        <w:rPr>
          <w:rFonts w:eastAsia="Times New Roman"/>
          <w:i/>
          <w:iCs/>
          <w:sz w:val="28"/>
          <w:szCs w:val="28"/>
          <w:lang w:eastAsia="en-US" w:bidi="km-KH"/>
        </w:rPr>
        <w:t xml:space="preserve">của Ủy ban nhân dân tỉnh Tây Ninh)</w:t>
      </w:r>
      <w:r>
        <w:rPr>
          <w:rFonts w:eastAsia="Times New Roman"/>
          <w:i/>
          <w:iCs/>
          <w:sz w:val="28"/>
          <w:szCs w:val="28"/>
          <w:lang w:eastAsia="en-US" w:bidi="km-KH"/>
        </w:rPr>
      </w:r>
    </w:p>
    <w:p>
      <w:pPr>
        <w:pBdr/>
        <w:spacing/>
        <w:ind/>
        <w:jc w:val="center"/>
        <w:rPr>
          <w:rFonts w:eastAsia="Times New Roman"/>
          <w:lang w:eastAsia="en-US" w:bidi="km-KH"/>
        </w:rPr>
      </w:pPr>
      <w:r>
        <w:rPr>
          <w:rFonts w:eastAsia="Times New Roman"/>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1978659</wp:posOffset>
                </wp:positionH>
                <wp:positionV relativeFrom="paragraph">
                  <wp:posOffset>98425</wp:posOffset>
                </wp:positionV>
                <wp:extent cx="1876425" cy="0"/>
                <wp:effectExtent l="0" t="0" r="28575" b="19050"/>
                <wp:wrapNone/>
                <wp:docPr id="7" name="Straight Connector 10"/>
                <wp:cNvGraphicFramePr/>
                <a:graphic xmlns:a="http://schemas.openxmlformats.org/drawingml/2006/main">
                  <a:graphicData uri="http://schemas.microsoft.com/office/word/2010/wordprocessingShape">
                    <wps:wsp>
                      <wps:cNvPr id="0" name=""/>
                      <wps:cNvSpPr/>
                      <wps:spPr bwMode="auto">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51669504;mso-wrap-distance-left:9.00pt;mso-wrap-distance-top:0.00pt;mso-wrap-distance-right:9.00pt;mso-wrap-distance-bottom:0.00pt;visibility:visible;" from="155.8pt,7.8pt" to="303.5pt,7.8pt" filled="f" strokecolor="#000000" strokeweight="0.75pt">
                <v:stroke dashstyle="solid"/>
              </v:line>
            </w:pict>
          </mc:Fallback>
        </mc:AlternateContent>
      </w:r>
      <w:r>
        <w:rPr>
          <w:rFonts w:eastAsia="Times New Roman"/>
          <w:lang w:eastAsia="en-US" w:bidi="km-KH"/>
        </w:rPr>
      </w:r>
    </w:p>
    <w:p>
      <w:pPr>
        <w:pBdr/>
        <w:shd w:val="clear" w:color="auto" w:fill="ffffff"/>
        <w:spacing w:after="120" w:before="120"/>
        <w:ind w:firstLine="709"/>
        <w:jc w:val="both"/>
        <w:rPr>
          <w:rFonts w:eastAsia="Times New Roman"/>
          <w:lang w:eastAsia="en-US"/>
        </w:rPr>
      </w:pPr>
      <w:r>
        <w:rPr>
          <w:b/>
          <w:bCs/>
          <w:sz w:val="28"/>
          <w:szCs w:val="28"/>
          <w:lang w:val="vi-VN"/>
        </w:rPr>
        <w:t xml:space="preserve">Điều 1.</w:t>
      </w:r>
      <w:r>
        <w:rPr>
          <w:sz w:val="28"/>
          <w:szCs w:val="28"/>
          <w:lang w:val="vi-VN"/>
        </w:rPr>
        <w:t xml:space="preserve"> </w:t>
      </w:r>
      <w:r>
        <w:rPr>
          <w:rFonts w:eastAsia="Times New Roman"/>
          <w:b/>
          <w:bCs/>
          <w:sz w:val="28"/>
          <w:szCs w:val="28"/>
          <w:lang w:eastAsia="en-US"/>
        </w:rPr>
        <w:t xml:space="preserve">Vị trí và chức năng</w:t>
      </w:r>
      <w:r>
        <w:rPr>
          <w:rFonts w:eastAsia="Times New Roman"/>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1. Sở Ngoại vụ là cơ quan chuyên môn thuộc UBND tỉnh, có chức năng tham mưu, giúp Ủy ban nhân dân cấp tỉnh th</w:t>
      </w:r>
      <w:r>
        <w:rPr>
          <w:rFonts w:eastAsia="Times New Roman"/>
          <w:sz w:val="28"/>
          <w:szCs w:val="28"/>
          <w:lang w:eastAsia="en-US"/>
        </w:rPr>
        <w:t xml:space="preserve">ực hiện chức năng quản lý nhà nước về: Công tác đối ngoại địa phương, bao gồm công tác biên giới lãnh thổ quốc gia (sau đây gọi chung là công tác đối ngoại) của địa phương; các dịch vụ công thuộc phạm vi quản lý nhà nước của Sở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 Sở Ngoại vụ có tư cách pháp nhân, có con dấu và tài khoản riêng; chịu sự chỉ đạo, quản lý của UBND tỉnh về tổ chức, biên chế và hoạt động; đồng thời, chịu sự chỉ đạo, hướng dẫn và kiểm tra về chuyên môn, nghiệp vụ của Bộ Ngoại giao.</w:t>
      </w:r>
      <w:r>
        <w:rPr>
          <w:rFonts w:eastAsia="Times New Roman"/>
          <w:lang w:eastAsia="en-US"/>
        </w:rPr>
      </w:r>
    </w:p>
    <w:p>
      <w:pPr>
        <w:pBdr/>
        <w:shd w:val="clear" w:color="auto" w:fill="ffffff"/>
        <w:spacing w:after="120" w:before="120"/>
        <w:ind w:firstLine="709"/>
        <w:jc w:val="both"/>
        <w:rPr>
          <w:rFonts w:eastAsia="Times New Roman"/>
          <w:lang w:eastAsia="en-US"/>
        </w:rPr>
      </w:pPr>
      <w:r/>
      <w:bookmarkStart w:id="2" w:name="dieu_3"/>
      <w:r>
        <w:rPr>
          <w:rFonts w:eastAsia="Times New Roman"/>
          <w:b/>
          <w:bCs/>
          <w:sz w:val="28"/>
          <w:szCs w:val="28"/>
          <w:lang w:eastAsia="en-US"/>
        </w:rPr>
        <w:t xml:space="preserve">Điều 2. Nhiệm vụ và quyền hạn</w:t>
      </w:r>
      <w:bookmarkEnd w:id="2"/>
      <w:r/>
      <w:r>
        <w:rPr>
          <w:rFonts w:eastAsia="Times New Roman"/>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1. Trình Ủy ban nhân dân cấp tỉnh:</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a) Dự thảo nghị quyết của Hội đồng nhân dân cấp tỉnh, dự thảo quyết định của Ủy ban nhân dân cấp tỉnh liên quan đến ngành, lĩnh vực thuộc phạm vi quản lý của sở và các văn bản khác theo phân công của Ủy ban nhân dân cấp tỉnh;</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b) Dự thảo kế hoạch phát triển ngành, lĩnh vực; chương trình, biện pháp tổ chức thực hiện các nhiệm vụ về ngành, lĩnh vực trên địa bàn cấp tỉnh trong phạm vi quản lý của sở;</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c) Dự thảo quyết định quy định cụ thể chức năng, nhiệm vụ, quyền hạn và cơ cấu tổ chức của sở; </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d) Dự thảo quyết định thực hiện xã hội hóa các hoạt động cung ứng dịch vụ sự nghiệp công theo ngành, lĩnh vực thuộc thẩm quyền của Ủy ban nhân dân cấp tỉnh.</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2. Trình Chủ tịch Ủy ban nhân dân cấp tỉnh dự thảo các văn bản thuộc thẩm quyền ban hành của Chủ tịch Ủy ban nhân dân cấp tỉnh theo phân công.</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4. Quản lý theo quy định của pháp luật đối với các doanh nghiệp, tổ chức kinh tế tập thể, kinh tế tư nhân, các hội và các tổ chức phi chính phủ thuộc phạm vi ngành, lĩnh vực.</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5. Thực hiện hợp tác quốc tế về ngành, lĩnh vực quản lý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6. Hướng dẫn chuyên môn, nghiệp vụ thuộc ngành, lĩnh vực quản lý đối với cơ quan chuyên môn thuộc Ủy ban nhân dân cấp xã.</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7.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8.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9. Quản lý tổ chức bộ máy, biên chế công chức, ngạch công chứ</w:t>
      </w:r>
      <w:r>
        <w:rPr>
          <w:rFonts w:eastAsia="Times New Roman"/>
          <w:sz w:val="28"/>
          <w:szCs w:val="28"/>
          <w:lang w:eastAsia="en-US"/>
        </w:rPr>
        <w:t xml:space="preserve">c và xếp ngạch công chức, vị trí việc làm theo chức danh nghề nghiệp; thực hiện chế độ tiền lương và chính sách, chế độ đãi ngộ, đào tạo, bồi dưỡng, khen thưởng, kỷ luật đối với công chức và người lao động thuộc phạm vi quản lý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10. Quản lý và chịu trách nhiệm về tài chính, tài sản được giao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11. Thực hiện công tác thông tin, báo cáo định kỳ và đột xuất về tình hình thực hiện nhiệm vụ được giao với Ủy ban nhân dân cấp tỉnh, các bộ, cơ quan ngang bộ.</w:t>
      </w:r>
      <w:r>
        <w:rPr>
          <w:rFonts w:eastAsia="Times New Roman"/>
          <w:sz w:val="28"/>
          <w:szCs w:val="28"/>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12. Thực hiện nhiệm vụ, quyền hạn khác theo phân cấp, ủy quyền, phân định thẩm quyền của cơ quan có thẩm quyền theo quy định của pháp luật.</w:t>
      </w:r>
      <w:r>
        <w:rPr>
          <w:rFonts w:eastAsia="Times New Roman"/>
          <w:sz w:val="28"/>
          <w:szCs w:val="28"/>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13. Về công tác hợp tác và hội nhập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Tham mưu cho UBND tỉnh về công tác hợp tác, hội nhập quốc tế của địa phương phù hợp với chủ trương, đường lối đối ngoại của Đảng và chính sách, pháp luật của Nhà nước.</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Tham mưu cho UBND tỉnh, xây dựng, tổ chức thực hiện các kế hoạch, chương trình hợp tác và hội nhập quốc tế của địa phương, các đề án thiết lập quan hệ hữu nghị hợp tác của địa phương với các đối tác nước ngoài, báo cáo Bộ Ngoại giao theo quy định.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Là đầu mối của UBND tỉnh trong trao đổi, hợp tác với Bộ Ngoại giao, các cơ quan đại diện Việt Nam tại nước ngoài, cơ quan đại diện ngoại giao, </w:t>
      </w:r>
      <w:r>
        <w:rPr>
          <w:rFonts w:eastAsia="Times New Roman"/>
          <w:sz w:val="28"/>
          <w:szCs w:val="28"/>
          <w:lang w:eastAsia="en-US"/>
        </w:rPr>
        <w:t xml:space="preserve">cơ quan đại diện lãnh sự, cơ quan lãnh sự danh dự nước ngoài, các cơ quan đại diện các tổ chức quốc tế liên chính phủ (sau đây gọi là cơ quan đại diện nước ngoài), các tổ chức phi chính phủ nước ngoài, và các chủ thể có yếu tố nước ngoài khác tại Việt Nam.</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14. Về công tác ngoại giao kinh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Tham mưu cho UBND tỉnh trong công tác ngoại giao kinh tế, xây dựng và triển khai các chiến lược, đề án, kế hoạch, chương trình hoạt động đối ngoại phục vụ phát triển kinh tế - xã hội của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Làm đầu mối của UBND tỉnh trong trao đổi, hợp tác với Bộ Ngoại giao và các cơ quan đại diện Việt Nam ở nước ngoài, các cơ quan đại </w:t>
      </w:r>
      <w:r>
        <w:rPr>
          <w:rFonts w:eastAsia="Times New Roman"/>
          <w:sz w:val="28"/>
          <w:szCs w:val="28"/>
          <w:lang w:eastAsia="en-US"/>
        </w:rPr>
        <w:t xml:space="preserve">diện nước ngoài tại Việt Nam trong việc quảng bá, giới thiệu tiềm năng, thế mạnh của địa phương; hỗ trợ triển khai các nhiệm vụ về xúc tiến thương mại, đầu tư, du lịch, bảo vệ quyền và lợi ích chính đáng của các tổ chức kinh tế của địa phương ở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15. Về công tác ngoại giao văn hóa:</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Tham mưu cho UBND tỉnh trong công tác ngoại giao văn hóa, xây dựng và triển khai các chương trình, kế hoạch hành động thực hiện Chiến lược ngoại giao văn hóa trong từng thời kỳ.</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Làm đầu mối của UBND tỉnh trong trao đổi, hợp tác với Bộ Ngoại giao và các cơ quan đại diện Vi</w:t>
      </w:r>
      <w:r>
        <w:rPr>
          <w:rFonts w:eastAsia="Times New Roman"/>
          <w:sz w:val="28"/>
          <w:szCs w:val="28"/>
          <w:lang w:eastAsia="en-US"/>
        </w:rPr>
        <w:t xml:space="preserve">ệt Nam ở nước ngoài, các cơ quan đại diện nước ngoài tại Việt Nam và các chủ thể có yếu tố nước ngoài khác trong việc triển khai các hoạt động ngoại giao văn hóa tại địa phương, giới thiệu, quảng bá hình ảnh, con người, văn hóa của địa phương ở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Phối hợp tham mưu cho UBND tỉnh về công tác xây dựng, đệ trình Tổ chức Giáo dục, Khoa học và Văn hóa của Liên hợp quốc (UNESCO) công nhận các loại hình danh hiệu văn hóa thế giới cũng như việc bảo tồn và phát huy giá trị của các loại hình danh hiệu này.</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16. Về công tác người Việt Nam ở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Tham mưu cho UBND tỉnh trong công tác người Việt Nam ở nước ngoài, chủ trì tổ chức thực hiện chính sách, kế hoạch và chương trình đối với người Việt Nam ở nước ngoài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Tổ chức t</w:t>
      </w:r>
      <w:r>
        <w:rPr>
          <w:rFonts w:eastAsia="Times New Roman"/>
          <w:sz w:val="28"/>
          <w:szCs w:val="28"/>
          <w:lang w:eastAsia="en-US"/>
        </w:rPr>
        <w:t xml:space="preserve">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Hằng năm, định kỳ t</w:t>
      </w:r>
      <w:r>
        <w:rPr>
          <w:rFonts w:eastAsia="Times New Roman"/>
          <w:sz w:val="28"/>
          <w:szCs w:val="28"/>
          <w:lang w:eastAsia="en-US"/>
        </w:rPr>
        <w:t xml:space="preserve">ổng kết, thống kê số lượng người Việt Nam ở nước ngoài của địa phương, đánh giá và đề xuất kiến nghị giải quyết các vấn đề liên quan đến người Việt Nam ở nước ngoài và thân nhân của họ tại địa phương, tham mưu UBND tỉnh báo cáo Bộ Ngoại giao theo quy định.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17. Về công tác lãnh sự và bảo hộ công dân:</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Tham mưu cho UBND tỉnh thực hiện chức năng quản lý nhà nước về xuất nhập cảnh của người thuộc diện được cấp hộ chiếu ngoại giao, hộ chiếu công vụ theo quy định của pháp luật Việt Nam.</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Xử lý các vấn đề liên quan đến bảo hộ công dân địa phương ở nước ngoài và trong công tác lãnh sự đối với người nước ngoài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Là đầu mối tiếp nhận và trả kết quả hồ sơ đề nghị chứng nhận lãnh </w:t>
      </w:r>
      <w:r>
        <w:rPr>
          <w:rFonts w:eastAsia="Times New Roman"/>
          <w:sz w:val="28"/>
          <w:szCs w:val="28"/>
          <w:lang w:eastAsia="en-US"/>
        </w:rPr>
        <w:t xml:space="preserve">sự, hợp pháp hóa lãnh sự tại địa phương khi được Bộ Ngoại giao ủy quyền; tiếp nhận, phối hợp với các cơ quan liên quan thẩm định, xác minh và trình Chủ tịch UBND tỉnh xét, cho phép sử dụng thẻ đi lại của doanh nhân APEC (thẻ ABTC, nếu được UBND tỉnh giao).</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Phối hợp với Bộ Ngoại giao trong việc tập hợp, tiếp nhận mẫu con dấu, mẫu chữ ký và chức danh của cơ quan, tổ chức địa phương và cơ quan, tổ chức Trung ương tại địa phương để làm thủ tục chứng nhận lãnh sự và hợp pháp hóa lãnh sự.</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đ) Là đầu mối trao đổi với cơ quan đại diện nước ngoài tại Việt Nam để giải quyết các vụ việc lãnh sự thông thường, ít phức tạp tại địa bàn theo ủy quyền của UBND tỉnh trên cơ sở hướng dẫn của Bộ Ngoại giao.</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e) Phối hợp với các cơ quan liên quan và Cục Lãnh sự, Bộ Ngoại giao tham mưu cho UBND tỉnh về chủ trương, chính sách về hoạt động di cư ra nước ngoài của công dân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18. Về công tác biên giới lãnh thổ quốc gia:</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Là cơ quan </w:t>
      </w:r>
      <w:r>
        <w:rPr>
          <w:rFonts w:eastAsia="Times New Roman"/>
          <w:sz w:val="28"/>
          <w:szCs w:val="28"/>
          <w:lang w:eastAsia="en-US"/>
        </w:rPr>
        <w:t xml:space="preserve">thường trực của UBND tỉnh về công tác biên giới lãnh thổ quốc gia; giúp UBND tỉnh thực hiện chức năng quản lý nhà nước về công tác biên giới lãnh thổ tại địa phương theo quy định của pháp luật và chỉ đạo, hướng dẫn của Bộ Ngoại giao và bộ, ngành liên quan.</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Theo dõi, tổng hợp và báo cáo UBND tỉnh và Bộ Ngoại giao tình hình thực hiện các điều ước quốc tế về biên giới, lãnh thổ quốc gia, các chương trình, đề án khác liên quan đến công tác quản lý biên giới thuộc địa bàn tỉnh phụ trách.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Tham mưu cho UBND tỉnh việc xử lý các vấn đề nảy sinh trên biên giới đất liền, trên biển tại địa phương, báo cáo Bộ Ngoại giao và các cơ quan liên quan.</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Tổ chức các lớp tập huấn, tuyên truyền phổ biến pháp luật, chủ trương, chính sách của Đảng và Nhà nước về biên giới </w:t>
      </w:r>
      <w:r>
        <w:rPr>
          <w:rFonts w:eastAsia="Times New Roman"/>
          <w:sz w:val="28"/>
          <w:szCs w:val="28"/>
          <w:lang w:eastAsia="en-US"/>
        </w:rPr>
        <w:t xml:space="preserve">lãnh thổ quốc gia; hướng dẫn, kiểm tra và quản lý các văn bản, tài liệu, bản đồ và hồ sơ về biên giới thuộc phạm vi quản lý của địa phương; kiểm tra, đôn đốc hướng dẫn các cơ quan, đơn vị của địa phương về các vấn đề quản lý nhà nước về biên giới lãnh thổ.</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đ) Chủ trì, phối hợp với các cơ quan liên quan tham mưu cho UBND tỉnh việc xây dựng duy tu, bảo dưỡng, sửa chữa mốc quốc giới và vật đánh dấu đường biên giới và các biện pháp khác để bảo vệ mốc quốc giới và vật đánh dấu đường biên giới khi cần thiết.</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e) Phối hợp với các cơ quan liên quan thực hiện nhiệm vụ hợp tác quốc tế về biên phòng, đối ngoại biên phòng.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19. Về công tác lễ tân đối ngoại: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Thực hiện quản lý nhà nước về lễ tân đối ngoại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Đề xuất, xây dựng và tham mưu UBND tỉnh ban hành các văn bản quy định về công tác lễ tân đối ngoại ở địa phương; tổ chức kiểm tra, hướng dẫn việc thực hiện các quy định về lễ tân đối ngoại ở các cơ quan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Tổ chức thực hiện công tác lễ tân đối ngoại, đón tiếp các đoàn nước ngoài đến thăm làm việc với lãnh đạo tỉnh hoặc quá cảnh tại địa phương; chủ trì công tác lễ tân và hậu cần cho các đoàn lãnh đạo tỉnh đi thăm và làm việc ở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w:t>
      </w:r>
      <w:r>
        <w:rPr>
          <w:rFonts w:eastAsia="Times New Roman"/>
          <w:sz w:val="28"/>
          <w:szCs w:val="28"/>
          <w:lang w:eastAsia="en-US"/>
        </w:rPr>
        <w:t xml:space="preserve">Phối hợp với các cơ quan, đơn vị của Bộ Ngoại giao hướng dẫn, quản lý, bảo đảm việc thực hiện quyền và chế độ ưu đãi, miễn trừ và nghi lễ đối ngoại đối với các cơ quan đại diện lãnh sự nước ngoài và đơn vị trực thuộc cơ quan đại diện ngoại giao nước ngoài </w:t>
      </w:r>
      <w:r>
        <w:rPr>
          <w:rFonts w:eastAsia="Times New Roman"/>
          <w:sz w:val="28"/>
          <w:szCs w:val="28"/>
          <w:lang w:eastAsia="en-US"/>
        </w:rPr>
        <w:t xml:space="preserve">đóng trên địa bàn của địa phương phù hợp với pháp luật Việt Nam, các điều ước quốc tế mà Việt Nam đã ký kết, tham gia và theo thông lệ quốc tế (đối với các địa phương có cơ quan lãnh sự nước ngoài, đơn vị trực thuộc cơ quan đại diện ngoại giao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20. Về công tác thông tin đối ngoại: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Làm đầu mối của </w:t>
      </w:r>
      <w:r>
        <w:rPr>
          <w:rFonts w:eastAsia="Times New Roman"/>
          <w:sz w:val="28"/>
          <w:szCs w:val="28"/>
          <w:lang w:eastAsia="en-US"/>
        </w:rPr>
        <w:t xml:space="preserve">UBND tỉnh trong trao đổi, hợp tác với Bộ Ngoại giao và các cơ quan đại diện Việt Nam ở nước ngoài, cơ quan đại diện nước ngoài tại Việt Nam trong triển khai chương trình, kế hoạch thông tin tuyên truyền đối ngoại của địa phương đã được UBND tỉnh phê duyệt.</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Cung c</w:t>
      </w:r>
      <w:r>
        <w:rPr>
          <w:rFonts w:eastAsia="Times New Roman"/>
          <w:sz w:val="28"/>
          <w:szCs w:val="28"/>
          <w:lang w:eastAsia="en-US"/>
        </w:rPr>
        <w:t xml:space="preserve">ấp thông tin của địa phương cho Bộ Ngoại giao và các cơ quan chức năng để phục vụ công tác thông tin tuyên truyền đối ngoại; phối hợp với cơ quan đại diện Việt Nam ở nước ngoài triển khai các hoạt động thông tin đối ngoại, quảng bá địa phương ở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Thống nhất quản lý phóng viê</w:t>
      </w:r>
      <w:r>
        <w:rPr>
          <w:rFonts w:eastAsia="Times New Roman"/>
          <w:sz w:val="28"/>
          <w:szCs w:val="28"/>
          <w:lang w:eastAsia="en-US"/>
        </w:rPr>
        <w:t xml:space="preserve">n nước ngoài hoạt động báo chí tại địa phương; xây dựng chương trình hoạt động, tổ chức việc tiếp và trả lời phỏng vấn của lãnh đạo tỉnh, cung cấp thông tin có định hướng, theo dõi và quản lý hoạt động của phóng viên nước ngoài theo quy định của pháp luật.</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21. Về công tác tổ chức và quản lý đoàn ra, đoàn vào:</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Là cơ quan đầu mối tham mưu cho UBND tỉnh hằng năm và 06 tháng xây dựng và điều chỉnh kế hoạch đoàn ra, đoàn vào của lãnh đạo tỉnh trình cấp có thẩm quyền gửi cho Bộ Ngoại giao tổng hợp, trình Thủ tướng Chính phủ xem xét, phê duyệt.</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Thực hiện quản lý nhà nước đối với các đoàn đi công tác nước ngoài của lãnh đạo tỉnh và các cơ quan, đơn vị, địa phương thuộc tỉnh (đoàn ra) và các đoàn quốc tế đến thăm làm việc tại địa phương thuộc tỉnh (đoàn vào).</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Tổ chức các đoàn đi công tác nước ngoài của lãnh đạo tỉnh; làm đầu mối liê</w:t>
      </w:r>
      <w:r>
        <w:rPr>
          <w:rFonts w:eastAsia="Times New Roman"/>
          <w:sz w:val="28"/>
          <w:szCs w:val="28"/>
          <w:lang w:eastAsia="en-US"/>
        </w:rPr>
        <w:t xml:space="preserve">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UBND tỉnh.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Xây dựng và tổ chức thực hiện các kế hoạch, đ</w:t>
      </w:r>
      <w:r>
        <w:rPr>
          <w:rFonts w:eastAsia="Times New Roman"/>
          <w:sz w:val="28"/>
          <w:szCs w:val="28"/>
          <w:lang w:eastAsia="en-US"/>
        </w:rPr>
        <w:t xml:space="preserve">ề án đón tiếp các đoàn nước ngoài đến thăm và làm việc với lãnh đạo cấp tỉnh; thẩm định đề xuất, kiến nghị của các sở, ban, ngành địa phương về việc lãnh đạo tỉnh tiếp khách nước ngoài; thống kê tổng hợp các đoàn vào thuộc thẩm quyền quản lý của UBND tỉnh.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22. Về công tác tổ chức và quản lý hội nghị, hội thảo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Thực</w:t>
      </w:r>
      <w:r>
        <w:rPr>
          <w:rFonts w:eastAsia="Times New Roman"/>
          <w:sz w:val="28"/>
          <w:szCs w:val="28"/>
          <w:lang w:eastAsia="en-US"/>
        </w:rPr>
        <w:t xml:space="preserve"> hiện quản lý nhà nước về hội nghị, hội thảo quốc tế thuộc thẩm quyền của Chủ tịch UBND tỉnh; tham mưu Chủ tịch UBND tỉnh phối hợp cho ý kiến và quản lý đối với hội nghị, hội thảo quốc tế được tổ chức trên địa bàn tỉnh do người có thẩm quyền khác cho phép.</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w:t>
      </w:r>
      <w:r>
        <w:rPr>
          <w:rFonts w:eastAsia="Times New Roman"/>
          <w:sz w:val="28"/>
          <w:szCs w:val="28"/>
          <w:lang w:eastAsia="en-US"/>
        </w:rPr>
        <w:t xml:space="preserve">) Làm đầu mối tiếp nhận hồ sơ, thẩm định nội dung các hội nghị, hội thảo quốc tế thuộc thẩm quyền của Chủ tịch UBND tỉnh; quản lý, hướng dẫn, kiểm tra, các cơ quan, đơn vị, địa phương thực hiện các quy định về tổ chức và quản lý hội nghị, hội thảo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Báo cáo Chủ tịch UBND tỉnh xem xét đình chỉ việc tổ chức hội nghị, hội thảo quốc tế thuộc thẩm quyền của Chủ tịch UBND tỉnh, đề nghị cơ quan của </w:t>
      </w:r>
      <w:r>
        <w:rPr>
          <w:rFonts w:eastAsia="Times New Roman"/>
          <w:sz w:val="28"/>
          <w:szCs w:val="28"/>
          <w:lang w:eastAsia="en-US"/>
        </w:rPr>
        <w:t xml:space="preserve">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Tham mưu cho Chủ tịch UBND tỉnh báo cáo định kỳ hằng năm cho Bộ Ngoại giao về tình hình tổ chức và quản lý hội nghị, hội thảo quốc tế tại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23. Về công tác ký kết và thực hiện thỏa thuận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Giúp UBND tỉnh thực hiện quản lý nhà nước về ký kết và thực hiện các thỏa thuận quốc tế tại địa phương theo pháp luật về thỏa thuận quốc tế.</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Theo dõi, đôn đốc việc thực hiện các thỏa thuận đã ký kết; báo cáo và xin ý kiến chỉ đạo của cấp có thẩm quyền về những vấn đề phát sinh trong ký kết và thực hiện thỏa thuận quốc tế tại địa phương.</w:t>
      </w:r>
      <w:r>
        <w:rPr>
          <w:rFonts w:eastAsia="Times New Roman"/>
          <w:lang w:eastAsia="en-US"/>
        </w:rPr>
      </w:r>
    </w:p>
    <w:p>
      <w:pPr>
        <w:pStyle w:val="906"/>
        <w:pBdr/>
        <w:spacing w:after="120" w:afterAutospacing="0" w:before="120" w:beforeAutospacing="0"/>
        <w:ind w:firstLine="828" w:left="-108"/>
        <w:jc w:val="both"/>
        <w:rPr>
          <w:iCs/>
          <w:sz w:val="28"/>
          <w:szCs w:val="28"/>
          <w:shd w:val="clear" w:color="auto" w:fill="ffffff"/>
        </w:rPr>
      </w:pPr>
      <w:r>
        <w:rPr>
          <w:iCs/>
          <w:sz w:val="28"/>
          <w:szCs w:val="28"/>
          <w:shd w:val="clear" w:color="auto" w:fill="ffffff"/>
        </w:rPr>
        <w:t xml:space="preserve">24. Về công tác phi chính phủ nước ngoài:</w:t>
      </w:r>
      <w:r>
        <w:rPr>
          <w:iCs/>
          <w:sz w:val="28"/>
          <w:szCs w:val="28"/>
          <w:shd w:val="clear" w:color="auto" w:fill="ffffff"/>
        </w:rPr>
      </w:r>
    </w:p>
    <w:p>
      <w:pPr>
        <w:pStyle w:val="906"/>
        <w:pBdr/>
        <w:spacing w:after="120" w:afterAutospacing="0" w:before="120" w:beforeAutospacing="0"/>
        <w:ind w:firstLine="828" w:left="-108"/>
        <w:jc w:val="both"/>
        <w:rPr>
          <w:sz w:val="28"/>
          <w:szCs w:val="28"/>
          <w:shd w:val="clear" w:color="auto" w:fill="ffffff"/>
        </w:rPr>
      </w:pPr>
      <w:r>
        <w:rPr>
          <w:iCs/>
          <w:sz w:val="28"/>
          <w:szCs w:val="28"/>
          <w:shd w:val="clear" w:color="auto" w:fill="ffffff"/>
        </w:rPr>
        <w:t xml:space="preserve">a) </w:t>
      </w:r>
      <w:r>
        <w:rPr>
          <w:sz w:val="28"/>
          <w:szCs w:val="28"/>
          <w:shd w:val="clear" w:color="auto" w:fill="ffffff"/>
        </w:rPr>
        <w:t xml:space="preserve">Là cơ quan đầu mối để tham mưu UB</w:t>
      </w:r>
      <w:r>
        <w:rPr>
          <w:sz w:val="28"/>
          <w:szCs w:val="28"/>
          <w:shd w:val="clear" w:color="auto" w:fill="ffffff"/>
        </w:rPr>
        <w:t xml:space="preserve">ND tỉnh quản lý hoạt động của các tổ chức phi chính phủ nước ngoài tại địa phương; phối hợp thẩm định về hồ sơ cấp, gia hạn, sửa đổi, bổ sung, cấp lại và trong việc đình chỉ, chấm dứt hoạt động và thu hồi Giấy đăng ký của tổ chức phi chính phủ nước ngoài k</w:t>
      </w:r>
      <w:r>
        <w:rPr>
          <w:sz w:val="28"/>
          <w:szCs w:val="28"/>
          <w:shd w:val="clear" w:color="auto" w:fill="ffffff"/>
        </w:rPr>
        <w:t xml:space="preserve">hi được yêu cầu; phối hợp trong xây dựng, vận hành cơ sở dữ liệu về các tổ chức phi chính phủ nước ngoài; phối hợp trong thanh tra, kiểm tra và xử lý vi phạm đối với hoạt động của các tổ chức phi chính phủ nước ngoài tại địa phương và theo quy định của phá</w:t>
      </w:r>
      <w:r>
        <w:rPr>
          <w:sz w:val="28"/>
          <w:szCs w:val="28"/>
          <w:shd w:val="clear" w:color="auto" w:fill="ffffff"/>
        </w:rPr>
        <w:t xml:space="preserve">p luật Việt Nam; báo cáo định kỳ hàng năm và đột xuất theo yêu cầu, gửi trực tiếp hoặc qua dịch vụ bưu chính hoặc trực tuyến tới Bộ Ngoại giao và Ủy ban công tác về các tổ chức phi chính phủ nước ngoài để tổng hợp báo cáo Thủ tướng Chính phủ theo quy định.</w:t>
      </w:r>
      <w:r>
        <w:rPr>
          <w:sz w:val="28"/>
          <w:szCs w:val="28"/>
          <w:shd w:val="clear" w:color="auto" w:fill="ffffff"/>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Quản lý các hoạt động quan hệ hợp tác và vận động viện trợ không hoàn lại không thuộc hỗ trợ phát triển chính t</w:t>
      </w:r>
      <w:r>
        <w:rPr>
          <w:rFonts w:eastAsia="Times New Roman"/>
          <w:sz w:val="28"/>
          <w:szCs w:val="28"/>
          <w:lang w:eastAsia="en-US"/>
        </w:rPr>
        <w:t xml:space="preserve">hức của các tổ chức phi chính phủ nước ngoài tại địa phương; xây dựng chương trình, kế hoạch và hỗ trợ các cơ quan, đơn vị, địa phương trong vận động viện trợ không hoàn lại không thuộc hỗ trợ phát triển chính thức của các tổ chức phi chính phủ nước ngoài.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c) Phối hợp thẩm định các chương trình, dự án và các khoản viện trợ không hoàn lại không thuộc hỗ trợ phát triển chính thức của các tổ chức phi chính phủ nước ngoài, bảo đảm yêu cầu về chính trị đối ngoại.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d) Tuyển dụng, quản lý người lao động Việt Nam làm việc cho tổ chức phi chính phủ nước ngoài hoạt động tại địa phương trong trường hợp được Bộ Ngoại giao phân cấp, ủy quyền, giao nhiệm vụ, đặt hàng hoặc đấu thầu.</w:t>
      </w:r>
      <w:r>
        <w:rPr>
          <w:rFonts w:eastAsia="Times New Roman"/>
          <w:lang w:eastAsia="en-US"/>
        </w:rPr>
      </w:r>
    </w:p>
    <w:p>
      <w:pPr>
        <w:pStyle w:val="906"/>
        <w:pBdr/>
        <w:spacing w:after="120" w:afterAutospacing="0" w:before="120" w:beforeAutospacing="0"/>
        <w:ind w:firstLine="828" w:left="-108"/>
        <w:jc w:val="both"/>
        <w:rPr/>
      </w:pPr>
      <w:r>
        <w:rPr>
          <w:iCs/>
          <w:sz w:val="28"/>
          <w:szCs w:val="28"/>
          <w:shd w:val="clear" w:color="auto" w:fill="ffffff"/>
        </w:rPr>
        <w:t xml:space="preserve">25. Công tác tiếp công dân, giải quyết khiếu nại, tố cáo và phòng, chống tham nhũng, tiêu cực</w:t>
      </w:r>
      <w:r/>
    </w:p>
    <w:p>
      <w:pPr>
        <w:pStyle w:val="906"/>
        <w:pBdr/>
        <w:spacing w:after="120" w:afterAutospacing="0" w:before="120" w:beforeAutospacing="0"/>
        <w:ind w:firstLine="720"/>
        <w:jc w:val="both"/>
        <w:rPr>
          <w:iCs/>
          <w:sz w:val="28"/>
          <w:szCs w:val="28"/>
        </w:rPr>
      </w:pPr>
      <w:r>
        <w:rPr>
          <w:iCs/>
          <w:sz w:val="28"/>
          <w:szCs w:val="28"/>
        </w:rPr>
        <w:t xml:space="preserve">Thực hiện nhiệm vụ tiếp công dân, giải quyết khiế</w:t>
      </w:r>
      <w:r>
        <w:rPr>
          <w:iCs/>
          <w:sz w:val="28"/>
          <w:szCs w:val="28"/>
        </w:rPr>
        <w:t xml:space="preserve">u nại, tố cáo và phòng, chống tham nhũng, tiêu cực theo quy định. Hướng dẫn, kiểm tra các đơn vị thuộc Sở thực hiện các quy định chung của pháp luật về công tác tiếp công dân, giải quyết khiếu nại, tố cáo và phòng, chống tham nhũng, tiêu cực theo quy định.</w:t>
      </w:r>
      <w:r>
        <w:rPr>
          <w:iCs/>
          <w:sz w:val="28"/>
          <w:szCs w:val="28"/>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26. Về công tác bồi dưỡng kiến thức nghiệp vụ đối ngoại:</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a) Đề xuất, xây dựng và tổ chức thực hiện các chương trình bồi dưỡng kiến thức chuyên môn nghiệp vụ đối ngoại cho cán bộ, công chức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b) Làm đầu mối phối hợp với Bộ Ngoại giao và các cơ quan liên quan triển khai các chương trình bồi dưỡng về đối ngoại và hội nhập quốc tế cho cán bộ, công chức địa phương.</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27. Thực hiện báo cáo định kỳ và đột xuất về tình hình thực hiện nhiệm vụ đối ngoại theo quy định.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28. Thực hiện cải cách hành chính theo mục tiêu và nội dung chương trình cải cách hành chính của UBND </w:t>
      </w:r>
      <w:r>
        <w:rPr>
          <w:rFonts w:eastAsia="Times New Roman"/>
          <w:sz w:val="28"/>
          <w:szCs w:val="28"/>
          <w:lang w:eastAsia="en-US"/>
        </w:rPr>
        <w:t xml:space="preserve">tỉnh; tổ chức ứng dụng khoa học, công nghệ, xây dựng hệ thống thông tin, cơ sở dữ liệu lưu trữ phục vụ công tác quản lý nhà nước và hoạt động đối ngoại; phối hợp với Bộ Ngoại giao xây dựng hệ thống cơ sở dữ liệu về hoạt động đối ngoại địa phương toàn quốc.</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29. Quy định cụ thể chức năng, nhiệm vụ, quyền hạn và mối quan hệ công tác của các đơn vị thuộc Sở Ngoại vụ; quản lý tổ chức bộ máy, biên chế, thực hiện chế độ tiền lương</w:t>
      </w:r>
      <w:r>
        <w:rPr>
          <w:rFonts w:eastAsia="Times New Roman"/>
          <w:sz w:val="28"/>
          <w:szCs w:val="28"/>
          <w:lang w:eastAsia="en-US"/>
        </w:rPr>
        <w:t xml:space="preserve">, chính sách, chế độ đãi ngộ, đào tạo, bồi dưỡng, bổ nhiệm, miễn nhiệm, thi đua - khen thưởng, kỷ luật đối với công chức, viên chức và người lao động thuộc phạm vi quản lý của Sở theo quy định của pháp luật và theo sự phân công hoặc ủy quyền của UBND tỉnh.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30. Quản lý tài chính, tài sản được giao và tổ chức thực hiện ngân sách được phân bổ theo quy định của pháp luật và phân cấp của Ủy ban nhân dân tỉnh.</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31. Hướng dẫn, kiểm tra việc thực hiện cơ chế tự chủ, tự chịu trách nhiệm của các tổ chức sự nghiệp công lập trực thuộc Sở Ngoại vụ theo quy định pháp luật (nếu có).</w:t>
      </w:r>
      <w:r>
        <w:rPr>
          <w:rFonts w:eastAsia="Times New Roman"/>
          <w:lang w:eastAsia="en-US"/>
        </w:rPr>
      </w:r>
    </w:p>
    <w:p>
      <w:pPr>
        <w:pBdr/>
        <w:shd w:val="clear" w:color="auto" w:fill="ffffff"/>
        <w:spacing w:after="120" w:before="120"/>
        <w:ind w:firstLine="709"/>
        <w:jc w:val="both"/>
        <w:rPr>
          <w:rFonts w:eastAsia="Times New Roman"/>
          <w:lang w:eastAsia="en-US"/>
        </w:rPr>
      </w:pPr>
      <w:r>
        <w:rPr>
          <w:rFonts w:eastAsia="Times New Roman"/>
          <w:sz w:val="28"/>
          <w:szCs w:val="28"/>
          <w:lang w:eastAsia="en-US"/>
        </w:rPr>
        <w:t xml:space="preserve">32. Thực hiện các nhiệm vụ khác do UBND tỉnh, Chủ tịch UBND tỉnh phân công.</w:t>
      </w:r>
      <w:r>
        <w:rPr>
          <w:rFonts w:eastAsia="Times New Roman"/>
          <w:lang w:eastAsia="en-US"/>
        </w:rPr>
      </w:r>
    </w:p>
    <w:p>
      <w:pPr>
        <w:pBdr/>
        <w:shd w:val="clear" w:color="auto" w:fill="ffffff"/>
        <w:spacing w:after="120" w:before="120"/>
        <w:ind w:firstLine="709"/>
        <w:jc w:val="both"/>
        <w:rPr>
          <w:rFonts w:eastAsia="Times New Roman"/>
          <w:lang w:eastAsia="en-US"/>
        </w:rPr>
      </w:pPr>
      <w:r/>
      <w:bookmarkStart w:id="3" w:name="dieu_5"/>
      <w:r>
        <w:rPr>
          <w:rFonts w:eastAsia="Times New Roman"/>
          <w:b/>
          <w:bCs/>
          <w:sz w:val="28"/>
          <w:szCs w:val="28"/>
          <w:lang w:eastAsia="en-US"/>
        </w:rPr>
        <w:t xml:space="preserve">Điều 3. Cơ cấu tổ chức</w:t>
      </w:r>
      <w:bookmarkEnd w:id="3"/>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1. Lãnh đạo Sở Ngoại vụ:</w:t>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a) Lãnh đạo Sở gồm: Giám đốc Sở và </w:t>
      </w:r>
      <w:r>
        <w:rPr>
          <w:rFonts w:eastAsia="Times New Roman"/>
          <w:sz w:val="28"/>
          <w:szCs w:val="28"/>
          <w:lang w:eastAsia="en-US"/>
        </w:rPr>
        <w:t xml:space="preserve">03</w:t>
      </w:r>
      <w:r>
        <w:rPr>
          <w:rFonts w:eastAsia="Times New Roman"/>
          <w:sz w:val="28"/>
          <w:szCs w:val="28"/>
          <w:lang w:eastAsia="en-US"/>
        </w:rPr>
        <w:t xml:space="preserve"> Phó Giám đốc Sở.</w:t>
      </w:r>
      <w:r>
        <w:rPr>
          <w:rFonts w:eastAsia="Times New Roman"/>
          <w:lang w:eastAsia="en-US"/>
        </w:rPr>
      </w:r>
    </w:p>
    <w:p>
      <w:pPr>
        <w:pBdr/>
        <w:spacing w:after="120" w:before="120"/>
        <w:ind w:firstLine="709"/>
        <w:jc w:val="both"/>
        <w:rPr>
          <w:rFonts w:eastAsia="Times New Roman"/>
          <w:sz w:val="28"/>
          <w:szCs w:val="28"/>
          <w:lang w:eastAsia="en-US"/>
        </w:rPr>
      </w:pPr>
      <w:r>
        <w:rPr>
          <w:rFonts w:eastAsia="Times New Roman"/>
          <w:sz w:val="28"/>
          <w:szCs w:val="28"/>
          <w:lang w:eastAsia="en-US"/>
        </w:rPr>
        <w:t xml:space="preserve">b) Người đứng đầu Sở Ngoại vụ (sau đây gọi chung là Giám đốc sở</w:t>
      </w:r>
      <w:r>
        <w:rPr>
          <w:rFonts w:eastAsia="Times New Roman"/>
          <w:sz w:val="28"/>
          <w:szCs w:val="28"/>
          <w:lang w:eastAsia="en-US"/>
        </w:rPr>
        <w:t xml:space="preserve">) do Chủ tịch Ủy ban nhân dân cấp tỉnh bổ nhiệm, chịu trách nhiệm trước Ủy ban nhân dân, Chủ tịch Ủy ban nhân dân cấp tỉnh và trước pháp luật về thực hiện chức năng, nhiệm vụ, quyền hạn của sở theo Quy chế làm việc và phân công của Ủy ban nhân dân cấp tỉnh</w:t>
      </w:r>
      <w:r>
        <w:rPr>
          <w:rFonts w:eastAsia="Times New Roman"/>
          <w:sz w:val="28"/>
          <w:szCs w:val="28"/>
          <w:lang w:eastAsia="en-US"/>
        </w:rPr>
        <w:t xml:space="preserve">.</w:t>
      </w:r>
      <w:r>
        <w:rPr>
          <w:rFonts w:eastAsia="Times New Roman"/>
          <w:sz w:val="28"/>
          <w:szCs w:val="28"/>
          <w:lang w:eastAsia="en-US"/>
        </w:rPr>
      </w:r>
    </w:p>
    <w:p>
      <w:pPr>
        <w:pBdr/>
        <w:spacing w:after="120" w:before="120"/>
        <w:ind w:firstLine="709"/>
        <w:jc w:val="both"/>
        <w:rPr>
          <w:rFonts w:eastAsia="Times New Roman"/>
          <w:sz w:val="28"/>
          <w:szCs w:val="28"/>
          <w:lang w:eastAsia="en-US"/>
        </w:rPr>
      </w:pPr>
      <w:r>
        <w:rPr>
          <w:rFonts w:eastAsia="Times New Roman"/>
          <w:sz w:val="28"/>
          <w:szCs w:val="28"/>
          <w:lang w:eastAsia="en-US"/>
        </w:rPr>
        <w:t xml:space="preserve">c) Cấp phó của người đứng đầu Sở  Ngoại vụ thuộc Ủy ban nhân dân cấp tỉnh (sau đây gọi chung là Phó Giám đ</w:t>
      </w:r>
      <w:r>
        <w:rPr>
          <w:rFonts w:eastAsia="Times New Roman"/>
          <w:sz w:val="28"/>
          <w:szCs w:val="28"/>
          <w:lang w:eastAsia="en-US"/>
        </w:rPr>
        <w:t xml:space="preserve">ốc Sở)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w:t>
      </w:r>
      <w:r>
        <w:rPr>
          <w:rFonts w:eastAsia="Times New Roman"/>
          <w:sz w:val="28"/>
          <w:szCs w:val="28"/>
          <w:lang w:eastAsia="en-US"/>
        </w:rPr>
        <w:t xml:space="preserve">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rFonts w:eastAsia="Times New Roman"/>
          <w:sz w:val="28"/>
          <w:szCs w:val="28"/>
          <w:lang w:eastAsia="en-US"/>
        </w:rPr>
        <w:t xml:space="preserve">.</w:t>
      </w:r>
      <w:r>
        <w:rPr>
          <w:rFonts w:eastAsia="Times New Roman"/>
          <w:sz w:val="28"/>
          <w:szCs w:val="28"/>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2. Các đơn vị thuộc Sở Ngoại vụ:</w:t>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a) Các đơn vị chuyên môn nghiệp vụ:</w:t>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 Văn phòng.</w:t>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 Phòng Hợp tác quốc tế - Lãnh sự.</w:t>
      </w:r>
      <w:r>
        <w:rPr>
          <w:rFonts w:eastAsia="Times New Roman"/>
          <w:lang w:eastAsia="en-US"/>
        </w:rPr>
      </w:r>
    </w:p>
    <w:p>
      <w:pPr>
        <w:pBdr/>
        <w:spacing w:after="120" w:before="120"/>
        <w:ind w:firstLine="709"/>
        <w:jc w:val="both"/>
        <w:rPr>
          <w:rFonts w:eastAsia="Times New Roman"/>
          <w:lang w:eastAsia="en-US"/>
        </w:rPr>
      </w:pPr>
      <w:r>
        <w:rPr>
          <w:rFonts w:eastAsia="Times New Roman"/>
          <w:sz w:val="28"/>
          <w:szCs w:val="28"/>
          <w:lang w:eastAsia="en-US"/>
        </w:rPr>
        <w:t xml:space="preserve">- Phòng Quản lý Biên giới.</w:t>
      </w:r>
      <w:r>
        <w:rPr>
          <w:rFonts w:eastAsia="Times New Roman"/>
          <w:lang w:eastAsia="en-US"/>
        </w:rPr>
      </w:r>
    </w:p>
    <w:p>
      <w:pPr>
        <w:pBdr/>
        <w:shd w:val="clear" w:color="auto" w:fill="ffffff"/>
        <w:spacing w:after="120" w:before="120"/>
        <w:ind w:firstLine="709"/>
        <w:jc w:val="both"/>
        <w:rPr>
          <w:rFonts w:eastAsia="Times New Roman"/>
          <w:sz w:val="28"/>
          <w:szCs w:val="28"/>
          <w:lang w:eastAsia="en-US"/>
        </w:rPr>
      </w:pPr>
      <w:r>
        <w:rPr>
          <w:rFonts w:eastAsia="Times New Roman"/>
          <w:sz w:val="28"/>
          <w:szCs w:val="28"/>
          <w:lang w:eastAsia="en-US"/>
        </w:rPr>
        <w:t xml:space="preserve">b) Số lượng Phó Trưởng</w:t>
      </w:r>
      <w:r>
        <w:rPr>
          <w:rFonts w:eastAsia="Times New Roman"/>
          <w:sz w:val="28"/>
          <w:szCs w:val="28"/>
          <w:lang w:eastAsia="en-US"/>
        </w:rPr>
        <w:t xml:space="preserve"> phòng</w:t>
      </w:r>
      <w:r>
        <w:rPr>
          <w:rFonts w:eastAsia="Times New Roman"/>
          <w:sz w:val="28"/>
          <w:szCs w:val="28"/>
          <w:lang w:eastAsia="en-US"/>
        </w:rPr>
        <w:t xml:space="preserve"> các đơn vị chuyên môn, nghiệp vụ thuộc Sở thực hiện theo quy định hiện hành.</w:t>
      </w:r>
      <w:r>
        <w:rPr>
          <w:rFonts w:eastAsia="Times New Roman"/>
          <w:sz w:val="28"/>
          <w:szCs w:val="28"/>
          <w:lang w:eastAsia="en-US"/>
        </w:rPr>
      </w:r>
    </w:p>
    <w:p>
      <w:pPr>
        <w:pBdr/>
        <w:shd w:val="clear" w:color="auto" w:fill="ffffff"/>
        <w:spacing w:after="120" w:before="120"/>
        <w:ind w:firstLine="709"/>
        <w:jc w:val="both"/>
        <w:rPr>
          <w:rFonts w:eastAsia="Times New Roman"/>
          <w:b/>
          <w:sz w:val="28"/>
          <w:lang w:eastAsia="en-US"/>
        </w:rPr>
      </w:pPr>
      <w:r>
        <w:rPr>
          <w:rFonts w:eastAsia="Times New Roman"/>
          <w:b/>
          <w:sz w:val="28"/>
          <w:lang w:eastAsia="en-US"/>
        </w:rPr>
        <w:t xml:space="preserve">Điều 4. Trách nhiệm thi hành</w:t>
      </w:r>
      <w:r>
        <w:rPr>
          <w:rFonts w:eastAsia="Times New Roman"/>
          <w:b/>
          <w:sz w:val="28"/>
          <w:lang w:eastAsia="en-US"/>
        </w:rPr>
      </w:r>
    </w:p>
    <w:p>
      <w:pPr>
        <w:pBdr/>
        <w:shd w:val="clear" w:color="auto" w:fill="ffffff"/>
        <w:spacing w:after="120" w:before="120"/>
        <w:ind w:firstLine="709"/>
        <w:jc w:val="both"/>
        <w:rPr>
          <w:rFonts w:eastAsia="Times New Roman"/>
          <w:sz w:val="28"/>
          <w:lang w:eastAsia="en-US"/>
        </w:rPr>
      </w:pPr>
      <w:r>
        <w:rPr>
          <w:sz w:val="28"/>
        </w:rPr>
        <w:t xml:space="preserve">Sở Ngoại vụ có trách nhiệm phối hợp với các cơ quan, đơn vị, địa phương tổ chức triển khai thực hiện và kiểm tra việc thực hiện Quy định này.</w:t>
      </w:r>
      <w:r>
        <w:rPr>
          <w:rFonts w:eastAsia="Times New Roman"/>
          <w:sz w:val="28"/>
          <w:lang w:eastAsia="en-US"/>
        </w:rPr>
      </w:r>
    </w:p>
    <w:p>
      <w:pPr>
        <w:pBdr/>
        <w:spacing/>
        <w:ind/>
        <w:rPr/>
      </w:pPr>
      <w:r/>
      <w:r/>
    </w:p>
    <w:sectPr>
      <w:headerReference w:type="default" r:id="rId8"/>
      <w:footnotePr/>
      <w:endnotePr/>
      <w:type w:val="nextPage"/>
      <w:pgSz w:h="16840" w:orient="portrait" w:w="11907"/>
      <w:pgMar w:top="1138" w:right="1138" w:bottom="1138" w:left="1699" w:header="706" w:footer="70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MS Mincho">
    <w:panose1 w:val="0202060305040509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05013424"/>
      <w:docPartObj>
        <w:docPartGallery w:val="Page Numbers (Top of Page)"/>
        <w:docPartUnique w:val="true"/>
      </w:docPartObj>
      <w:rPr/>
    </w:sdtPr>
    <w:sdtContent>
      <w:p>
        <w:pPr>
          <w:pStyle w:val="882"/>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10</w:t>
        </w:r>
        <w:r>
          <w:rPr>
            <w:sz w:val="28"/>
          </w:rPr>
          <w:fldChar w:fldCharType="end"/>
        </w:r>
        <w:r>
          <w:rPr>
            <w:sz w:val="28"/>
          </w:rPr>
        </w:r>
      </w:p>
    </w:sdtContent>
  </w:sdt>
  <w:p>
    <w:pPr>
      <w:pStyle w:val="882"/>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ja-JP"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20" w:default="1">
    <w:name w:val="Normal"/>
    <w:qFormat/>
    <w:pPr>
      <w:pBdr/>
      <w:spacing w:after="0" w:line="240" w:lineRule="auto"/>
      <w:ind/>
    </w:pPr>
    <w:rPr>
      <w:rFonts w:ascii="Times New Roman" w:hAnsi="Times New Roman" w:eastAsia="MS Mincho" w:cs="Times New Roman"/>
      <w:sz w:val="24"/>
      <w:szCs w:val="24"/>
    </w:rPr>
  </w:style>
  <w:style w:type="paragraph" w:styleId="721">
    <w:name w:val="Heading 1"/>
    <w:basedOn w:val="720"/>
    <w:next w:val="720"/>
    <w:link w:val="858"/>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722">
    <w:name w:val="Heading 2"/>
    <w:basedOn w:val="720"/>
    <w:next w:val="720"/>
    <w:link w:val="859"/>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723">
    <w:name w:val="Heading 3"/>
    <w:basedOn w:val="720"/>
    <w:link w:val="909"/>
    <w:uiPriority w:val="9"/>
    <w:qFormat/>
    <w:pPr>
      <w:pBdr/>
      <w:spacing w:after="100" w:afterAutospacing="1" w:before="100" w:beforeAutospacing="1"/>
      <w:ind/>
      <w:outlineLvl w:val="2"/>
    </w:pPr>
    <w:rPr>
      <w:rFonts w:eastAsia="Times New Roman"/>
      <w:b/>
      <w:bCs/>
      <w:sz w:val="27"/>
      <w:szCs w:val="27"/>
      <w:lang w:eastAsia="en-US" w:bidi="km-KH"/>
    </w:rPr>
  </w:style>
  <w:style w:type="paragraph" w:styleId="724">
    <w:name w:val="Heading 4"/>
    <w:basedOn w:val="720"/>
    <w:next w:val="720"/>
    <w:link w:val="86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25">
    <w:name w:val="Heading 5"/>
    <w:basedOn w:val="720"/>
    <w:link w:val="910"/>
    <w:uiPriority w:val="9"/>
    <w:qFormat/>
    <w:pPr>
      <w:pBdr/>
      <w:spacing w:after="100" w:afterAutospacing="1" w:before="100" w:beforeAutospacing="1"/>
      <w:ind/>
      <w:outlineLvl w:val="4"/>
    </w:pPr>
    <w:rPr>
      <w:rFonts w:eastAsia="Times New Roman"/>
      <w:b/>
      <w:bCs/>
      <w:sz w:val="20"/>
      <w:szCs w:val="20"/>
      <w:lang w:eastAsia="en-US" w:bidi="km-KH"/>
    </w:rPr>
  </w:style>
  <w:style w:type="paragraph" w:styleId="726">
    <w:name w:val="Heading 6"/>
    <w:basedOn w:val="720"/>
    <w:next w:val="720"/>
    <w:link w:val="861"/>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27">
    <w:name w:val="Heading 7"/>
    <w:basedOn w:val="720"/>
    <w:next w:val="720"/>
    <w:link w:val="86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28">
    <w:name w:val="Heading 8"/>
    <w:basedOn w:val="720"/>
    <w:next w:val="720"/>
    <w:link w:val="86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29">
    <w:name w:val="Heading 9"/>
    <w:basedOn w:val="720"/>
    <w:next w:val="720"/>
    <w:link w:val="86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30" w:default="1">
    <w:name w:val="Default Paragraph Font"/>
    <w:uiPriority w:val="1"/>
    <w:semiHidden/>
    <w:unhideWhenUsed/>
    <w:pPr>
      <w:pBdr/>
      <w:spacing/>
      <w:ind/>
    </w:pPr>
  </w:style>
  <w:style w:type="table" w:styleId="7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table" w:styleId="733">
    <w:name w:val="Grid Table Light"/>
    <w:basedOn w:val="7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7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73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73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Accent 1"/>
    <w:basedOn w:val="73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Accent 2"/>
    <w:basedOn w:val="73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Accent 3"/>
    <w:basedOn w:val="73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Accent 4"/>
    <w:basedOn w:val="73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Accent 5"/>
    <w:basedOn w:val="73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Accent 6"/>
    <w:basedOn w:val="73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7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Accent 1"/>
    <w:basedOn w:val="73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Accent 2"/>
    <w:basedOn w:val="73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Accent 3"/>
    <w:basedOn w:val="73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Accent 4"/>
    <w:basedOn w:val="73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Accent 5"/>
    <w:basedOn w:val="73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Accent 6"/>
    <w:basedOn w:val="73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7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Accent 1"/>
    <w:basedOn w:val="73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Accent 2"/>
    <w:basedOn w:val="73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Accent 3"/>
    <w:basedOn w:val="73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Accent 4"/>
    <w:basedOn w:val="73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Accent 5"/>
    <w:basedOn w:val="73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Accent 6"/>
    <w:basedOn w:val="73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73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Accent 1"/>
    <w:basedOn w:val="731"/>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Accent 2"/>
    <w:basedOn w:val="731"/>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Accent 3"/>
    <w:basedOn w:val="731"/>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Accent 4"/>
    <w:basedOn w:val="731"/>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Accent 5"/>
    <w:basedOn w:val="731"/>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Accent 6"/>
    <w:basedOn w:val="731"/>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5 Dark- Accent 1"/>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2"/>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3"/>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5 Dark- Accent 4"/>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5"/>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6"/>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73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Accent 1"/>
    <w:basedOn w:val="731"/>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Accent 2"/>
    <w:basedOn w:val="73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Accent 3"/>
    <w:basedOn w:val="731"/>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Accent 4"/>
    <w:basedOn w:val="73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Accent 5"/>
    <w:basedOn w:val="731"/>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Accent 6"/>
    <w:basedOn w:val="731"/>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w:basedOn w:val="73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Accent 1"/>
    <w:basedOn w:val="731"/>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Accent 2"/>
    <w:basedOn w:val="731"/>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Accent 3"/>
    <w:basedOn w:val="731"/>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Accent 4"/>
    <w:basedOn w:val="731"/>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Accent 5"/>
    <w:basedOn w:val="731"/>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Accent 6"/>
    <w:basedOn w:val="731"/>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Accent 1"/>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Accent 2"/>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Accent 3"/>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Accent 4"/>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Accent 5"/>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Accent 6"/>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73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Accent 1"/>
    <w:basedOn w:val="731"/>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Accent 2"/>
    <w:basedOn w:val="731"/>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Accent 3"/>
    <w:basedOn w:val="731"/>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Accent 4"/>
    <w:basedOn w:val="731"/>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Accent 5"/>
    <w:basedOn w:val="731"/>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Accent 6"/>
    <w:basedOn w:val="731"/>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7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Accent 1"/>
    <w:basedOn w:val="731"/>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Accent 2"/>
    <w:basedOn w:val="73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Accent 3"/>
    <w:basedOn w:val="731"/>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Accent 4"/>
    <w:basedOn w:val="73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Accent 5"/>
    <w:basedOn w:val="731"/>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Accent 6"/>
    <w:basedOn w:val="731"/>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7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Accent 1"/>
    <w:basedOn w:val="731"/>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Accent 2"/>
    <w:basedOn w:val="731"/>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Accent 3"/>
    <w:basedOn w:val="731"/>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Accent 4"/>
    <w:basedOn w:val="731"/>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Accent 5"/>
    <w:basedOn w:val="731"/>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Accent 6"/>
    <w:basedOn w:val="731"/>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73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Accent 1"/>
    <w:basedOn w:val="731"/>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Accent 2"/>
    <w:basedOn w:val="731"/>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Accent 3"/>
    <w:basedOn w:val="731"/>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Accent 4"/>
    <w:basedOn w:val="731"/>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Accent 5"/>
    <w:basedOn w:val="731"/>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Accent 6"/>
    <w:basedOn w:val="731"/>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w:basedOn w:val="73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Accent 1"/>
    <w:basedOn w:val="731"/>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Accent 2"/>
    <w:basedOn w:val="731"/>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Accent 3"/>
    <w:basedOn w:val="731"/>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Accent 4"/>
    <w:basedOn w:val="731"/>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Accent 5"/>
    <w:basedOn w:val="731"/>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Accent 6"/>
    <w:basedOn w:val="731"/>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73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Accent 1"/>
    <w:basedOn w:val="731"/>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Accent 2"/>
    <w:basedOn w:val="731"/>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Accent 3"/>
    <w:basedOn w:val="731"/>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Accent 4"/>
    <w:basedOn w:val="731"/>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Accent 5"/>
    <w:basedOn w:val="731"/>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Accent 6"/>
    <w:basedOn w:val="731"/>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ned - Accent"/>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1"/>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2"/>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3"/>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4"/>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5"/>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6"/>
    <w:basedOn w:val="731"/>
    <w:uiPriority w:val="99"/>
    <w:pPr>
      <w:pBdr/>
      <w:spacing w:after="0" w:line="240" w:lineRule="auto"/>
      <w:ind/>
    </w:pPr>
    <w:rPr>
      <w:color w:val="404040"/>
      <w:sz w:val="20"/>
      <w:szCs w:val="20"/>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amp; Lined - Accent"/>
    <w:basedOn w:val="731"/>
    <w:uiPriority w:val="99"/>
    <w:pPr>
      <w:pBdr/>
      <w:spacing w:after="0" w:line="240" w:lineRule="auto"/>
      <w:ind/>
    </w:pPr>
    <w:rPr>
      <w:color w:val="404040"/>
      <w:sz w:val="20"/>
      <w:szCs w:val="20"/>
      <w:lang w:eastAsia="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1"/>
    <w:basedOn w:val="731"/>
    <w:uiPriority w:val="99"/>
    <w:pPr>
      <w:pBdr/>
      <w:spacing w:after="0" w:line="240" w:lineRule="auto"/>
      <w:ind/>
    </w:pPr>
    <w:rPr>
      <w:color w:val="404040"/>
      <w:sz w:val="20"/>
      <w:szCs w:val="20"/>
      <w:lang w:eastAsia="en-US"/>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2"/>
    <w:basedOn w:val="731"/>
    <w:uiPriority w:val="99"/>
    <w:pPr>
      <w:pBdr/>
      <w:spacing w:after="0" w:line="240" w:lineRule="auto"/>
      <w:ind/>
    </w:pPr>
    <w:rPr>
      <w:color w:val="404040"/>
      <w:sz w:val="20"/>
      <w:szCs w:val="20"/>
      <w:lang w:eastAsia="en-US"/>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3"/>
    <w:basedOn w:val="731"/>
    <w:uiPriority w:val="99"/>
    <w:pPr>
      <w:pBdr/>
      <w:spacing w:after="0" w:line="240" w:lineRule="auto"/>
      <w:ind/>
    </w:pPr>
    <w:rPr>
      <w:color w:val="404040"/>
      <w:sz w:val="20"/>
      <w:szCs w:val="20"/>
      <w:lang w:eastAsia="en-US"/>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4"/>
    <w:basedOn w:val="731"/>
    <w:uiPriority w:val="99"/>
    <w:pPr>
      <w:pBdr/>
      <w:spacing w:after="0" w:line="240" w:lineRule="auto"/>
      <w:ind/>
    </w:pPr>
    <w:rPr>
      <w:color w:val="404040"/>
      <w:sz w:val="20"/>
      <w:szCs w:val="20"/>
      <w:lang w:eastAsia="en-US"/>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5"/>
    <w:basedOn w:val="731"/>
    <w:uiPriority w:val="99"/>
    <w:pPr>
      <w:pBdr/>
      <w:spacing w:after="0" w:line="240" w:lineRule="auto"/>
      <w:ind/>
    </w:pPr>
    <w:rPr>
      <w:color w:val="404040"/>
      <w:sz w:val="20"/>
      <w:szCs w:val="20"/>
      <w:lang w:eastAsia="en-US"/>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6"/>
    <w:basedOn w:val="731"/>
    <w:uiPriority w:val="99"/>
    <w:pPr>
      <w:pBdr/>
      <w:spacing w:after="0" w:line="240" w:lineRule="auto"/>
      <w:ind/>
    </w:pPr>
    <w:rPr>
      <w:color w:val="404040"/>
      <w:sz w:val="20"/>
      <w:szCs w:val="20"/>
      <w:lang w:eastAsia="en-US"/>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w:basedOn w:val="73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 Accent 1"/>
    <w:basedOn w:val="73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2"/>
    <w:basedOn w:val="73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 Accent 3"/>
    <w:basedOn w:val="73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4"/>
    <w:basedOn w:val="73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5"/>
    <w:basedOn w:val="73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6"/>
    <w:basedOn w:val="73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customStyle="1">
    <w:name w:val="Heading 1 Char"/>
    <w:basedOn w:val="730"/>
    <w:link w:val="721"/>
    <w:uiPriority w:val="9"/>
    <w:pPr>
      <w:pBdr/>
      <w:spacing/>
      <w:ind/>
    </w:pPr>
    <w:rPr>
      <w:rFonts w:ascii="Arial" w:hAnsi="Arial" w:eastAsia="Arial" w:cs="Arial"/>
      <w:color w:val="365f91" w:themeColor="accent1" w:themeShade="BF"/>
      <w:sz w:val="40"/>
      <w:szCs w:val="40"/>
    </w:rPr>
  </w:style>
  <w:style w:type="character" w:styleId="859" w:customStyle="1">
    <w:name w:val="Heading 2 Char"/>
    <w:basedOn w:val="730"/>
    <w:link w:val="722"/>
    <w:uiPriority w:val="9"/>
    <w:pPr>
      <w:pBdr/>
      <w:spacing/>
      <w:ind/>
    </w:pPr>
    <w:rPr>
      <w:rFonts w:ascii="Arial" w:hAnsi="Arial" w:eastAsia="Arial" w:cs="Arial"/>
      <w:color w:val="365f91" w:themeColor="accent1" w:themeShade="BF"/>
      <w:sz w:val="32"/>
      <w:szCs w:val="32"/>
    </w:rPr>
  </w:style>
  <w:style w:type="character" w:styleId="860" w:customStyle="1">
    <w:name w:val="Heading 4 Char"/>
    <w:basedOn w:val="730"/>
    <w:link w:val="724"/>
    <w:uiPriority w:val="9"/>
    <w:pPr>
      <w:pBdr/>
      <w:spacing/>
      <w:ind/>
    </w:pPr>
    <w:rPr>
      <w:rFonts w:ascii="Arial" w:hAnsi="Arial" w:eastAsia="Arial" w:cs="Arial"/>
      <w:i/>
      <w:iCs/>
      <w:color w:val="365f91" w:themeColor="accent1" w:themeShade="BF"/>
    </w:rPr>
  </w:style>
  <w:style w:type="character" w:styleId="861" w:customStyle="1">
    <w:name w:val="Heading 6 Char"/>
    <w:basedOn w:val="730"/>
    <w:link w:val="726"/>
    <w:uiPriority w:val="9"/>
    <w:pPr>
      <w:pBdr/>
      <w:spacing/>
      <w:ind/>
    </w:pPr>
    <w:rPr>
      <w:rFonts w:ascii="Arial" w:hAnsi="Arial" w:eastAsia="Arial" w:cs="Arial"/>
      <w:i/>
      <w:iCs/>
      <w:color w:val="595959" w:themeColor="text1" w:themeTint="A6"/>
    </w:rPr>
  </w:style>
  <w:style w:type="character" w:styleId="862" w:customStyle="1">
    <w:name w:val="Heading 7 Char"/>
    <w:basedOn w:val="730"/>
    <w:link w:val="727"/>
    <w:uiPriority w:val="9"/>
    <w:pPr>
      <w:pBdr/>
      <w:spacing/>
      <w:ind/>
    </w:pPr>
    <w:rPr>
      <w:rFonts w:ascii="Arial" w:hAnsi="Arial" w:eastAsia="Arial" w:cs="Arial"/>
      <w:color w:val="595959" w:themeColor="text1" w:themeTint="A6"/>
    </w:rPr>
  </w:style>
  <w:style w:type="character" w:styleId="863" w:customStyle="1">
    <w:name w:val="Heading 8 Char"/>
    <w:basedOn w:val="730"/>
    <w:link w:val="728"/>
    <w:uiPriority w:val="9"/>
    <w:pPr>
      <w:pBdr/>
      <w:spacing/>
      <w:ind/>
    </w:pPr>
    <w:rPr>
      <w:rFonts w:ascii="Arial" w:hAnsi="Arial" w:eastAsia="Arial" w:cs="Arial"/>
      <w:i/>
      <w:iCs/>
      <w:color w:val="272727" w:themeColor="text1" w:themeTint="D8"/>
    </w:rPr>
  </w:style>
  <w:style w:type="character" w:styleId="864" w:customStyle="1">
    <w:name w:val="Heading 9 Char"/>
    <w:basedOn w:val="730"/>
    <w:link w:val="729"/>
    <w:uiPriority w:val="9"/>
    <w:pPr>
      <w:pBdr/>
      <w:spacing/>
      <w:ind/>
    </w:pPr>
    <w:rPr>
      <w:rFonts w:ascii="Arial" w:hAnsi="Arial" w:eastAsia="Arial" w:cs="Arial"/>
      <w:i/>
      <w:iCs/>
      <w:color w:val="272727" w:themeColor="text1" w:themeTint="D8"/>
    </w:rPr>
  </w:style>
  <w:style w:type="paragraph" w:styleId="865">
    <w:name w:val="Title"/>
    <w:basedOn w:val="720"/>
    <w:next w:val="720"/>
    <w:link w:val="866"/>
    <w:uiPriority w:val="10"/>
    <w:qFormat/>
    <w:pPr>
      <w:pBdr/>
      <w:spacing w:after="80"/>
      <w:ind/>
      <w:contextualSpacing w:val="true"/>
    </w:pPr>
    <w:rPr>
      <w:rFonts w:ascii="Arial" w:hAnsi="Arial" w:eastAsia="Arial" w:cs="Arial"/>
      <w:spacing w:val="-10"/>
      <w:sz w:val="56"/>
      <w:szCs w:val="56"/>
    </w:rPr>
  </w:style>
  <w:style w:type="character" w:styleId="866" w:customStyle="1">
    <w:name w:val="Title Char"/>
    <w:basedOn w:val="730"/>
    <w:link w:val="865"/>
    <w:uiPriority w:val="10"/>
    <w:pPr>
      <w:pBdr/>
      <w:spacing/>
      <w:ind/>
    </w:pPr>
    <w:rPr>
      <w:rFonts w:ascii="Arial" w:hAnsi="Arial" w:eastAsia="Arial" w:cs="Arial"/>
      <w:spacing w:val="-10"/>
      <w:sz w:val="56"/>
      <w:szCs w:val="56"/>
    </w:rPr>
  </w:style>
  <w:style w:type="paragraph" w:styleId="867">
    <w:name w:val="Subtitle"/>
    <w:basedOn w:val="720"/>
    <w:next w:val="720"/>
    <w:link w:val="868"/>
    <w:uiPriority w:val="11"/>
    <w:qFormat/>
    <w:pPr>
      <w:numPr>
        <w:ilvl w:val="1"/>
      </w:numPr>
      <w:pBdr/>
      <w:spacing/>
      <w:ind/>
    </w:pPr>
    <w:rPr>
      <w:color w:val="595959" w:themeColor="text1" w:themeTint="A6"/>
      <w:spacing w:val="15"/>
      <w:sz w:val="28"/>
      <w:szCs w:val="28"/>
    </w:rPr>
  </w:style>
  <w:style w:type="character" w:styleId="868" w:customStyle="1">
    <w:name w:val="Subtitle Char"/>
    <w:basedOn w:val="730"/>
    <w:link w:val="867"/>
    <w:uiPriority w:val="11"/>
    <w:pPr>
      <w:pBdr/>
      <w:spacing/>
      <w:ind/>
    </w:pPr>
    <w:rPr>
      <w:color w:val="595959" w:themeColor="text1" w:themeTint="A6"/>
      <w:spacing w:val="15"/>
      <w:sz w:val="28"/>
      <w:szCs w:val="28"/>
    </w:rPr>
  </w:style>
  <w:style w:type="paragraph" w:styleId="869">
    <w:name w:val="Quote"/>
    <w:basedOn w:val="720"/>
    <w:next w:val="720"/>
    <w:link w:val="870"/>
    <w:uiPriority w:val="29"/>
    <w:qFormat/>
    <w:pPr>
      <w:pBdr/>
      <w:spacing w:before="160"/>
      <w:ind/>
      <w:jc w:val="center"/>
    </w:pPr>
    <w:rPr>
      <w:i/>
      <w:iCs/>
      <w:color w:val="404040" w:themeColor="text1" w:themeTint="BF"/>
    </w:rPr>
  </w:style>
  <w:style w:type="character" w:styleId="870" w:customStyle="1">
    <w:name w:val="Quote Char"/>
    <w:basedOn w:val="730"/>
    <w:link w:val="869"/>
    <w:uiPriority w:val="29"/>
    <w:pPr>
      <w:pBdr/>
      <w:spacing/>
      <w:ind/>
    </w:pPr>
    <w:rPr>
      <w:i/>
      <w:iCs/>
      <w:color w:val="404040" w:themeColor="text1" w:themeTint="BF"/>
    </w:rPr>
  </w:style>
  <w:style w:type="paragraph" w:styleId="871">
    <w:name w:val="List Paragraph"/>
    <w:basedOn w:val="720"/>
    <w:uiPriority w:val="34"/>
    <w:qFormat/>
    <w:pPr>
      <w:pBdr/>
      <w:spacing/>
      <w:ind w:left="720"/>
      <w:contextualSpacing w:val="true"/>
    </w:pPr>
  </w:style>
  <w:style w:type="character" w:styleId="872">
    <w:name w:val="Intense Emphasis"/>
    <w:basedOn w:val="730"/>
    <w:uiPriority w:val="21"/>
    <w:qFormat/>
    <w:pPr>
      <w:pBdr/>
      <w:spacing/>
      <w:ind/>
    </w:pPr>
    <w:rPr>
      <w:i/>
      <w:iCs/>
      <w:color w:val="365f91" w:themeColor="accent1" w:themeShade="BF"/>
    </w:rPr>
  </w:style>
  <w:style w:type="paragraph" w:styleId="873">
    <w:name w:val="Intense Quote"/>
    <w:basedOn w:val="720"/>
    <w:next w:val="720"/>
    <w:link w:val="87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74" w:customStyle="1">
    <w:name w:val="Intense Quote Char"/>
    <w:basedOn w:val="730"/>
    <w:link w:val="873"/>
    <w:uiPriority w:val="30"/>
    <w:pPr>
      <w:pBdr/>
      <w:spacing/>
      <w:ind/>
    </w:pPr>
    <w:rPr>
      <w:i/>
      <w:iCs/>
      <w:color w:val="365f91" w:themeColor="accent1" w:themeShade="BF"/>
    </w:rPr>
  </w:style>
  <w:style w:type="character" w:styleId="875">
    <w:name w:val="Intense Reference"/>
    <w:basedOn w:val="730"/>
    <w:uiPriority w:val="32"/>
    <w:qFormat/>
    <w:pPr>
      <w:pBdr/>
      <w:spacing/>
      <w:ind/>
    </w:pPr>
    <w:rPr>
      <w:b/>
      <w:bCs/>
      <w:smallCaps/>
      <w:color w:val="365f91" w:themeColor="accent1" w:themeShade="BF"/>
      <w:spacing w:val="5"/>
    </w:rPr>
  </w:style>
  <w:style w:type="paragraph" w:styleId="876">
    <w:name w:val="No Spacing"/>
    <w:basedOn w:val="720"/>
    <w:uiPriority w:val="1"/>
    <w:qFormat/>
    <w:pPr>
      <w:pBdr/>
      <w:spacing/>
      <w:ind/>
    </w:pPr>
  </w:style>
  <w:style w:type="character" w:styleId="877">
    <w:name w:val="Subtle Emphasis"/>
    <w:basedOn w:val="730"/>
    <w:uiPriority w:val="19"/>
    <w:qFormat/>
    <w:pPr>
      <w:pBdr/>
      <w:spacing/>
      <w:ind/>
    </w:pPr>
    <w:rPr>
      <w:i/>
      <w:iCs/>
      <w:color w:val="404040" w:themeColor="text1" w:themeTint="BF"/>
    </w:rPr>
  </w:style>
  <w:style w:type="character" w:styleId="878">
    <w:name w:val="Emphasis"/>
    <w:basedOn w:val="730"/>
    <w:uiPriority w:val="20"/>
    <w:qFormat/>
    <w:pPr>
      <w:pBdr/>
      <w:spacing/>
      <w:ind/>
    </w:pPr>
    <w:rPr>
      <w:i/>
      <w:iCs/>
    </w:rPr>
  </w:style>
  <w:style w:type="character" w:styleId="879">
    <w:name w:val="Strong"/>
    <w:basedOn w:val="730"/>
    <w:uiPriority w:val="22"/>
    <w:qFormat/>
    <w:pPr>
      <w:pBdr/>
      <w:spacing/>
      <w:ind/>
    </w:pPr>
    <w:rPr>
      <w:b/>
      <w:bCs/>
    </w:rPr>
  </w:style>
  <w:style w:type="character" w:styleId="880">
    <w:name w:val="Subtle Reference"/>
    <w:basedOn w:val="730"/>
    <w:uiPriority w:val="31"/>
    <w:qFormat/>
    <w:pPr>
      <w:pBdr/>
      <w:spacing/>
      <w:ind/>
    </w:pPr>
    <w:rPr>
      <w:smallCaps/>
      <w:color w:val="5a5a5a" w:themeColor="text1" w:themeTint="A5"/>
    </w:rPr>
  </w:style>
  <w:style w:type="character" w:styleId="881">
    <w:name w:val="Book Title"/>
    <w:basedOn w:val="730"/>
    <w:uiPriority w:val="33"/>
    <w:qFormat/>
    <w:pPr>
      <w:pBdr/>
      <w:spacing/>
      <w:ind/>
    </w:pPr>
    <w:rPr>
      <w:b/>
      <w:bCs/>
      <w:i/>
      <w:iCs/>
      <w:spacing w:val="5"/>
    </w:rPr>
  </w:style>
  <w:style w:type="paragraph" w:styleId="882">
    <w:name w:val="Header"/>
    <w:basedOn w:val="720"/>
    <w:link w:val="883"/>
    <w:uiPriority w:val="99"/>
    <w:unhideWhenUsed/>
    <w:pPr>
      <w:pBdr/>
      <w:tabs>
        <w:tab w:val="center" w:leader="none" w:pos="4844"/>
        <w:tab w:val="right" w:leader="none" w:pos="9689"/>
      </w:tabs>
      <w:spacing/>
      <w:ind/>
    </w:pPr>
  </w:style>
  <w:style w:type="character" w:styleId="883" w:customStyle="1">
    <w:name w:val="Header Char"/>
    <w:basedOn w:val="730"/>
    <w:link w:val="882"/>
    <w:uiPriority w:val="99"/>
    <w:pPr>
      <w:pBdr/>
      <w:spacing/>
      <w:ind/>
    </w:pPr>
  </w:style>
  <w:style w:type="paragraph" w:styleId="884">
    <w:name w:val="Footer"/>
    <w:basedOn w:val="720"/>
    <w:link w:val="885"/>
    <w:uiPriority w:val="99"/>
    <w:unhideWhenUsed/>
    <w:pPr>
      <w:pBdr/>
      <w:tabs>
        <w:tab w:val="center" w:leader="none" w:pos="4844"/>
        <w:tab w:val="right" w:leader="none" w:pos="9689"/>
      </w:tabs>
      <w:spacing/>
      <w:ind/>
    </w:pPr>
  </w:style>
  <w:style w:type="character" w:styleId="885" w:customStyle="1">
    <w:name w:val="Footer Char"/>
    <w:basedOn w:val="730"/>
    <w:link w:val="884"/>
    <w:uiPriority w:val="99"/>
    <w:pPr>
      <w:pBdr/>
      <w:spacing/>
      <w:ind/>
    </w:pPr>
  </w:style>
  <w:style w:type="paragraph" w:styleId="886">
    <w:name w:val="Caption"/>
    <w:basedOn w:val="720"/>
    <w:next w:val="720"/>
    <w:uiPriority w:val="35"/>
    <w:unhideWhenUsed/>
    <w:qFormat/>
    <w:pPr>
      <w:pBdr/>
      <w:spacing w:after="200"/>
      <w:ind/>
    </w:pPr>
    <w:rPr>
      <w:i/>
      <w:iCs/>
      <w:color w:val="1f497d" w:themeColor="text2"/>
      <w:sz w:val="18"/>
      <w:szCs w:val="18"/>
    </w:rPr>
  </w:style>
  <w:style w:type="paragraph" w:styleId="887">
    <w:name w:val="footnote text"/>
    <w:basedOn w:val="720"/>
    <w:link w:val="888"/>
    <w:uiPriority w:val="99"/>
    <w:semiHidden/>
    <w:unhideWhenUsed/>
    <w:pPr>
      <w:pBdr/>
      <w:spacing/>
      <w:ind/>
    </w:pPr>
    <w:rPr>
      <w:sz w:val="20"/>
      <w:szCs w:val="20"/>
    </w:rPr>
  </w:style>
  <w:style w:type="character" w:styleId="888" w:customStyle="1">
    <w:name w:val="Footnote Text Char"/>
    <w:basedOn w:val="730"/>
    <w:link w:val="887"/>
    <w:uiPriority w:val="99"/>
    <w:semiHidden/>
    <w:pPr>
      <w:pBdr/>
      <w:spacing/>
      <w:ind/>
    </w:pPr>
    <w:rPr>
      <w:sz w:val="20"/>
      <w:szCs w:val="20"/>
    </w:rPr>
  </w:style>
  <w:style w:type="character" w:styleId="889">
    <w:name w:val="footnote reference"/>
    <w:basedOn w:val="730"/>
    <w:uiPriority w:val="99"/>
    <w:semiHidden/>
    <w:unhideWhenUsed/>
    <w:pPr>
      <w:pBdr/>
      <w:spacing/>
      <w:ind/>
    </w:pPr>
    <w:rPr>
      <w:vertAlign w:val="superscript"/>
    </w:rPr>
  </w:style>
  <w:style w:type="paragraph" w:styleId="890">
    <w:name w:val="endnote text"/>
    <w:basedOn w:val="720"/>
    <w:link w:val="891"/>
    <w:uiPriority w:val="99"/>
    <w:semiHidden/>
    <w:unhideWhenUsed/>
    <w:pPr>
      <w:pBdr/>
      <w:spacing/>
      <w:ind/>
    </w:pPr>
    <w:rPr>
      <w:sz w:val="20"/>
      <w:szCs w:val="20"/>
    </w:rPr>
  </w:style>
  <w:style w:type="character" w:styleId="891" w:customStyle="1">
    <w:name w:val="Endnote Text Char"/>
    <w:basedOn w:val="730"/>
    <w:link w:val="890"/>
    <w:uiPriority w:val="99"/>
    <w:semiHidden/>
    <w:pPr>
      <w:pBdr/>
      <w:spacing/>
      <w:ind/>
    </w:pPr>
    <w:rPr>
      <w:sz w:val="20"/>
      <w:szCs w:val="20"/>
    </w:rPr>
  </w:style>
  <w:style w:type="character" w:styleId="892">
    <w:name w:val="endnote reference"/>
    <w:basedOn w:val="730"/>
    <w:uiPriority w:val="99"/>
    <w:semiHidden/>
    <w:unhideWhenUsed/>
    <w:pPr>
      <w:pBdr/>
      <w:spacing/>
      <w:ind/>
    </w:pPr>
    <w:rPr>
      <w:vertAlign w:val="superscript"/>
    </w:rPr>
  </w:style>
  <w:style w:type="character" w:styleId="893">
    <w:name w:val="Hyperlink"/>
    <w:basedOn w:val="730"/>
    <w:uiPriority w:val="99"/>
    <w:unhideWhenUsed/>
    <w:pPr>
      <w:pBdr/>
      <w:spacing/>
      <w:ind/>
    </w:pPr>
    <w:rPr>
      <w:color w:val="0000ff" w:themeColor="hyperlink"/>
      <w:u w:val="single"/>
    </w:rPr>
  </w:style>
  <w:style w:type="character" w:styleId="894">
    <w:name w:val="FollowedHyperlink"/>
    <w:basedOn w:val="730"/>
    <w:uiPriority w:val="99"/>
    <w:semiHidden/>
    <w:unhideWhenUsed/>
    <w:pPr>
      <w:pBdr/>
      <w:spacing/>
      <w:ind/>
    </w:pPr>
    <w:rPr>
      <w:color w:val="800080" w:themeColor="followedHyperlink"/>
      <w:u w:val="single"/>
    </w:rPr>
  </w:style>
  <w:style w:type="paragraph" w:styleId="895">
    <w:name w:val="toc 1"/>
    <w:basedOn w:val="720"/>
    <w:next w:val="720"/>
    <w:uiPriority w:val="39"/>
    <w:unhideWhenUsed/>
    <w:pPr>
      <w:pBdr/>
      <w:spacing w:after="100"/>
      <w:ind/>
    </w:pPr>
  </w:style>
  <w:style w:type="paragraph" w:styleId="896">
    <w:name w:val="toc 2"/>
    <w:basedOn w:val="720"/>
    <w:next w:val="720"/>
    <w:uiPriority w:val="39"/>
    <w:unhideWhenUsed/>
    <w:pPr>
      <w:pBdr/>
      <w:spacing w:after="100"/>
      <w:ind w:left="220"/>
    </w:pPr>
  </w:style>
  <w:style w:type="paragraph" w:styleId="897">
    <w:name w:val="toc 3"/>
    <w:basedOn w:val="720"/>
    <w:next w:val="720"/>
    <w:uiPriority w:val="39"/>
    <w:unhideWhenUsed/>
    <w:pPr>
      <w:pBdr/>
      <w:spacing w:after="100"/>
      <w:ind w:left="440"/>
    </w:pPr>
  </w:style>
  <w:style w:type="paragraph" w:styleId="898">
    <w:name w:val="toc 4"/>
    <w:basedOn w:val="720"/>
    <w:next w:val="720"/>
    <w:uiPriority w:val="39"/>
    <w:unhideWhenUsed/>
    <w:pPr>
      <w:pBdr/>
      <w:spacing w:after="100"/>
      <w:ind w:left="660"/>
    </w:pPr>
  </w:style>
  <w:style w:type="paragraph" w:styleId="899">
    <w:name w:val="toc 5"/>
    <w:basedOn w:val="720"/>
    <w:next w:val="720"/>
    <w:uiPriority w:val="39"/>
    <w:unhideWhenUsed/>
    <w:pPr>
      <w:pBdr/>
      <w:spacing w:after="100"/>
      <w:ind w:left="880"/>
    </w:pPr>
  </w:style>
  <w:style w:type="paragraph" w:styleId="900">
    <w:name w:val="toc 6"/>
    <w:basedOn w:val="720"/>
    <w:next w:val="720"/>
    <w:uiPriority w:val="39"/>
    <w:unhideWhenUsed/>
    <w:pPr>
      <w:pBdr/>
      <w:spacing w:after="100"/>
      <w:ind w:left="1100"/>
    </w:pPr>
  </w:style>
  <w:style w:type="paragraph" w:styleId="901">
    <w:name w:val="toc 7"/>
    <w:basedOn w:val="720"/>
    <w:next w:val="720"/>
    <w:uiPriority w:val="39"/>
    <w:unhideWhenUsed/>
    <w:pPr>
      <w:pBdr/>
      <w:spacing w:after="100"/>
      <w:ind w:left="1320"/>
    </w:pPr>
  </w:style>
  <w:style w:type="paragraph" w:styleId="902">
    <w:name w:val="toc 8"/>
    <w:basedOn w:val="720"/>
    <w:next w:val="720"/>
    <w:uiPriority w:val="39"/>
    <w:unhideWhenUsed/>
    <w:pPr>
      <w:pBdr/>
      <w:spacing w:after="100"/>
      <w:ind w:left="1540"/>
    </w:pPr>
  </w:style>
  <w:style w:type="paragraph" w:styleId="903">
    <w:name w:val="toc 9"/>
    <w:basedOn w:val="720"/>
    <w:next w:val="720"/>
    <w:uiPriority w:val="39"/>
    <w:unhideWhenUsed/>
    <w:pPr>
      <w:pBdr/>
      <w:spacing w:after="100"/>
      <w:ind w:left="1760"/>
    </w:pPr>
  </w:style>
  <w:style w:type="paragraph" w:styleId="904">
    <w:name w:val="TOC Heading"/>
    <w:uiPriority w:val="39"/>
    <w:unhideWhenUsed/>
    <w:pPr>
      <w:pBdr/>
      <w:spacing/>
      <w:ind/>
    </w:pPr>
  </w:style>
  <w:style w:type="paragraph" w:styleId="905">
    <w:name w:val="table of figures"/>
    <w:basedOn w:val="720"/>
    <w:next w:val="720"/>
    <w:uiPriority w:val="99"/>
    <w:unhideWhenUsed/>
    <w:pPr>
      <w:pBdr/>
      <w:spacing/>
      <w:ind/>
    </w:pPr>
  </w:style>
  <w:style w:type="paragraph" w:styleId="906">
    <w:name w:val="Normal (Web)"/>
    <w:basedOn w:val="720"/>
    <w:uiPriority w:val="99"/>
    <w:pPr>
      <w:pBdr/>
      <w:spacing w:after="100" w:afterAutospacing="1" w:before="100" w:beforeAutospacing="1"/>
      <w:ind/>
    </w:pPr>
  </w:style>
  <w:style w:type="paragraph" w:styleId="907">
    <w:name w:val="Balloon Text"/>
    <w:basedOn w:val="720"/>
    <w:link w:val="908"/>
    <w:uiPriority w:val="99"/>
    <w:semiHidden/>
    <w:unhideWhenUsed/>
    <w:pPr>
      <w:pBdr/>
      <w:spacing/>
      <w:ind/>
    </w:pPr>
    <w:rPr>
      <w:rFonts w:ascii="Tahoma" w:hAnsi="Tahoma" w:cs="Tahoma"/>
      <w:sz w:val="16"/>
      <w:szCs w:val="16"/>
    </w:rPr>
  </w:style>
  <w:style w:type="character" w:styleId="908" w:customStyle="1">
    <w:name w:val="Balloon Text Char"/>
    <w:basedOn w:val="730"/>
    <w:link w:val="907"/>
    <w:uiPriority w:val="99"/>
    <w:semiHidden/>
    <w:pPr>
      <w:pBdr/>
      <w:spacing/>
      <w:ind/>
    </w:pPr>
    <w:rPr>
      <w:rFonts w:ascii="Tahoma" w:hAnsi="Tahoma" w:eastAsia="MS Mincho" w:cs="Tahoma"/>
      <w:sz w:val="16"/>
      <w:szCs w:val="16"/>
    </w:rPr>
  </w:style>
  <w:style w:type="character" w:styleId="909" w:customStyle="1">
    <w:name w:val="Heading 3 Char"/>
    <w:basedOn w:val="730"/>
    <w:link w:val="723"/>
    <w:uiPriority w:val="9"/>
    <w:pPr>
      <w:pBdr/>
      <w:spacing/>
      <w:ind/>
    </w:pPr>
    <w:rPr>
      <w:rFonts w:ascii="Times New Roman" w:hAnsi="Times New Roman" w:eastAsia="Times New Roman" w:cs="Times New Roman"/>
      <w:b/>
      <w:bCs/>
      <w:sz w:val="27"/>
      <w:szCs w:val="27"/>
      <w:lang w:eastAsia="en-US" w:bidi="km-KH"/>
    </w:rPr>
  </w:style>
  <w:style w:type="character" w:styleId="910" w:customStyle="1">
    <w:name w:val="Heading 5 Char"/>
    <w:basedOn w:val="730"/>
    <w:link w:val="725"/>
    <w:uiPriority w:val="9"/>
    <w:pPr>
      <w:pBdr/>
      <w:spacing/>
      <w:ind/>
    </w:pPr>
    <w:rPr>
      <w:rFonts w:ascii="Times New Roman" w:hAnsi="Times New Roman" w:eastAsia="Times New Roman" w:cs="Times New Roman"/>
      <w:b/>
      <w:bCs/>
      <w:sz w:val="20"/>
      <w:szCs w:val="20"/>
      <w:lang w:eastAsia="en-US" w:bidi="km-KH"/>
    </w:rPr>
  </w:style>
  <w:style w:type="table" w:styleId="911">
    <w:name w:val="Table Grid"/>
    <w:basedOn w:val="73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808F4B-BEB0-4ADA-B0D8-406415A39DB1}"/>
</file>

<file path=customXml/itemProps2.xml><?xml version="1.0" encoding="utf-8"?>
<ds:datastoreItem xmlns:ds="http://schemas.openxmlformats.org/officeDocument/2006/customXml" ds:itemID="{5F55982B-7421-4CAE-A827-1A35206DEC0C}"/>
</file>

<file path=customXml/itemProps3.xml><?xml version="1.0" encoding="utf-8"?>
<ds:datastoreItem xmlns:ds="http://schemas.openxmlformats.org/officeDocument/2006/customXml" ds:itemID="{48BCBADF-1DED-4A0A-840C-3BD26D0E1878}"/>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Lưu Hương xuân</cp:lastModifiedBy>
  <cp:revision>18</cp:revision>
  <dcterms:created xsi:type="dcterms:W3CDTF">2025-06-24T09:34:00Z</dcterms:created>
  <dcterms:modified xsi:type="dcterms:W3CDTF">2025-07-10T03:55:44Z</dcterms:modified>
</cp:coreProperties>
</file>