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92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28"/>
        <w:gridCol w:w="566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3628" w:type="dxa"/>
          </w:tcPr>
          <w:p>
            <w:pPr>
              <w:widowControl w:val="0"/>
              <w:jc w:val="center"/>
              <w:rPr>
                <w:b/>
                <w:bCs/>
                <w:sz w:val="26"/>
                <w:szCs w:val="26"/>
              </w:rPr>
            </w:pPr>
            <w:bookmarkStart w:id="0" w:name="_GoBack"/>
            <w:bookmarkEnd w:id="0"/>
            <w:r>
              <w:rPr>
                <w:b/>
                <w:bCs/>
                <w:sz w:val="26"/>
                <w:szCs w:val="26"/>
              </w:rPr>
              <w:t xml:space="preserve">ỦY BAN NHÂN DÂN </w:t>
            </w:r>
          </w:p>
          <w:p>
            <w:pPr>
              <w:widowControl w:val="0"/>
              <w:jc w:val="center"/>
              <w:rPr>
                <w:b/>
                <w:bCs/>
                <w:sz w:val="26"/>
                <w:szCs w:val="26"/>
              </w:rPr>
            </w:pPr>
            <w:r>
              <w:rPr>
                <w:sz w:val="26"/>
                <w:szCs w:val="26"/>
              </w:rPr>
              <mc:AlternateContent>
                <mc:Choice Requires="wps">
                  <w:drawing>
                    <wp:anchor distT="0" distB="0" distL="114300" distR="114300" simplePos="0" relativeHeight="251659264" behindDoc="0" locked="1" layoutInCell="1" allowOverlap="1">
                      <wp:simplePos x="0" y="0"/>
                      <wp:positionH relativeFrom="margin">
                        <wp:align>center</wp:align>
                      </wp:positionH>
                      <wp:positionV relativeFrom="paragraph">
                        <wp:posOffset>215900</wp:posOffset>
                      </wp:positionV>
                      <wp:extent cx="72009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17pt;height:0pt;width:56.7pt;mso-position-horizontal:center;mso-position-horizontal-relative:margin;z-index:251659264;mso-width-relative:page;mso-height-relative:page;" filled="f" stroked="t" coordsize="21600,21600" o:gfxdata="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Sg03N0wAAAAYBAAAPAAAAAAAAAAEAIAAAACIAAABkcnMv&#10;ZG93bnJldi54bWxQSwECFAAUAAAACACHTuJA1o6ygs8BAACzAwAADgAAAAAAAAABACAAAAAiAQAA&#10;ZHJzL2Uyb0RvYy54bWxQSwUGAAAAAAYABgBZAQAAYwUAAAAA&#10;">
                      <v:fill on="f" focussize="0,0"/>
                      <v:stroke weight="0.5pt" color="#000000 [3200]" miterlimit="8" joinstyle="miter"/>
                      <v:imagedata o:title=""/>
                      <o:lock v:ext="edit" aspectratio="f"/>
                      <w10:anchorlock/>
                    </v:line>
                  </w:pict>
                </mc:Fallback>
              </mc:AlternateContent>
            </w:r>
            <w:r>
              <w:rPr>
                <w:b/>
                <w:bCs/>
                <w:sz w:val="26"/>
                <w:szCs w:val="26"/>
              </w:rPr>
              <w:t>TỈNH ĐIỆN BIÊN</w:t>
            </w:r>
          </w:p>
          <w:p>
            <w:pPr>
              <w:widowControl w:val="0"/>
              <w:jc w:val="center"/>
              <w:rPr>
                <w:b/>
                <w:bCs/>
                <w:sz w:val="26"/>
                <w:szCs w:val="26"/>
              </w:rPr>
            </w:pPr>
          </w:p>
        </w:tc>
        <w:tc>
          <w:tcPr>
            <w:tcW w:w="5669" w:type="dxa"/>
          </w:tcPr>
          <w:p>
            <w:pPr>
              <w:widowControl w:val="0"/>
              <w:jc w:val="center"/>
              <w:rPr>
                <w:b/>
                <w:bCs/>
                <w:sz w:val="26"/>
                <w:szCs w:val="26"/>
              </w:rPr>
            </w:pPr>
            <w:r>
              <w:rPr>
                <w:b/>
                <w:bCs/>
                <w:sz w:val="26"/>
                <w:szCs w:val="26"/>
              </w:rPr>
              <w:t>CỘNG HÒA XÃ HỘI CHỦ NGHĨA VIỆT NAM</w:t>
            </w:r>
          </w:p>
          <w:p>
            <w:pPr>
              <w:widowControl w:val="0"/>
              <w:jc w:val="center"/>
              <w:rPr>
                <w:b/>
                <w:bCs/>
                <w:szCs w:val="28"/>
              </w:rPr>
            </w:pPr>
            <w:r>
              <mc:AlternateContent>
                <mc:Choice Requires="wps">
                  <w:drawing>
                    <wp:anchor distT="0" distB="0" distL="114300" distR="114300" simplePos="0" relativeHeight="251660288" behindDoc="0" locked="1" layoutInCell="1" allowOverlap="1">
                      <wp:simplePos x="0" y="0"/>
                      <wp:positionH relativeFrom="margin">
                        <wp:align>center</wp:align>
                      </wp:positionH>
                      <wp:positionV relativeFrom="paragraph">
                        <wp:posOffset>215900</wp:posOffset>
                      </wp:positionV>
                      <wp:extent cx="215963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17pt;height:0pt;width:170.05pt;mso-position-horizontal:center;mso-position-horizontal-relative:margin;z-index:251660288;mso-width-relative:page;mso-height-relative:page;" filled="f" stroked="t" coordsize="21600,21600" o:gfxdata="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VIn2jNIAAAAGAQAADwAAAAAAAAABACAAAAAiAAAAZHJz&#10;L2Rvd25yZXYueG1sUEsBAhQAFAAAAAgAh07iQIemjFzRAQAAtAMAAA4AAAAAAAAAAQAgAAAAIQEA&#10;AGRycy9lMm9Eb2MueG1sUEsFBgAAAAAGAAYAWQEAAGQFAAAAAA==&#10;">
                      <v:fill on="f" focussize="0,0"/>
                      <v:stroke weight="0.5pt" color="#000000 [3200]" miterlimit="8" joinstyle="miter"/>
                      <v:imagedata o:title=""/>
                      <o:lock v:ext="edit" aspectratio="f"/>
                      <w10:anchorlock/>
                    </v:line>
                  </w:pict>
                </mc:Fallback>
              </mc:AlternateContent>
            </w:r>
            <w:r>
              <w:rPr>
                <w:b/>
                <w:bCs/>
                <w:szCs w:val="28"/>
              </w:rPr>
              <w:t>Độc lập - Tự do - Hạnh phúc</w:t>
            </w:r>
          </w:p>
          <w:p>
            <w:pPr>
              <w:widowControl w:val="0"/>
              <w:jc w:val="center"/>
              <w:rPr>
                <w:b/>
                <w:bCs/>
                <w:szCs w:val="28"/>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3628" w:type="dxa"/>
          </w:tcPr>
          <w:p>
            <w:pPr>
              <w:widowControl w:val="0"/>
              <w:spacing w:after="120"/>
              <w:jc w:val="center"/>
              <w:rPr>
                <w:sz w:val="26"/>
                <w:szCs w:val="26"/>
              </w:rPr>
            </w:pPr>
            <w:r>
              <w:rPr>
                <w:sz w:val="26"/>
                <w:szCs w:val="26"/>
              </w:rPr>
              <w:t>Số: 28/2023/QĐ-UBND</w:t>
            </w:r>
          </w:p>
          <w:p>
            <w:pPr>
              <w:widowControl w:val="0"/>
              <w:spacing w:after="120"/>
              <w:jc w:val="center"/>
              <w:rPr>
                <w:sz w:val="26"/>
                <w:szCs w:val="26"/>
              </w:rPr>
            </w:pPr>
          </w:p>
        </w:tc>
        <w:tc>
          <w:tcPr>
            <w:tcW w:w="5669" w:type="dxa"/>
          </w:tcPr>
          <w:p>
            <w:pPr>
              <w:widowControl w:val="0"/>
              <w:spacing w:after="120"/>
              <w:jc w:val="center"/>
              <w:rPr>
                <w:i/>
                <w:iCs/>
                <w:szCs w:val="28"/>
              </w:rPr>
            </w:pPr>
            <w:r>
              <w:rPr>
                <w:i/>
                <w:iCs/>
                <w:szCs w:val="28"/>
              </w:rPr>
              <w:t>Điện Biên, ngày 19 tháng 12 năm 2023</w:t>
            </w:r>
          </w:p>
          <w:p>
            <w:pPr>
              <w:widowControl w:val="0"/>
              <w:spacing w:after="120"/>
              <w:jc w:val="center"/>
              <w:rPr>
                <w:i/>
                <w:iCs/>
                <w:szCs w:val="28"/>
              </w:rPr>
            </w:pPr>
          </w:p>
        </w:tc>
      </w:tr>
    </w:tbl>
    <w:p>
      <w:pPr>
        <w:widowControl w:val="0"/>
        <w:jc w:val="center"/>
        <w:rPr>
          <w:b/>
          <w:bCs/>
        </w:rPr>
      </w:pPr>
      <w:r>
        <w:rPr>
          <w:b/>
          <w:bCs/>
        </w:rPr>
        <w:t>QUYẾT ĐỊNH</w:t>
      </w:r>
    </w:p>
    <w:p>
      <w:pPr>
        <w:widowControl w:val="0"/>
        <w:jc w:val="center"/>
        <w:rPr>
          <w:b/>
          <w:bCs/>
        </w:rPr>
      </w:pPr>
      <w:r>
        <w:rPr>
          <w:b/>
          <w:bCs/>
        </w:rPr>
        <w:t xml:space="preserve">Sửa đổi, bổ sung một số điều của Quy định về đào tạo, </w:t>
      </w:r>
    </w:p>
    <w:p>
      <w:pPr>
        <w:widowControl w:val="0"/>
        <w:jc w:val="center"/>
        <w:rPr>
          <w:b/>
          <w:bCs/>
        </w:rPr>
      </w:pPr>
      <w:r>
        <w:rPr>
          <w:b/>
          <w:bCs/>
        </w:rPr>
        <w:t xml:space="preserve">bồi dưỡng cán bộ, công chức, viên chức trên địa bàn tỉnh Điện Biên </w:t>
      </w:r>
    </w:p>
    <w:p>
      <w:pPr>
        <w:widowControl w:val="0"/>
        <w:jc w:val="center"/>
        <w:rPr>
          <w:b/>
          <w:bCs/>
        </w:rPr>
      </w:pPr>
      <w:r>
        <w:rPr>
          <w:b/>
          <w:bCs/>
        </w:rPr>
        <w:t xml:space="preserve">ban hành kèm theo Quyết định số 40/2019/QĐ-UBND </w:t>
      </w:r>
    </w:p>
    <w:p>
      <w:pPr>
        <w:widowControl w:val="0"/>
        <w:jc w:val="center"/>
        <w:rPr>
          <w:b/>
          <w:bCs/>
        </w:rPr>
      </w:pPr>
      <w:r>
        <w:rPr>
          <w:b/>
          <w:bCs/>
        </w:rPr>
        <w:t>ngày 03 tháng 12 năm 2019 của Ủy ban nhân dân tỉnh Điện Biên</w:t>
      </w:r>
    </w:p>
    <w:p>
      <w:pPr>
        <w:widowControl w:val="0"/>
        <w:jc w:val="center"/>
        <w:rPr>
          <w:b/>
          <w:bCs/>
        </w:rPr>
      </w:pPr>
      <w:r>
        <w:rPr>
          <w:b/>
          <w:bCs/>
        </w:rPr>
        <mc:AlternateContent>
          <mc:Choice Requires="wps">
            <w:drawing>
              <wp:anchor distT="0" distB="0" distL="114300" distR="114300" simplePos="0" relativeHeight="251661312" behindDoc="0" locked="1" layoutInCell="1" allowOverlap="1">
                <wp:simplePos x="0" y="0"/>
                <wp:positionH relativeFrom="margin">
                  <wp:align>center</wp:align>
                </wp:positionH>
                <wp:positionV relativeFrom="paragraph">
                  <wp:posOffset>36195</wp:posOffset>
                </wp:positionV>
                <wp:extent cx="144018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top:2.85pt;height:0pt;width:113.4pt;mso-position-horizontal:center;mso-position-horizontal-relative:margin;z-index:251661312;mso-width-relative:page;mso-height-relative:page;" filled="f" stroked="t" coordsize="21600,21600" o:gfxdata="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rzDXJ0gAAAAQBAAAPAAAAAAAAAAEAIAAAACIAAABkcnMv&#10;ZG93bnJldi54bWxQSwECFAAUAAAACACHTuJAOC/IjdABAAC0AwAADgAAAAAAAAABACAAAAAhAQAA&#10;ZHJzL2Uyb0RvYy54bWxQSwUGAAAAAAYABgBZAQAAYwUAAAAA&#10;">
                <v:fill on="f" focussize="0,0"/>
                <v:stroke weight="0.5pt" color="#000000 [3200]" miterlimit="8" joinstyle="miter"/>
                <v:imagedata o:title=""/>
                <o:lock v:ext="edit" aspectratio="f"/>
                <w10:anchorlock/>
              </v:line>
            </w:pict>
          </mc:Fallback>
        </mc:AlternateContent>
      </w:r>
    </w:p>
    <w:p>
      <w:pPr>
        <w:widowControl w:val="0"/>
        <w:spacing w:before="120"/>
        <w:jc w:val="center"/>
        <w:rPr>
          <w:b/>
          <w:bCs/>
        </w:rPr>
      </w:pPr>
      <w:r>
        <w:rPr>
          <w:b/>
          <w:bCs/>
        </w:rPr>
        <w:t>ỦY BAN NHÂN DÂN TỈNH ĐIỆN BIÊN</w:t>
      </w:r>
    </w:p>
    <w:p>
      <w:pPr>
        <w:widowControl w:val="0"/>
        <w:jc w:val="center"/>
        <w:rPr>
          <w:b/>
          <w:bCs/>
        </w:rPr>
      </w:pPr>
    </w:p>
    <w:p>
      <w:pPr>
        <w:widowControl w:val="0"/>
        <w:spacing w:after="120"/>
        <w:ind w:firstLine="567"/>
        <w:jc w:val="both"/>
        <w:rPr>
          <w:i/>
          <w:iCs/>
        </w:rPr>
      </w:pPr>
      <w:r>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widowControl w:val="0"/>
        <w:spacing w:after="120"/>
        <w:ind w:firstLine="567"/>
        <w:jc w:val="both"/>
        <w:rPr>
          <w:i/>
          <w:iCs/>
        </w:rPr>
      </w:pPr>
      <w:r>
        <w:rPr>
          <w:i/>
          <w:iCs/>
        </w:rPr>
        <w:t>Căn cứ Luật Ban hành văn bản quy phạm pháp luật ngày 22 tháng 6 năm 2015; Luật sửa đổi, bổ sung một số điều của Luật Ban hành văn bản quy phạm pháp luật ngày 18 tháng 6 năm 2020;</w:t>
      </w:r>
    </w:p>
    <w:p>
      <w:pPr>
        <w:widowControl w:val="0"/>
        <w:spacing w:after="120"/>
        <w:ind w:firstLine="567"/>
        <w:jc w:val="both"/>
        <w:rPr>
          <w:i/>
          <w:iCs/>
        </w:rPr>
      </w:pPr>
      <w:r>
        <w:rPr>
          <w:i/>
          <w:iCs/>
        </w:rPr>
        <w:t>Căn cứ Luật Cán bộ, công chức ngày 13 tháng 11 năm 2008; Luật Viên chức ngày 15 tháng 11 năm 2010; Luật sửa đổi, bổ sung một số điều Luật Cán bộ, công chức và Luật Viên chức ngày 25 tháng 11 năm 2019;</w:t>
      </w:r>
    </w:p>
    <w:p>
      <w:pPr>
        <w:widowControl w:val="0"/>
        <w:spacing w:after="120"/>
        <w:ind w:firstLine="567"/>
        <w:jc w:val="both"/>
        <w:rPr>
          <w:i/>
          <w:iCs/>
        </w:rPr>
      </w:pPr>
      <w:r>
        <w:rPr>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widowControl w:val="0"/>
        <w:spacing w:after="120"/>
        <w:ind w:firstLine="567"/>
        <w:jc w:val="both"/>
        <w:rPr>
          <w:i/>
          <w:iCs/>
        </w:rPr>
      </w:pPr>
      <w:r>
        <w:rPr>
          <w:i/>
          <w:iCs/>
        </w:rPr>
        <w:t>Căn cứ Nghị định số 101/2017/NĐ-CP ngày 01 tháng 9 năm 2017 của Chính phủ về đào tạo, bồi dưỡng cán bộ, công chức, viên chức; Nghị định số 89/2021/NĐ-CP ngày 18 tháng 10 năm 2021 của Chính phủ sửa đổi, bổ sung một số điều của Nghị định số 101/2017/NĐ-CP ngày 01 tháng 9 năm 2017 của Chính phủ về đào tạo, bồi dưỡng cán bộ, công chức, viên chức;</w:t>
      </w:r>
    </w:p>
    <w:p>
      <w:pPr>
        <w:widowControl w:val="0"/>
        <w:spacing w:after="120"/>
        <w:ind w:firstLine="567"/>
        <w:jc w:val="both"/>
        <w:rPr>
          <w:i/>
          <w:iCs/>
        </w:rPr>
      </w:pPr>
      <w:r>
        <w:rPr>
          <w:i/>
          <w:iCs/>
        </w:rPr>
        <w:t>Căn cứ Thông tư số 03/2023/TT-BNV ngày 30 tháng 4 năm 2023 của Bộ trưởng Bộ Nội vụ hướng dẫn số một quy định của Nghị định số 101/2017/NĐ-CP ngày 01 tháng 9 năm 2017 của Chính phủ về đào tạo, bồi dưỡng cán bộ, công chức, viên chức và Nghị định số 89/2021/NĐ-CP ngày 18 tháng 10 năm 2021 của Chính phủ sửa đổi, bổ sung một số điều của Nghị định số 101/2017/NĐ-CP ngày 01 tháng 9 năm 2017 của Chính phủ về đào tạo, bồi dưỡng cán bộ, công chức, viên chức;</w:t>
      </w:r>
    </w:p>
    <w:p>
      <w:pPr>
        <w:widowControl w:val="0"/>
        <w:spacing w:after="120"/>
        <w:ind w:firstLine="567"/>
        <w:jc w:val="both"/>
        <w:rPr>
          <w:i/>
          <w:iCs/>
        </w:rPr>
      </w:pPr>
      <w:r>
        <w:rPr>
          <w:i/>
          <w:iCs/>
        </w:rPr>
        <w:t>Căn cứ Thông tư số 36/2018/TT-BTC ngày 30 tháng 3 năm 2018 của Bộ trưởng Bộ Tài chính hướng dẫn việc lập dự toán, quản lý, sử dụng và quyết toán kinh phí dành cho công tác đào tạo, bồi dưỡng cán bộ, công chức, viên chức; Thông tư số 06/2023/TT-BTC ngày 31 tháng 01 năm 2023 của Bộ trưởng Bộ Tài chính sửa đổi, bổ sung một số điều của Thông tư số 36/2018/TT-BTC ngày 30 tháng 3 năm 2018 của Bộ trưởng Bộ Tài chính hướng dẫn việc lập dự toán, quản lý, sử dụng và quyết toán kinh phí dành cho công tác đào tạo, bồi dưỡng cán bộ, công chức, viên chức;</w:t>
      </w:r>
    </w:p>
    <w:p>
      <w:pPr>
        <w:widowControl w:val="0"/>
        <w:spacing w:after="120"/>
        <w:ind w:firstLine="567"/>
        <w:jc w:val="both"/>
        <w:rPr>
          <w:i/>
          <w:iCs/>
        </w:rPr>
      </w:pPr>
      <w:r>
        <w:rPr>
          <w:i/>
          <w:iCs/>
        </w:rPr>
        <w:t>Theo đề nghị của Giám đốc Sở Nội vụ.</w:t>
      </w:r>
    </w:p>
    <w:p>
      <w:pPr>
        <w:widowControl w:val="0"/>
        <w:spacing w:before="240" w:after="240"/>
        <w:jc w:val="center"/>
        <w:rPr>
          <w:b/>
          <w:bCs/>
        </w:rPr>
      </w:pPr>
      <w:r>
        <w:rPr>
          <w:b/>
          <w:bCs/>
        </w:rPr>
        <w:t>QUYẾT ĐỊNH:</w:t>
      </w:r>
    </w:p>
    <w:p>
      <w:pPr>
        <w:widowControl w:val="0"/>
        <w:spacing w:after="120"/>
        <w:ind w:firstLine="567"/>
        <w:jc w:val="both"/>
        <w:rPr>
          <w:b/>
          <w:bCs/>
        </w:rPr>
      </w:pPr>
      <w:r>
        <w:rPr>
          <w:b/>
          <w:bCs/>
        </w:rPr>
        <w:t>Điều 1. Sửa đổi, bổ sung một số điều của Quy định về đào tạo, bồi dưỡng cán bộ, công chức, viên chức trên địa bàn tỉnh Điện Biên ban hành kèm theo Quyết định số 40/2019/QĐ-UBND ngày 03 tháng 12 năm 2019 của Ủy ban nhân dân tỉnh Điện Biên</w:t>
      </w:r>
    </w:p>
    <w:p>
      <w:pPr>
        <w:widowControl w:val="0"/>
        <w:spacing w:after="120"/>
        <w:ind w:firstLine="567"/>
        <w:jc w:val="both"/>
      </w:pPr>
      <w:r>
        <w:t>1. Sửa đổi, bổ sung khoản 2, khoản 4 Điều 2 như sau:</w:t>
      </w:r>
    </w:p>
    <w:p>
      <w:pPr>
        <w:widowControl w:val="0"/>
        <w:spacing w:after="120"/>
        <w:ind w:firstLine="567"/>
        <w:jc w:val="both"/>
      </w:pPr>
      <w:r>
        <w:t>“2. Công chức trong các cơ quan của Đảng Cộng sản Việt Nam, Nhà nước, Mặt trận Tổ quốc Việt Nam, tổ chức chính trị - xã hội ở cấp tỉnh, cấp huyện; công chức xã, phường, thị trấn”.</w:t>
      </w:r>
    </w:p>
    <w:p>
      <w:pPr>
        <w:widowControl w:val="0"/>
        <w:spacing w:after="120"/>
        <w:ind w:firstLine="567"/>
        <w:jc w:val="both"/>
        <w:rPr>
          <w:spacing w:val="-2"/>
        </w:rPr>
      </w:pPr>
      <w:r>
        <w:rPr>
          <w:spacing w:val="-2"/>
        </w:rPr>
        <w:t>“4. Những người được tuyển dụng theo số lượng người làm việc được cơ quan có thẩm quyền giao tại các hội quần chúng do Đảng, Nhà nước giao nhiệm vụ”.</w:t>
      </w:r>
    </w:p>
    <w:p>
      <w:pPr>
        <w:widowControl w:val="0"/>
        <w:spacing w:after="120"/>
        <w:ind w:firstLine="567"/>
        <w:jc w:val="both"/>
      </w:pPr>
      <w:r>
        <w:t>2. Sửa đổi, bổ sung khoản 1 Điều 8 như sau:</w:t>
      </w:r>
    </w:p>
    <w:p>
      <w:pPr>
        <w:widowControl w:val="0"/>
        <w:spacing w:after="120"/>
        <w:ind w:firstLine="567"/>
        <w:jc w:val="both"/>
      </w:pPr>
      <w:r>
        <w:t>“1. Bồi dưỡng theo tiêu chuẩn ngạch công chức, tiêu chuẩn chức danh nghề nghiệp viên chức; bồi dưỡng theo tiêu chuẩn chức vụ, chức danh lãnh đạo, quản lý; bồi dưỡng theo tiêu chuẩn chức vụ, chức danh cán bộ, công chức cấp xã; bồi dưỡng theo yêu cầu vị trí việc làm: thực hiện cho tất cả cán bộ, công chức, viên chức có đủ các điều kiện theo quy định của cơ sở đào tạo, Quy định này và trong kế hoạch đào tạo, bồi dưỡng hàng năm của cơ quan, đơn vị”.</w:t>
      </w:r>
    </w:p>
    <w:p>
      <w:pPr>
        <w:widowControl w:val="0"/>
        <w:spacing w:after="120"/>
        <w:ind w:firstLine="567"/>
        <w:jc w:val="both"/>
      </w:pPr>
      <w:r>
        <w:t>3. Sửa đổi, bổ sung khoản 3, khoản 4 Điều 14 như sau:</w:t>
      </w:r>
    </w:p>
    <w:p>
      <w:pPr>
        <w:widowControl w:val="0"/>
        <w:spacing w:after="120"/>
        <w:ind w:firstLine="567"/>
        <w:jc w:val="both"/>
      </w:pPr>
      <w:r>
        <w:t>“3. Thủ trưởng các sở, ban, ngành, đơn vị sự nghiệp công lập, hội quần chúng do Đảng, Nhà nước giao nhiệm vụ; Chủ tịch Ủy ban nhân dân các huyện, thị xã, thành phố quyết định cử cán bộ, công chức, viên chức đi đào tạo, bồi dưỡng trong các trường hợp sau:</w:t>
      </w:r>
    </w:p>
    <w:p>
      <w:pPr>
        <w:widowControl w:val="0"/>
        <w:spacing w:after="120"/>
        <w:ind w:firstLine="567"/>
        <w:jc w:val="both"/>
        <w:rPr>
          <w:spacing w:val="-2"/>
        </w:rPr>
      </w:pPr>
      <w:r>
        <w:rPr>
          <w:spacing w:val="-2"/>
        </w:rPr>
        <w:t>a) Cán bộ, công chức, viên chức đi đào tạo tiến sĩ, bác sĩ, dược sĩ chuyên khoa cấp II và tương đương trở lên ở trong nước sau khi có thông báo của Sở Nội vụ.</w:t>
      </w:r>
    </w:p>
    <w:p>
      <w:pPr>
        <w:widowControl w:val="0"/>
        <w:spacing w:after="120"/>
        <w:ind w:firstLine="567"/>
        <w:jc w:val="both"/>
      </w:pPr>
      <w:r>
        <w:t>b) Cán bộ, công chức, viên chức đi đào tạo chuyên môn Trung cấp, Cao đẳng, Đại học, Thạc sĩ, bác sĩ, dược sĩ chuyên khoa cấp I ở trong nước.</w:t>
      </w:r>
    </w:p>
    <w:p>
      <w:pPr>
        <w:widowControl w:val="0"/>
        <w:spacing w:after="120"/>
        <w:ind w:firstLine="567"/>
        <w:jc w:val="both"/>
      </w:pPr>
      <w:r>
        <w:t>c) Cán bộ, công chức, viên chức tham gia bồi dưỡng ngạch chuyên viên, chuyên viên chính và tương đương.</w:t>
      </w:r>
    </w:p>
    <w:p>
      <w:pPr>
        <w:widowControl w:val="0"/>
        <w:spacing w:after="120"/>
        <w:ind w:firstLine="567"/>
        <w:jc w:val="both"/>
      </w:pPr>
      <w:r>
        <w:t>d) Cán bộ, công chức, viên chức tham gia tập huấn, bồi dưỡng chuyên môn, nghiệp vụ, tin học, ngoại ngữ, các kiến thức bổ trợ khác...”.</w:t>
      </w:r>
    </w:p>
    <w:p>
      <w:pPr>
        <w:widowControl w:val="0"/>
        <w:spacing w:after="120"/>
        <w:ind w:firstLine="567"/>
        <w:jc w:val="both"/>
      </w:pPr>
      <w:r>
        <w:t>“4. Thủ trưởng các cơ quan Đảng, Mặt trận Tổ quốc Việt Nam, tổ chức chính trị - xã hội quyết định cử cán bộ, công chức, viên chức đi đào tạo, bồi dưỡng theo phân cấp quản lý cán bộ”.</w:t>
      </w:r>
    </w:p>
    <w:p>
      <w:pPr>
        <w:widowControl w:val="0"/>
        <w:spacing w:after="120"/>
        <w:ind w:firstLine="567"/>
        <w:jc w:val="both"/>
      </w:pPr>
      <w:r>
        <w:t>4. Sửa đổi, bổ sung Điều 16 như sau:</w:t>
      </w:r>
    </w:p>
    <w:p>
      <w:pPr>
        <w:widowControl w:val="0"/>
        <w:spacing w:after="120"/>
        <w:ind w:firstLine="567"/>
        <w:jc w:val="both"/>
      </w:pPr>
      <w:r>
        <w:t>“</w:t>
      </w:r>
      <w:r>
        <w:rPr>
          <w:b/>
        </w:rPr>
        <w:t>Điều 16. Kinh phí đào tạo, bồi dưỡng</w:t>
      </w:r>
    </w:p>
    <w:p>
      <w:pPr>
        <w:widowControl w:val="0"/>
        <w:spacing w:after="120"/>
        <w:ind w:firstLine="567"/>
        <w:jc w:val="both"/>
      </w:pPr>
      <w:r>
        <w:t>1. Kinh phí đào tạo, bồi dưỡng cán bộ, công chức được đảm bảo từ nguồn ngân sách nhà nước theo phân cấp ngân sách hiện hành; kinh phí của cơ quan quản lý, sử dụng cán bộ, công chức; đóng góp của cán bộ, công chức; tài trợ của tổ chức, cá nhân trong nước và nước ngoài theo quy định của pháp luật.</w:t>
      </w:r>
    </w:p>
    <w:p>
      <w:pPr>
        <w:widowControl w:val="0"/>
        <w:spacing w:after="120"/>
        <w:ind w:firstLine="567"/>
        <w:jc w:val="both"/>
      </w:pPr>
      <w:r>
        <w:t>2. Kinh phí đào tạo, bồi dưỡng viên chức do viên chức đóng góp, nguồn tài chính của đơn vị sự nghiệp công lập và các nguồn khác bảo đảm theo quy định của pháp luật.</w:t>
      </w:r>
    </w:p>
    <w:p>
      <w:pPr>
        <w:widowControl w:val="0"/>
        <w:spacing w:after="120"/>
        <w:ind w:firstLine="567"/>
        <w:jc w:val="both"/>
      </w:pPr>
      <w:r>
        <w:t>a) Đối với đơn vị sự nghiệp công lập do ngân sách nhà nước bảo đảm chi thường xuyên được bố trí kinh phí từ dự toán ngân sách nhà nước được giao hàng năm, nguồn thu hoạt động sự nghiệp, nguồn thu khác (nếu có) theo quy định về cơ chế tự chủ tài chính của đơn vị sự nghiệp công lập;</w:t>
      </w:r>
    </w:p>
    <w:p>
      <w:pPr>
        <w:widowControl w:val="0"/>
        <w:spacing w:after="120"/>
        <w:ind w:firstLine="567"/>
        <w:jc w:val="both"/>
        <w:rPr>
          <w:spacing w:val="-2"/>
        </w:rPr>
      </w:pPr>
      <w:r>
        <w:rPr>
          <w:spacing w:val="-2"/>
        </w:rPr>
        <w:t>b) Đối với đơn vị sự nghiệp công lập tự bảo đảm một phần chi thường xuyên được bố trí kinh phí từ dự toán ngân sách nhà nước được giao hàng năm, nguồn thu hoạt động sự nghiệp, nguồn thu khác (nếu có) và quỹ phát triển hoạt động sự nghiệp của đơn vị theo quy định về cơ chế tự chủ tài chính của đơn vị sự nghiệp công lập;</w:t>
      </w:r>
    </w:p>
    <w:p>
      <w:pPr>
        <w:widowControl w:val="0"/>
        <w:spacing w:after="120"/>
        <w:ind w:firstLine="567"/>
        <w:jc w:val="both"/>
      </w:pPr>
      <w:r>
        <w:t>c) Đối với đơn vị sự nghiệp công lập tự bảo đảm chi thường xuyên và chi đầu tư, đơn vị sự nghiệp công lập tự bảo đảm chi thường xuyên, kinh phí do đơn vị tự đảm bảo từ các nguồn tài chính của đơn vị, từ quỹ phát triển hoạt động sự nghiệp và các nguồn khác theo quy định của pháp luật (nếu có) theo quy định về cơ chế tự chủ tài chính của đơn vị sự nghiệp công lập.</w:t>
      </w:r>
    </w:p>
    <w:p>
      <w:pPr>
        <w:widowControl w:val="0"/>
        <w:spacing w:after="120"/>
        <w:ind w:firstLine="567"/>
        <w:jc w:val="both"/>
      </w:pPr>
      <w:r>
        <w:t>3. Kinh phí đào tạo, bồi dưỡng đối với người được tuyển dụng theo số lượng người làm việc được cơ quan có thẩm quyền giao tại các hội quần chúng do Đảng, Nhà nước giao nhiệm vụ do cá nhân, nguồn kinh phí hoạt động của đơn vị và các nguồn kinh phí hợp pháp khác bảo đảm theo quy định của pháp luật.</w:t>
      </w:r>
    </w:p>
    <w:p>
      <w:pPr>
        <w:widowControl w:val="0"/>
        <w:spacing w:after="120"/>
        <w:ind w:firstLine="567"/>
        <w:jc w:val="both"/>
      </w:pPr>
      <w:r>
        <w:t>4. Trường hợp kinh phí đào tạo, bồi dưỡng viên chức theo các Chương trình, Đề án được cấp có thẩm quyền phê duyệt thì nguồn kinh phí thực hiện theo các Chương trình, Đề án đó.</w:t>
      </w:r>
    </w:p>
    <w:p>
      <w:pPr>
        <w:widowControl w:val="0"/>
        <w:spacing w:after="120"/>
        <w:ind w:firstLine="567"/>
        <w:jc w:val="both"/>
      </w:pPr>
      <w:r>
        <w:t>5. Các cơ quan, đơn vị, địa phương chủ động bố trí từ nguồn kinh phí chi thường xuyên và nguồn kinh phí khác để hỗ trợ cho cán bộ, công chức, viên chức là nữ, là người dân tộc thiểu số được cử tham gia đào tạo, bồi dưỡng theo quy định của pháp luật về bình đẳng giới và công tác dân tộc”.</w:t>
      </w:r>
    </w:p>
    <w:p>
      <w:pPr>
        <w:widowControl w:val="0"/>
        <w:spacing w:after="120"/>
        <w:ind w:firstLine="567"/>
        <w:jc w:val="both"/>
        <w:rPr>
          <w:b/>
          <w:bCs/>
        </w:rPr>
      </w:pPr>
      <w:r>
        <w:rPr>
          <w:b/>
          <w:bCs/>
        </w:rPr>
        <w:t>Điều 2. Bãi bỏ Điều 7 của Quy định về đào tạo, bồi dưỡng cán bộ, công chức, viên chức trên địa bàn tỉnh Điện Biên ban hành kèm theo Quyết định số 40/2019/QĐ-UBND ngày 03 tháng 12 năm 2019 của Ủy ban nhân dân tỉnh Điện Biên</w:t>
      </w:r>
    </w:p>
    <w:p>
      <w:pPr>
        <w:widowControl w:val="0"/>
        <w:spacing w:after="120"/>
        <w:ind w:firstLine="567"/>
        <w:jc w:val="both"/>
        <w:rPr>
          <w:b/>
          <w:bCs/>
        </w:rPr>
      </w:pPr>
      <w:r>
        <w:rPr>
          <w:b/>
          <w:bCs/>
        </w:rPr>
        <w:t>Điều 3. Điều khoản thi hành</w:t>
      </w:r>
    </w:p>
    <w:p>
      <w:pPr>
        <w:widowControl w:val="0"/>
        <w:spacing w:after="120"/>
        <w:ind w:firstLine="567"/>
        <w:jc w:val="both"/>
      </w:pPr>
      <w:r>
        <w:t>1. Quyết định này có hiệu lực thi hành kể từ ngày 01 tháng 01 năm 2024.</w:t>
      </w:r>
    </w:p>
    <w:p>
      <w:pPr>
        <w:widowControl w:val="0"/>
        <w:spacing w:after="120"/>
        <w:ind w:firstLine="567"/>
        <w:jc w:val="both"/>
        <w:rPr>
          <w:spacing w:val="-4"/>
        </w:rPr>
      </w:pPr>
      <w:r>
        <w:t>2. Chánh Văn phòng Ủy ban nhân dân tỉnh; Giám đốc Sở Nội vụ; Thủ trưởng các sở, ban, ngành, tổ chức chính trị - xã hội, đơn vị sự nghiệp công lập, hội quần chúng do Đảng, Nhà nước giao nhiệm vụ; Chủ tịch Ủy ban nhân dân các huyện, thị xã, thành phố và Thủ trưởng các cơ quan, đơn vị liên quan chịu trách nhiệm thi hành Quyết định này</w:t>
      </w:r>
      <w:r>
        <w:rPr>
          <w:spacing w:val="-4"/>
        </w:rPr>
        <w:t>./.</w:t>
      </w:r>
    </w:p>
    <w:tbl>
      <w:tblPr>
        <w:tblStyle w:val="8"/>
        <w:tblW w:w="0" w:type="auto"/>
        <w:tblInd w:w="-11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45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68" w:hRule="atLeast"/>
        </w:trPr>
        <w:tc>
          <w:tcPr>
            <w:tcW w:w="4535" w:type="dxa"/>
          </w:tcPr>
          <w:p>
            <w:pPr>
              <w:widowControl w:val="0"/>
              <w:jc w:val="both"/>
              <w:rPr>
                <w:sz w:val="22"/>
              </w:rPr>
            </w:pPr>
          </w:p>
          <w:p>
            <w:pPr>
              <w:widowControl w:val="0"/>
              <w:jc w:val="both"/>
              <w:rPr>
                <w:sz w:val="22"/>
              </w:rPr>
            </w:pPr>
          </w:p>
          <w:p>
            <w:pPr>
              <w:widowControl w:val="0"/>
              <w:jc w:val="both"/>
              <w:rPr>
                <w:sz w:val="22"/>
              </w:rPr>
            </w:pPr>
          </w:p>
          <w:p>
            <w:pPr>
              <w:widowControl w:val="0"/>
              <w:jc w:val="both"/>
            </w:pPr>
          </w:p>
        </w:tc>
        <w:tc>
          <w:tcPr>
            <w:tcW w:w="4535" w:type="dxa"/>
          </w:tcPr>
          <w:p>
            <w:pPr>
              <w:widowControl w:val="0"/>
              <w:jc w:val="center"/>
              <w:rPr>
                <w:b/>
                <w:bCs/>
              </w:rPr>
            </w:pPr>
            <w:r>
              <w:rPr>
                <w:b/>
                <w:bCs/>
              </w:rPr>
              <w:t>TM. ỦY BAN NHÂN DÂN</w:t>
            </w:r>
          </w:p>
          <w:p>
            <w:pPr>
              <w:widowControl w:val="0"/>
              <w:jc w:val="center"/>
              <w:rPr>
                <w:b/>
                <w:bCs/>
              </w:rPr>
            </w:pPr>
            <w:r>
              <w:rPr>
                <w:b/>
                <w:bCs/>
              </w:rPr>
              <w:t>CHỦ TỊCH</w:t>
            </w:r>
          </w:p>
          <w:p>
            <w:pPr>
              <w:widowControl w:val="0"/>
              <w:jc w:val="center"/>
              <w:rPr>
                <w:b/>
                <w:bCs/>
              </w:rPr>
            </w:pPr>
          </w:p>
          <w:p>
            <w:pPr>
              <w:widowControl w:val="0"/>
              <w:jc w:val="center"/>
              <w:rPr>
                <w:b/>
                <w:bCs/>
              </w:rPr>
            </w:pPr>
          </w:p>
          <w:p>
            <w:pPr>
              <w:widowControl w:val="0"/>
              <w:jc w:val="center"/>
              <w:rPr>
                <w:b/>
                <w:bCs/>
              </w:rPr>
            </w:pPr>
          </w:p>
          <w:p>
            <w:pPr>
              <w:widowControl w:val="0"/>
              <w:jc w:val="center"/>
              <w:rPr>
                <w:b/>
                <w:bCs/>
              </w:rPr>
            </w:pPr>
          </w:p>
          <w:p>
            <w:pPr>
              <w:widowControl w:val="0"/>
              <w:jc w:val="center"/>
              <w:rPr>
                <w:b/>
                <w:bCs/>
              </w:rPr>
            </w:pPr>
          </w:p>
          <w:p>
            <w:pPr>
              <w:widowControl w:val="0"/>
              <w:jc w:val="center"/>
              <w:rPr>
                <w:b/>
                <w:bCs/>
              </w:rPr>
            </w:pPr>
          </w:p>
          <w:p>
            <w:pPr>
              <w:widowControl w:val="0"/>
              <w:jc w:val="center"/>
              <w:rPr>
                <w:b/>
                <w:bCs/>
              </w:rPr>
            </w:pPr>
            <w:r>
              <w:rPr>
                <w:b/>
                <w:bCs/>
              </w:rPr>
              <w:t>Lê Thành Đô</w:t>
            </w:r>
          </w:p>
        </w:tc>
      </w:tr>
    </w:tbl>
    <w:p>
      <w:pPr>
        <w:widowControl w:val="0"/>
        <w:spacing w:after="60"/>
        <w:jc w:val="both"/>
      </w:pPr>
    </w:p>
    <w:sectPr>
      <w:headerReference r:id="rId3" w:type="default"/>
      <w:pgSz w:w="11906" w:h="16838"/>
      <w:pgMar w:top="1260" w:right="1134" w:bottom="1134" w:left="1418" w:header="461" w:footer="461" w:gutter="0"/>
      <w:pgNumType w:start="1"/>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tabs>
        <w:tab w:val="center" w:pos="4536"/>
        <w:tab w:val="clear" w:pos="4680"/>
      </w:tabs>
    </w:pPr>
  </w:p>
  <w:p>
    <w:pPr>
      <w:pStyle w:val="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B35"/>
    <w:rsid w:val="00002EBA"/>
    <w:rsid w:val="000041BC"/>
    <w:rsid w:val="000053A8"/>
    <w:rsid w:val="000067CF"/>
    <w:rsid w:val="00010C13"/>
    <w:rsid w:val="00011DBD"/>
    <w:rsid w:val="00013278"/>
    <w:rsid w:val="00014C00"/>
    <w:rsid w:val="00015D1E"/>
    <w:rsid w:val="000209C3"/>
    <w:rsid w:val="00020F50"/>
    <w:rsid w:val="0003049D"/>
    <w:rsid w:val="000310DA"/>
    <w:rsid w:val="000465A7"/>
    <w:rsid w:val="000477D2"/>
    <w:rsid w:val="000540D8"/>
    <w:rsid w:val="000551CF"/>
    <w:rsid w:val="00055318"/>
    <w:rsid w:val="0005771C"/>
    <w:rsid w:val="00062330"/>
    <w:rsid w:val="00063B7A"/>
    <w:rsid w:val="00067073"/>
    <w:rsid w:val="00067365"/>
    <w:rsid w:val="00071424"/>
    <w:rsid w:val="000754F3"/>
    <w:rsid w:val="00082A71"/>
    <w:rsid w:val="00086DA5"/>
    <w:rsid w:val="0009087A"/>
    <w:rsid w:val="000A4D7B"/>
    <w:rsid w:val="000A5A62"/>
    <w:rsid w:val="000B3510"/>
    <w:rsid w:val="000B4586"/>
    <w:rsid w:val="000B4A35"/>
    <w:rsid w:val="000B5191"/>
    <w:rsid w:val="000B7C9E"/>
    <w:rsid w:val="000C0127"/>
    <w:rsid w:val="000C07FB"/>
    <w:rsid w:val="000C0FC7"/>
    <w:rsid w:val="000C4448"/>
    <w:rsid w:val="000C602B"/>
    <w:rsid w:val="000C6A81"/>
    <w:rsid w:val="000C6ED9"/>
    <w:rsid w:val="000C6F16"/>
    <w:rsid w:val="000C789E"/>
    <w:rsid w:val="000D023E"/>
    <w:rsid w:val="000D1F92"/>
    <w:rsid w:val="000D258C"/>
    <w:rsid w:val="000D58A3"/>
    <w:rsid w:val="000D7037"/>
    <w:rsid w:val="000D7857"/>
    <w:rsid w:val="000E0857"/>
    <w:rsid w:val="000E58A5"/>
    <w:rsid w:val="000F0BE7"/>
    <w:rsid w:val="000F30C3"/>
    <w:rsid w:val="000F5A7F"/>
    <w:rsid w:val="000F6408"/>
    <w:rsid w:val="000F680C"/>
    <w:rsid w:val="000F72F4"/>
    <w:rsid w:val="00100691"/>
    <w:rsid w:val="00104F6A"/>
    <w:rsid w:val="00107F49"/>
    <w:rsid w:val="00107F6D"/>
    <w:rsid w:val="0011039D"/>
    <w:rsid w:val="001130B4"/>
    <w:rsid w:val="00115086"/>
    <w:rsid w:val="00115FF0"/>
    <w:rsid w:val="00123F37"/>
    <w:rsid w:val="00131CC8"/>
    <w:rsid w:val="001430CA"/>
    <w:rsid w:val="00143BAF"/>
    <w:rsid w:val="00150D09"/>
    <w:rsid w:val="00155A98"/>
    <w:rsid w:val="001577B3"/>
    <w:rsid w:val="00160FC4"/>
    <w:rsid w:val="00161185"/>
    <w:rsid w:val="0017172A"/>
    <w:rsid w:val="00172D28"/>
    <w:rsid w:val="0017457F"/>
    <w:rsid w:val="001775EC"/>
    <w:rsid w:val="001804AC"/>
    <w:rsid w:val="001833BA"/>
    <w:rsid w:val="001833CF"/>
    <w:rsid w:val="00184B3D"/>
    <w:rsid w:val="001927D4"/>
    <w:rsid w:val="00193430"/>
    <w:rsid w:val="00194A15"/>
    <w:rsid w:val="0019610F"/>
    <w:rsid w:val="00197E0A"/>
    <w:rsid w:val="001A0C06"/>
    <w:rsid w:val="001A0DDA"/>
    <w:rsid w:val="001A4214"/>
    <w:rsid w:val="001A4A77"/>
    <w:rsid w:val="001A513A"/>
    <w:rsid w:val="001A6F40"/>
    <w:rsid w:val="001A7CD0"/>
    <w:rsid w:val="001B32E4"/>
    <w:rsid w:val="001C17D1"/>
    <w:rsid w:val="001C30D6"/>
    <w:rsid w:val="001C391D"/>
    <w:rsid w:val="001C3AB3"/>
    <w:rsid w:val="001C4CDE"/>
    <w:rsid w:val="001D03F4"/>
    <w:rsid w:val="001D11DA"/>
    <w:rsid w:val="001D1642"/>
    <w:rsid w:val="001D358F"/>
    <w:rsid w:val="001D5C49"/>
    <w:rsid w:val="001E319B"/>
    <w:rsid w:val="001E6920"/>
    <w:rsid w:val="001F045B"/>
    <w:rsid w:val="001F67AF"/>
    <w:rsid w:val="001F7B2A"/>
    <w:rsid w:val="0020266C"/>
    <w:rsid w:val="002068AE"/>
    <w:rsid w:val="00210A2A"/>
    <w:rsid w:val="00210C79"/>
    <w:rsid w:val="00211C5C"/>
    <w:rsid w:val="0022086E"/>
    <w:rsid w:val="0022218E"/>
    <w:rsid w:val="00226360"/>
    <w:rsid w:val="00233522"/>
    <w:rsid w:val="00240828"/>
    <w:rsid w:val="00240AA5"/>
    <w:rsid w:val="002418A4"/>
    <w:rsid w:val="002475E1"/>
    <w:rsid w:val="002523CF"/>
    <w:rsid w:val="00252B46"/>
    <w:rsid w:val="00262BD0"/>
    <w:rsid w:val="00271120"/>
    <w:rsid w:val="00273E7C"/>
    <w:rsid w:val="002751A8"/>
    <w:rsid w:val="00275387"/>
    <w:rsid w:val="0028151A"/>
    <w:rsid w:val="002834BE"/>
    <w:rsid w:val="00284D61"/>
    <w:rsid w:val="002906FA"/>
    <w:rsid w:val="00293D91"/>
    <w:rsid w:val="002A1296"/>
    <w:rsid w:val="002A2EAD"/>
    <w:rsid w:val="002A35D3"/>
    <w:rsid w:val="002A5CDF"/>
    <w:rsid w:val="002A5E04"/>
    <w:rsid w:val="002A7DB7"/>
    <w:rsid w:val="002B228C"/>
    <w:rsid w:val="002B3B65"/>
    <w:rsid w:val="002B523C"/>
    <w:rsid w:val="002B70AB"/>
    <w:rsid w:val="002B7347"/>
    <w:rsid w:val="002C04BE"/>
    <w:rsid w:val="002C0FDD"/>
    <w:rsid w:val="002C7377"/>
    <w:rsid w:val="002D0048"/>
    <w:rsid w:val="002D1B4C"/>
    <w:rsid w:val="002E0F46"/>
    <w:rsid w:val="002E0FD8"/>
    <w:rsid w:val="002E4FD3"/>
    <w:rsid w:val="002F0B44"/>
    <w:rsid w:val="002F2812"/>
    <w:rsid w:val="002F5295"/>
    <w:rsid w:val="00300AD9"/>
    <w:rsid w:val="00301432"/>
    <w:rsid w:val="003041F6"/>
    <w:rsid w:val="00310730"/>
    <w:rsid w:val="0031286F"/>
    <w:rsid w:val="00313E2F"/>
    <w:rsid w:val="00316E92"/>
    <w:rsid w:val="003200B1"/>
    <w:rsid w:val="0032159F"/>
    <w:rsid w:val="0032204C"/>
    <w:rsid w:val="003240E9"/>
    <w:rsid w:val="00325795"/>
    <w:rsid w:val="003259B3"/>
    <w:rsid w:val="00331935"/>
    <w:rsid w:val="00332567"/>
    <w:rsid w:val="00345D6D"/>
    <w:rsid w:val="00352C01"/>
    <w:rsid w:val="00354E60"/>
    <w:rsid w:val="0035508E"/>
    <w:rsid w:val="00357B83"/>
    <w:rsid w:val="00361F1C"/>
    <w:rsid w:val="00362E4F"/>
    <w:rsid w:val="00372FD8"/>
    <w:rsid w:val="00373D22"/>
    <w:rsid w:val="003742F2"/>
    <w:rsid w:val="00374AEC"/>
    <w:rsid w:val="00374D10"/>
    <w:rsid w:val="00374E71"/>
    <w:rsid w:val="003760E8"/>
    <w:rsid w:val="00377289"/>
    <w:rsid w:val="0038047F"/>
    <w:rsid w:val="00381E24"/>
    <w:rsid w:val="00386953"/>
    <w:rsid w:val="00386C46"/>
    <w:rsid w:val="00390C7B"/>
    <w:rsid w:val="00393C92"/>
    <w:rsid w:val="00394301"/>
    <w:rsid w:val="00395449"/>
    <w:rsid w:val="0039720B"/>
    <w:rsid w:val="00397FDA"/>
    <w:rsid w:val="003A1A8E"/>
    <w:rsid w:val="003A29C8"/>
    <w:rsid w:val="003A335B"/>
    <w:rsid w:val="003A3694"/>
    <w:rsid w:val="003A3991"/>
    <w:rsid w:val="003A4859"/>
    <w:rsid w:val="003A7485"/>
    <w:rsid w:val="003B0C39"/>
    <w:rsid w:val="003B722E"/>
    <w:rsid w:val="003C21C6"/>
    <w:rsid w:val="003C2941"/>
    <w:rsid w:val="003C684A"/>
    <w:rsid w:val="003C686F"/>
    <w:rsid w:val="003C7AE4"/>
    <w:rsid w:val="003D028C"/>
    <w:rsid w:val="003D11ED"/>
    <w:rsid w:val="003D1D00"/>
    <w:rsid w:val="003D4762"/>
    <w:rsid w:val="003D6DC4"/>
    <w:rsid w:val="003D7B3E"/>
    <w:rsid w:val="003E173A"/>
    <w:rsid w:val="003E1940"/>
    <w:rsid w:val="003E2926"/>
    <w:rsid w:val="003E3520"/>
    <w:rsid w:val="003E61A2"/>
    <w:rsid w:val="003F0A47"/>
    <w:rsid w:val="003F3CA6"/>
    <w:rsid w:val="003F4F15"/>
    <w:rsid w:val="003F531D"/>
    <w:rsid w:val="003F5D29"/>
    <w:rsid w:val="003F7530"/>
    <w:rsid w:val="0040071E"/>
    <w:rsid w:val="00402CCB"/>
    <w:rsid w:val="004073BC"/>
    <w:rsid w:val="00413A7E"/>
    <w:rsid w:val="0041692E"/>
    <w:rsid w:val="004235CB"/>
    <w:rsid w:val="0042712B"/>
    <w:rsid w:val="00442D71"/>
    <w:rsid w:val="0044727A"/>
    <w:rsid w:val="00450CA7"/>
    <w:rsid w:val="00453C20"/>
    <w:rsid w:val="00454DBD"/>
    <w:rsid w:val="00457069"/>
    <w:rsid w:val="004600C8"/>
    <w:rsid w:val="00462F3A"/>
    <w:rsid w:val="004638FC"/>
    <w:rsid w:val="00466A74"/>
    <w:rsid w:val="0047128E"/>
    <w:rsid w:val="00474809"/>
    <w:rsid w:val="0047756C"/>
    <w:rsid w:val="00480073"/>
    <w:rsid w:val="00480811"/>
    <w:rsid w:val="004814D1"/>
    <w:rsid w:val="00482BC4"/>
    <w:rsid w:val="00483651"/>
    <w:rsid w:val="00490C1B"/>
    <w:rsid w:val="004922B5"/>
    <w:rsid w:val="00495494"/>
    <w:rsid w:val="004A28B9"/>
    <w:rsid w:val="004A59BD"/>
    <w:rsid w:val="004A7406"/>
    <w:rsid w:val="004B216B"/>
    <w:rsid w:val="004B220C"/>
    <w:rsid w:val="004B24FA"/>
    <w:rsid w:val="004B4A37"/>
    <w:rsid w:val="004B4C19"/>
    <w:rsid w:val="004B6015"/>
    <w:rsid w:val="004B634E"/>
    <w:rsid w:val="004B6AA0"/>
    <w:rsid w:val="004B7680"/>
    <w:rsid w:val="004C11BB"/>
    <w:rsid w:val="004C301B"/>
    <w:rsid w:val="004C4F36"/>
    <w:rsid w:val="004C72F5"/>
    <w:rsid w:val="004D3F9E"/>
    <w:rsid w:val="004D4B89"/>
    <w:rsid w:val="004E41D5"/>
    <w:rsid w:val="004E6DB7"/>
    <w:rsid w:val="004E76CF"/>
    <w:rsid w:val="004F0E6E"/>
    <w:rsid w:val="004F1913"/>
    <w:rsid w:val="004F19FE"/>
    <w:rsid w:val="004F44CB"/>
    <w:rsid w:val="005078E6"/>
    <w:rsid w:val="00507A5D"/>
    <w:rsid w:val="0051121E"/>
    <w:rsid w:val="005234F2"/>
    <w:rsid w:val="00524C62"/>
    <w:rsid w:val="00526B39"/>
    <w:rsid w:val="0053168E"/>
    <w:rsid w:val="005331F5"/>
    <w:rsid w:val="0053375A"/>
    <w:rsid w:val="0053452B"/>
    <w:rsid w:val="005437B4"/>
    <w:rsid w:val="0054384F"/>
    <w:rsid w:val="00546E0A"/>
    <w:rsid w:val="00547E5B"/>
    <w:rsid w:val="00550221"/>
    <w:rsid w:val="00554273"/>
    <w:rsid w:val="00554E00"/>
    <w:rsid w:val="00556AB1"/>
    <w:rsid w:val="00557915"/>
    <w:rsid w:val="00557D88"/>
    <w:rsid w:val="00560449"/>
    <w:rsid w:val="00560A19"/>
    <w:rsid w:val="00574917"/>
    <w:rsid w:val="00580AE4"/>
    <w:rsid w:val="00581CD8"/>
    <w:rsid w:val="00582030"/>
    <w:rsid w:val="00587415"/>
    <w:rsid w:val="00587E80"/>
    <w:rsid w:val="00591960"/>
    <w:rsid w:val="00591B41"/>
    <w:rsid w:val="005920C5"/>
    <w:rsid w:val="0059286D"/>
    <w:rsid w:val="00596785"/>
    <w:rsid w:val="005A1002"/>
    <w:rsid w:val="005A11B8"/>
    <w:rsid w:val="005A3696"/>
    <w:rsid w:val="005A7328"/>
    <w:rsid w:val="005B6850"/>
    <w:rsid w:val="005C093F"/>
    <w:rsid w:val="005C217D"/>
    <w:rsid w:val="005C4D0F"/>
    <w:rsid w:val="005C786B"/>
    <w:rsid w:val="005D2BE2"/>
    <w:rsid w:val="005D44FD"/>
    <w:rsid w:val="005D46A3"/>
    <w:rsid w:val="005D54DB"/>
    <w:rsid w:val="005E0151"/>
    <w:rsid w:val="005E0598"/>
    <w:rsid w:val="005E201C"/>
    <w:rsid w:val="005E2E90"/>
    <w:rsid w:val="005E45A3"/>
    <w:rsid w:val="005F0C14"/>
    <w:rsid w:val="005F3E7B"/>
    <w:rsid w:val="005F4AEC"/>
    <w:rsid w:val="005F5137"/>
    <w:rsid w:val="005F5ED9"/>
    <w:rsid w:val="005F7EBD"/>
    <w:rsid w:val="00610B7A"/>
    <w:rsid w:val="006156CB"/>
    <w:rsid w:val="00615B37"/>
    <w:rsid w:val="00616563"/>
    <w:rsid w:val="00620DCE"/>
    <w:rsid w:val="0062554F"/>
    <w:rsid w:val="00626D5D"/>
    <w:rsid w:val="00626E76"/>
    <w:rsid w:val="006358EF"/>
    <w:rsid w:val="006416EE"/>
    <w:rsid w:val="00645BF4"/>
    <w:rsid w:val="00650276"/>
    <w:rsid w:val="00653403"/>
    <w:rsid w:val="00660434"/>
    <w:rsid w:val="006609B9"/>
    <w:rsid w:val="00662333"/>
    <w:rsid w:val="00663698"/>
    <w:rsid w:val="006667C0"/>
    <w:rsid w:val="0067094B"/>
    <w:rsid w:val="0067096C"/>
    <w:rsid w:val="00674842"/>
    <w:rsid w:val="00675EB4"/>
    <w:rsid w:val="00684A14"/>
    <w:rsid w:val="006871D4"/>
    <w:rsid w:val="006906F1"/>
    <w:rsid w:val="00692961"/>
    <w:rsid w:val="00695D93"/>
    <w:rsid w:val="006969E3"/>
    <w:rsid w:val="00696FA1"/>
    <w:rsid w:val="006978A2"/>
    <w:rsid w:val="006A0011"/>
    <w:rsid w:val="006A6450"/>
    <w:rsid w:val="006A72BA"/>
    <w:rsid w:val="006B21AD"/>
    <w:rsid w:val="006B55B7"/>
    <w:rsid w:val="006C0AA8"/>
    <w:rsid w:val="006C6993"/>
    <w:rsid w:val="006C69A4"/>
    <w:rsid w:val="006C78F4"/>
    <w:rsid w:val="006D1950"/>
    <w:rsid w:val="006D2CB6"/>
    <w:rsid w:val="006D48FC"/>
    <w:rsid w:val="006D5770"/>
    <w:rsid w:val="006E15BD"/>
    <w:rsid w:val="006E1ABF"/>
    <w:rsid w:val="006E4CC2"/>
    <w:rsid w:val="006E50E5"/>
    <w:rsid w:val="006F3AA9"/>
    <w:rsid w:val="006F3CC8"/>
    <w:rsid w:val="006F5862"/>
    <w:rsid w:val="00702A25"/>
    <w:rsid w:val="0070366F"/>
    <w:rsid w:val="0070692A"/>
    <w:rsid w:val="007069FE"/>
    <w:rsid w:val="00707E35"/>
    <w:rsid w:val="00712399"/>
    <w:rsid w:val="00713C97"/>
    <w:rsid w:val="00714BB3"/>
    <w:rsid w:val="00717822"/>
    <w:rsid w:val="00717AF1"/>
    <w:rsid w:val="00721A44"/>
    <w:rsid w:val="00725F82"/>
    <w:rsid w:val="007304D5"/>
    <w:rsid w:val="0073284E"/>
    <w:rsid w:val="007342D5"/>
    <w:rsid w:val="00734A7E"/>
    <w:rsid w:val="007372D9"/>
    <w:rsid w:val="00737A4C"/>
    <w:rsid w:val="00737AC0"/>
    <w:rsid w:val="00741FA8"/>
    <w:rsid w:val="0074370C"/>
    <w:rsid w:val="0074446C"/>
    <w:rsid w:val="00754DC4"/>
    <w:rsid w:val="007631E6"/>
    <w:rsid w:val="00764F33"/>
    <w:rsid w:val="0076609C"/>
    <w:rsid w:val="007663A1"/>
    <w:rsid w:val="007663C5"/>
    <w:rsid w:val="00771532"/>
    <w:rsid w:val="007722CC"/>
    <w:rsid w:val="00773B92"/>
    <w:rsid w:val="00773B9E"/>
    <w:rsid w:val="00774BBB"/>
    <w:rsid w:val="00775AEA"/>
    <w:rsid w:val="0077768E"/>
    <w:rsid w:val="00777A3C"/>
    <w:rsid w:val="00782A0D"/>
    <w:rsid w:val="007836E0"/>
    <w:rsid w:val="00785C04"/>
    <w:rsid w:val="0078622B"/>
    <w:rsid w:val="00790986"/>
    <w:rsid w:val="00790A0C"/>
    <w:rsid w:val="007912B6"/>
    <w:rsid w:val="00791BDD"/>
    <w:rsid w:val="007920B8"/>
    <w:rsid w:val="00793773"/>
    <w:rsid w:val="0079448A"/>
    <w:rsid w:val="00795105"/>
    <w:rsid w:val="00795587"/>
    <w:rsid w:val="007A4B4F"/>
    <w:rsid w:val="007A5A1C"/>
    <w:rsid w:val="007B19C7"/>
    <w:rsid w:val="007B1D42"/>
    <w:rsid w:val="007B2340"/>
    <w:rsid w:val="007B4495"/>
    <w:rsid w:val="007B5536"/>
    <w:rsid w:val="007B69C1"/>
    <w:rsid w:val="007C3F19"/>
    <w:rsid w:val="007C57DC"/>
    <w:rsid w:val="007C5DE7"/>
    <w:rsid w:val="007C7C51"/>
    <w:rsid w:val="007D2973"/>
    <w:rsid w:val="007D41AC"/>
    <w:rsid w:val="007D6205"/>
    <w:rsid w:val="007D6AD1"/>
    <w:rsid w:val="007D7534"/>
    <w:rsid w:val="007E17DA"/>
    <w:rsid w:val="007E51AD"/>
    <w:rsid w:val="007E5DC1"/>
    <w:rsid w:val="007E794E"/>
    <w:rsid w:val="007F2355"/>
    <w:rsid w:val="007F5FD5"/>
    <w:rsid w:val="00811DB8"/>
    <w:rsid w:val="008138F9"/>
    <w:rsid w:val="0082265B"/>
    <w:rsid w:val="0082456E"/>
    <w:rsid w:val="008368F3"/>
    <w:rsid w:val="0084125C"/>
    <w:rsid w:val="00841514"/>
    <w:rsid w:val="00844348"/>
    <w:rsid w:val="0084635D"/>
    <w:rsid w:val="008508BA"/>
    <w:rsid w:val="008552D9"/>
    <w:rsid w:val="0085578E"/>
    <w:rsid w:val="00856E6A"/>
    <w:rsid w:val="00860FE4"/>
    <w:rsid w:val="00861089"/>
    <w:rsid w:val="00862149"/>
    <w:rsid w:val="008646FD"/>
    <w:rsid w:val="0086633A"/>
    <w:rsid w:val="00872677"/>
    <w:rsid w:val="00873058"/>
    <w:rsid w:val="0087506A"/>
    <w:rsid w:val="00875080"/>
    <w:rsid w:val="0089124B"/>
    <w:rsid w:val="00892C82"/>
    <w:rsid w:val="00893741"/>
    <w:rsid w:val="0089495D"/>
    <w:rsid w:val="008949DC"/>
    <w:rsid w:val="00894F1A"/>
    <w:rsid w:val="008964FA"/>
    <w:rsid w:val="008A100D"/>
    <w:rsid w:val="008A1BAB"/>
    <w:rsid w:val="008A5EB0"/>
    <w:rsid w:val="008A7EF5"/>
    <w:rsid w:val="008B47BE"/>
    <w:rsid w:val="008B578F"/>
    <w:rsid w:val="008B6DBF"/>
    <w:rsid w:val="008C08E2"/>
    <w:rsid w:val="008C45F1"/>
    <w:rsid w:val="008D1FDD"/>
    <w:rsid w:val="008D4754"/>
    <w:rsid w:val="008D4CA2"/>
    <w:rsid w:val="008E4CFD"/>
    <w:rsid w:val="008E4F12"/>
    <w:rsid w:val="008F2B69"/>
    <w:rsid w:val="008F3275"/>
    <w:rsid w:val="008F4B5E"/>
    <w:rsid w:val="00900516"/>
    <w:rsid w:val="009019B1"/>
    <w:rsid w:val="00904FFC"/>
    <w:rsid w:val="00906954"/>
    <w:rsid w:val="009111CC"/>
    <w:rsid w:val="00911E90"/>
    <w:rsid w:val="00913BF1"/>
    <w:rsid w:val="00917944"/>
    <w:rsid w:val="00923701"/>
    <w:rsid w:val="0092397E"/>
    <w:rsid w:val="00924676"/>
    <w:rsid w:val="00933D08"/>
    <w:rsid w:val="009360C2"/>
    <w:rsid w:val="009413C0"/>
    <w:rsid w:val="00941E4F"/>
    <w:rsid w:val="0094395A"/>
    <w:rsid w:val="009441FB"/>
    <w:rsid w:val="00944526"/>
    <w:rsid w:val="00945A9B"/>
    <w:rsid w:val="009515A6"/>
    <w:rsid w:val="00952FCB"/>
    <w:rsid w:val="009558CE"/>
    <w:rsid w:val="00956786"/>
    <w:rsid w:val="00956A9F"/>
    <w:rsid w:val="00960C70"/>
    <w:rsid w:val="009625E4"/>
    <w:rsid w:val="009630CB"/>
    <w:rsid w:val="009631FC"/>
    <w:rsid w:val="0096427F"/>
    <w:rsid w:val="0096438E"/>
    <w:rsid w:val="00965E3C"/>
    <w:rsid w:val="00967322"/>
    <w:rsid w:val="00976D09"/>
    <w:rsid w:val="00982085"/>
    <w:rsid w:val="00982B52"/>
    <w:rsid w:val="0098308D"/>
    <w:rsid w:val="009870FD"/>
    <w:rsid w:val="00991015"/>
    <w:rsid w:val="009B123A"/>
    <w:rsid w:val="009B1244"/>
    <w:rsid w:val="009B273A"/>
    <w:rsid w:val="009B4C76"/>
    <w:rsid w:val="009B4D1F"/>
    <w:rsid w:val="009B5769"/>
    <w:rsid w:val="009C139D"/>
    <w:rsid w:val="009C4315"/>
    <w:rsid w:val="009D15C9"/>
    <w:rsid w:val="009D440B"/>
    <w:rsid w:val="009D5DD3"/>
    <w:rsid w:val="009D7E97"/>
    <w:rsid w:val="009E3AAC"/>
    <w:rsid w:val="009E48D6"/>
    <w:rsid w:val="009F579C"/>
    <w:rsid w:val="009F67C5"/>
    <w:rsid w:val="009F7582"/>
    <w:rsid w:val="009F764C"/>
    <w:rsid w:val="00A00800"/>
    <w:rsid w:val="00A0226B"/>
    <w:rsid w:val="00A02D4C"/>
    <w:rsid w:val="00A030E2"/>
    <w:rsid w:val="00A03333"/>
    <w:rsid w:val="00A03ABE"/>
    <w:rsid w:val="00A05DAC"/>
    <w:rsid w:val="00A05F7A"/>
    <w:rsid w:val="00A1522F"/>
    <w:rsid w:val="00A15AB7"/>
    <w:rsid w:val="00A164B5"/>
    <w:rsid w:val="00A243EB"/>
    <w:rsid w:val="00A27FFA"/>
    <w:rsid w:val="00A3118B"/>
    <w:rsid w:val="00A31B09"/>
    <w:rsid w:val="00A34C40"/>
    <w:rsid w:val="00A353F2"/>
    <w:rsid w:val="00A37FA6"/>
    <w:rsid w:val="00A40E3B"/>
    <w:rsid w:val="00A42620"/>
    <w:rsid w:val="00A42ED3"/>
    <w:rsid w:val="00A44C4B"/>
    <w:rsid w:val="00A46172"/>
    <w:rsid w:val="00A6129D"/>
    <w:rsid w:val="00A62ADC"/>
    <w:rsid w:val="00A641D7"/>
    <w:rsid w:val="00A643C9"/>
    <w:rsid w:val="00A70E49"/>
    <w:rsid w:val="00A72D02"/>
    <w:rsid w:val="00A72F24"/>
    <w:rsid w:val="00A7491B"/>
    <w:rsid w:val="00A82DC4"/>
    <w:rsid w:val="00A84570"/>
    <w:rsid w:val="00A84C25"/>
    <w:rsid w:val="00A917CA"/>
    <w:rsid w:val="00A93203"/>
    <w:rsid w:val="00A9382B"/>
    <w:rsid w:val="00A93DCE"/>
    <w:rsid w:val="00A93E55"/>
    <w:rsid w:val="00A95C19"/>
    <w:rsid w:val="00A95C53"/>
    <w:rsid w:val="00A96D3D"/>
    <w:rsid w:val="00AA02EF"/>
    <w:rsid w:val="00AA3246"/>
    <w:rsid w:val="00AA418E"/>
    <w:rsid w:val="00AA5869"/>
    <w:rsid w:val="00AA5D7B"/>
    <w:rsid w:val="00AA7804"/>
    <w:rsid w:val="00AB2D84"/>
    <w:rsid w:val="00AB6489"/>
    <w:rsid w:val="00AC3DEA"/>
    <w:rsid w:val="00AD0398"/>
    <w:rsid w:val="00AD4458"/>
    <w:rsid w:val="00AD5E0E"/>
    <w:rsid w:val="00AE144D"/>
    <w:rsid w:val="00AE3CE7"/>
    <w:rsid w:val="00AE460C"/>
    <w:rsid w:val="00AE474B"/>
    <w:rsid w:val="00AE68C1"/>
    <w:rsid w:val="00AF09A8"/>
    <w:rsid w:val="00AF0D74"/>
    <w:rsid w:val="00AF23EB"/>
    <w:rsid w:val="00AF41E0"/>
    <w:rsid w:val="00AF74FE"/>
    <w:rsid w:val="00B009F8"/>
    <w:rsid w:val="00B020E5"/>
    <w:rsid w:val="00B024F4"/>
    <w:rsid w:val="00B06A8E"/>
    <w:rsid w:val="00B06D82"/>
    <w:rsid w:val="00B06FCE"/>
    <w:rsid w:val="00B11405"/>
    <w:rsid w:val="00B176C7"/>
    <w:rsid w:val="00B217F0"/>
    <w:rsid w:val="00B228BF"/>
    <w:rsid w:val="00B23E52"/>
    <w:rsid w:val="00B27F80"/>
    <w:rsid w:val="00B4396E"/>
    <w:rsid w:val="00B45731"/>
    <w:rsid w:val="00B5123E"/>
    <w:rsid w:val="00B52750"/>
    <w:rsid w:val="00B55377"/>
    <w:rsid w:val="00B620CD"/>
    <w:rsid w:val="00B65274"/>
    <w:rsid w:val="00B678F4"/>
    <w:rsid w:val="00B7207B"/>
    <w:rsid w:val="00B736DB"/>
    <w:rsid w:val="00B74373"/>
    <w:rsid w:val="00B752E4"/>
    <w:rsid w:val="00B81C60"/>
    <w:rsid w:val="00B86681"/>
    <w:rsid w:val="00B876C0"/>
    <w:rsid w:val="00B9132A"/>
    <w:rsid w:val="00B957C3"/>
    <w:rsid w:val="00BA1047"/>
    <w:rsid w:val="00BA416B"/>
    <w:rsid w:val="00BA434C"/>
    <w:rsid w:val="00BB175F"/>
    <w:rsid w:val="00BB2F24"/>
    <w:rsid w:val="00BB4E1E"/>
    <w:rsid w:val="00BB55FD"/>
    <w:rsid w:val="00BC14C8"/>
    <w:rsid w:val="00BC1DB1"/>
    <w:rsid w:val="00BC3B3D"/>
    <w:rsid w:val="00BD0E62"/>
    <w:rsid w:val="00BD32BE"/>
    <w:rsid w:val="00BD416D"/>
    <w:rsid w:val="00BE013F"/>
    <w:rsid w:val="00BE2A2A"/>
    <w:rsid w:val="00BE3693"/>
    <w:rsid w:val="00BE516C"/>
    <w:rsid w:val="00BE5320"/>
    <w:rsid w:val="00BF0351"/>
    <w:rsid w:val="00BF12BE"/>
    <w:rsid w:val="00BF79B6"/>
    <w:rsid w:val="00C049FE"/>
    <w:rsid w:val="00C11AD5"/>
    <w:rsid w:val="00C14519"/>
    <w:rsid w:val="00C15E7E"/>
    <w:rsid w:val="00C218FA"/>
    <w:rsid w:val="00C21AE6"/>
    <w:rsid w:val="00C21C6F"/>
    <w:rsid w:val="00C21F94"/>
    <w:rsid w:val="00C2553A"/>
    <w:rsid w:val="00C258F2"/>
    <w:rsid w:val="00C25A38"/>
    <w:rsid w:val="00C26AA4"/>
    <w:rsid w:val="00C3158C"/>
    <w:rsid w:val="00C3422D"/>
    <w:rsid w:val="00C3569C"/>
    <w:rsid w:val="00C3729B"/>
    <w:rsid w:val="00C427E8"/>
    <w:rsid w:val="00C428B4"/>
    <w:rsid w:val="00C4404D"/>
    <w:rsid w:val="00C4745F"/>
    <w:rsid w:val="00C5034D"/>
    <w:rsid w:val="00C52095"/>
    <w:rsid w:val="00C62B35"/>
    <w:rsid w:val="00C65210"/>
    <w:rsid w:val="00C6666D"/>
    <w:rsid w:val="00C67FFC"/>
    <w:rsid w:val="00C73258"/>
    <w:rsid w:val="00C73AB2"/>
    <w:rsid w:val="00C8102B"/>
    <w:rsid w:val="00C81139"/>
    <w:rsid w:val="00C82BFD"/>
    <w:rsid w:val="00C865E9"/>
    <w:rsid w:val="00C866F6"/>
    <w:rsid w:val="00C92880"/>
    <w:rsid w:val="00C949E4"/>
    <w:rsid w:val="00C97422"/>
    <w:rsid w:val="00C9783A"/>
    <w:rsid w:val="00CA0459"/>
    <w:rsid w:val="00CA55BB"/>
    <w:rsid w:val="00CA65E8"/>
    <w:rsid w:val="00CA6A24"/>
    <w:rsid w:val="00CA72D1"/>
    <w:rsid w:val="00CA7C18"/>
    <w:rsid w:val="00CB06A8"/>
    <w:rsid w:val="00CB63B7"/>
    <w:rsid w:val="00CB6E87"/>
    <w:rsid w:val="00CC094C"/>
    <w:rsid w:val="00CC3C54"/>
    <w:rsid w:val="00CC43E3"/>
    <w:rsid w:val="00CC7ACA"/>
    <w:rsid w:val="00CD3C12"/>
    <w:rsid w:val="00CD56C0"/>
    <w:rsid w:val="00CD631D"/>
    <w:rsid w:val="00CE6757"/>
    <w:rsid w:val="00CF0E35"/>
    <w:rsid w:val="00CF2361"/>
    <w:rsid w:val="00CF3325"/>
    <w:rsid w:val="00CF439B"/>
    <w:rsid w:val="00CF53BC"/>
    <w:rsid w:val="00CF6BEA"/>
    <w:rsid w:val="00D02D5E"/>
    <w:rsid w:val="00D0453E"/>
    <w:rsid w:val="00D05D48"/>
    <w:rsid w:val="00D11023"/>
    <w:rsid w:val="00D126EC"/>
    <w:rsid w:val="00D13C37"/>
    <w:rsid w:val="00D14006"/>
    <w:rsid w:val="00D23305"/>
    <w:rsid w:val="00D25CA7"/>
    <w:rsid w:val="00D30E59"/>
    <w:rsid w:val="00D31BC3"/>
    <w:rsid w:val="00D322E6"/>
    <w:rsid w:val="00D3483E"/>
    <w:rsid w:val="00D4063F"/>
    <w:rsid w:val="00D40CD5"/>
    <w:rsid w:val="00D42886"/>
    <w:rsid w:val="00D50FC7"/>
    <w:rsid w:val="00D56829"/>
    <w:rsid w:val="00D56CE5"/>
    <w:rsid w:val="00D5791F"/>
    <w:rsid w:val="00D61345"/>
    <w:rsid w:val="00D751FF"/>
    <w:rsid w:val="00D75E56"/>
    <w:rsid w:val="00D85F9B"/>
    <w:rsid w:val="00D868AF"/>
    <w:rsid w:val="00D8726B"/>
    <w:rsid w:val="00D92883"/>
    <w:rsid w:val="00D93682"/>
    <w:rsid w:val="00D96AA7"/>
    <w:rsid w:val="00D97232"/>
    <w:rsid w:val="00DA0B7D"/>
    <w:rsid w:val="00DA279B"/>
    <w:rsid w:val="00DA47E0"/>
    <w:rsid w:val="00DA58DC"/>
    <w:rsid w:val="00DB0A10"/>
    <w:rsid w:val="00DB5BE0"/>
    <w:rsid w:val="00DB66AE"/>
    <w:rsid w:val="00DC3CBB"/>
    <w:rsid w:val="00DC3D97"/>
    <w:rsid w:val="00DC596F"/>
    <w:rsid w:val="00DC663E"/>
    <w:rsid w:val="00DD176E"/>
    <w:rsid w:val="00DD2446"/>
    <w:rsid w:val="00DD3CEA"/>
    <w:rsid w:val="00DD7D1A"/>
    <w:rsid w:val="00DD7ECB"/>
    <w:rsid w:val="00DE12D9"/>
    <w:rsid w:val="00DF63E8"/>
    <w:rsid w:val="00DF64F9"/>
    <w:rsid w:val="00E00685"/>
    <w:rsid w:val="00E06CBF"/>
    <w:rsid w:val="00E128B5"/>
    <w:rsid w:val="00E13B32"/>
    <w:rsid w:val="00E14C3D"/>
    <w:rsid w:val="00E1508A"/>
    <w:rsid w:val="00E20048"/>
    <w:rsid w:val="00E218E0"/>
    <w:rsid w:val="00E21DB4"/>
    <w:rsid w:val="00E3218E"/>
    <w:rsid w:val="00E351C6"/>
    <w:rsid w:val="00E35A07"/>
    <w:rsid w:val="00E366B4"/>
    <w:rsid w:val="00E3757D"/>
    <w:rsid w:val="00E4400A"/>
    <w:rsid w:val="00E5232B"/>
    <w:rsid w:val="00E60EF1"/>
    <w:rsid w:val="00E6236D"/>
    <w:rsid w:val="00E63B09"/>
    <w:rsid w:val="00E66E4C"/>
    <w:rsid w:val="00E702DC"/>
    <w:rsid w:val="00E80CB1"/>
    <w:rsid w:val="00E81E85"/>
    <w:rsid w:val="00E83CE2"/>
    <w:rsid w:val="00E845AF"/>
    <w:rsid w:val="00E925E3"/>
    <w:rsid w:val="00E95B2F"/>
    <w:rsid w:val="00E9749E"/>
    <w:rsid w:val="00EA0524"/>
    <w:rsid w:val="00EA2405"/>
    <w:rsid w:val="00EB2E40"/>
    <w:rsid w:val="00EB474D"/>
    <w:rsid w:val="00EB5F48"/>
    <w:rsid w:val="00EB6379"/>
    <w:rsid w:val="00EC0C22"/>
    <w:rsid w:val="00ED0423"/>
    <w:rsid w:val="00ED2722"/>
    <w:rsid w:val="00ED2958"/>
    <w:rsid w:val="00ED2E03"/>
    <w:rsid w:val="00ED395F"/>
    <w:rsid w:val="00EE11B6"/>
    <w:rsid w:val="00EE4335"/>
    <w:rsid w:val="00EE43B0"/>
    <w:rsid w:val="00EE62A6"/>
    <w:rsid w:val="00EE7A42"/>
    <w:rsid w:val="00EE7D20"/>
    <w:rsid w:val="00EF0181"/>
    <w:rsid w:val="00EF15F2"/>
    <w:rsid w:val="00EF3486"/>
    <w:rsid w:val="00F0143B"/>
    <w:rsid w:val="00F01C4D"/>
    <w:rsid w:val="00F023A6"/>
    <w:rsid w:val="00F039B9"/>
    <w:rsid w:val="00F05012"/>
    <w:rsid w:val="00F126A3"/>
    <w:rsid w:val="00F13368"/>
    <w:rsid w:val="00F212AD"/>
    <w:rsid w:val="00F22951"/>
    <w:rsid w:val="00F2356C"/>
    <w:rsid w:val="00F24225"/>
    <w:rsid w:val="00F24981"/>
    <w:rsid w:val="00F306FB"/>
    <w:rsid w:val="00F37789"/>
    <w:rsid w:val="00F40F5A"/>
    <w:rsid w:val="00F42D6C"/>
    <w:rsid w:val="00F44AEE"/>
    <w:rsid w:val="00F46C2E"/>
    <w:rsid w:val="00F504D2"/>
    <w:rsid w:val="00F5256D"/>
    <w:rsid w:val="00F559D2"/>
    <w:rsid w:val="00F55B17"/>
    <w:rsid w:val="00F564E5"/>
    <w:rsid w:val="00F566F0"/>
    <w:rsid w:val="00F60435"/>
    <w:rsid w:val="00F64381"/>
    <w:rsid w:val="00F655D3"/>
    <w:rsid w:val="00F66EA4"/>
    <w:rsid w:val="00F7223E"/>
    <w:rsid w:val="00F75F50"/>
    <w:rsid w:val="00F83087"/>
    <w:rsid w:val="00F835AC"/>
    <w:rsid w:val="00F84883"/>
    <w:rsid w:val="00F868DB"/>
    <w:rsid w:val="00F87CB5"/>
    <w:rsid w:val="00F93200"/>
    <w:rsid w:val="00F952B3"/>
    <w:rsid w:val="00F9572E"/>
    <w:rsid w:val="00FA0970"/>
    <w:rsid w:val="00FA1574"/>
    <w:rsid w:val="00FA2E43"/>
    <w:rsid w:val="00FB0E76"/>
    <w:rsid w:val="00FB3A97"/>
    <w:rsid w:val="00FB72A8"/>
    <w:rsid w:val="00FC1FFA"/>
    <w:rsid w:val="00FC2B78"/>
    <w:rsid w:val="00FC6113"/>
    <w:rsid w:val="00FC698D"/>
    <w:rsid w:val="00FC789B"/>
    <w:rsid w:val="00FD2DCF"/>
    <w:rsid w:val="00FD4C73"/>
    <w:rsid w:val="00FD594E"/>
    <w:rsid w:val="00FD6310"/>
    <w:rsid w:val="00FE268C"/>
    <w:rsid w:val="00FE4D79"/>
    <w:rsid w:val="00FE60BF"/>
    <w:rsid w:val="00FE6B36"/>
    <w:rsid w:val="00FF051E"/>
    <w:rsid w:val="00FF08C8"/>
    <w:rsid w:val="00FF1F4F"/>
    <w:rsid w:val="00FF20A7"/>
    <w:rsid w:val="00FF3A32"/>
    <w:rsid w:val="108269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HAnsi" w:cstheme="minorBidi"/>
      <w:sz w:val="28"/>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link w:val="11"/>
    <w:qFormat/>
    <w:uiPriority w:val="99"/>
    <w:pPr>
      <w:widowControl w:val="0"/>
      <w:shd w:val="clear" w:color="auto" w:fill="FFFFFF"/>
      <w:spacing w:after="60" w:line="312" w:lineRule="auto"/>
      <w:ind w:firstLine="400"/>
    </w:pPr>
    <w:rPr>
      <w:rFonts w:cs="Times New Roman"/>
      <w:sz w:val="26"/>
      <w:szCs w:val="26"/>
    </w:rPr>
  </w:style>
  <w:style w:type="paragraph" w:styleId="5">
    <w:name w:val="footer"/>
    <w:basedOn w:val="1"/>
    <w:link w:val="10"/>
    <w:unhideWhenUsed/>
    <w:uiPriority w:val="99"/>
    <w:pPr>
      <w:tabs>
        <w:tab w:val="center" w:pos="4680"/>
        <w:tab w:val="right" w:pos="9360"/>
      </w:tabs>
    </w:pPr>
  </w:style>
  <w:style w:type="paragraph" w:styleId="6">
    <w:name w:val="header"/>
    <w:basedOn w:val="1"/>
    <w:link w:val="9"/>
    <w:unhideWhenUsed/>
    <w:uiPriority w:val="99"/>
    <w:pPr>
      <w:tabs>
        <w:tab w:val="center" w:pos="4680"/>
        <w:tab w:val="right" w:pos="9360"/>
      </w:tabs>
    </w:pPr>
  </w:style>
  <w:style w:type="paragraph" w:styleId="7">
    <w:name w:val="Normal (Web)"/>
    <w:basedOn w:val="1"/>
    <w:unhideWhenUsed/>
    <w:qFormat/>
    <w:uiPriority w:val="99"/>
    <w:pPr>
      <w:spacing w:before="100" w:beforeAutospacing="1" w:after="100" w:afterAutospacing="1"/>
    </w:pPr>
    <w:rPr>
      <w:rFonts w:eastAsia="Times New Roman" w:cs="Times New Roman"/>
      <w:sz w:val="24"/>
      <w:szCs w:val="24"/>
    </w:rPr>
  </w:style>
  <w:style w:type="table" w:styleId="8">
    <w:name w:val="Table Grid"/>
    <w:basedOn w:val="3"/>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Header Char"/>
    <w:basedOn w:val="2"/>
    <w:link w:val="6"/>
    <w:uiPriority w:val="99"/>
  </w:style>
  <w:style w:type="character" w:customStyle="1" w:styleId="10">
    <w:name w:val="Footer Char"/>
    <w:basedOn w:val="2"/>
    <w:link w:val="5"/>
    <w:qFormat/>
    <w:uiPriority w:val="99"/>
  </w:style>
  <w:style w:type="character" w:customStyle="1" w:styleId="11">
    <w:name w:val="Body Text Char1"/>
    <w:link w:val="4"/>
    <w:qFormat/>
    <w:uiPriority w:val="99"/>
    <w:rPr>
      <w:rFonts w:cs="Times New Roman"/>
      <w:sz w:val="26"/>
      <w:szCs w:val="26"/>
      <w:shd w:val="clear" w:color="auto" w:fill="FFFFFF"/>
    </w:rPr>
  </w:style>
  <w:style w:type="character" w:customStyle="1" w:styleId="12">
    <w:name w:val="Body Text Char"/>
    <w:basedOn w:val="2"/>
    <w:semiHidden/>
    <w:qFormat/>
    <w:uiPriority w:val="99"/>
  </w:style>
  <w:style w:type="character" w:customStyle="1" w:styleId="13">
    <w:name w:val="Heading #1_"/>
    <w:link w:val="14"/>
    <w:qFormat/>
    <w:uiPriority w:val="99"/>
    <w:rPr>
      <w:rFonts w:cs="Times New Roman"/>
      <w:b/>
      <w:bCs/>
      <w:sz w:val="26"/>
      <w:szCs w:val="26"/>
      <w:shd w:val="clear" w:color="auto" w:fill="FFFFFF"/>
    </w:rPr>
  </w:style>
  <w:style w:type="paragraph" w:customStyle="1" w:styleId="14">
    <w:name w:val="Heading #1"/>
    <w:basedOn w:val="1"/>
    <w:link w:val="13"/>
    <w:qFormat/>
    <w:uiPriority w:val="99"/>
    <w:pPr>
      <w:widowControl w:val="0"/>
      <w:shd w:val="clear" w:color="auto" w:fill="FFFFFF"/>
      <w:spacing w:after="60" w:line="305" w:lineRule="auto"/>
      <w:ind w:firstLine="710"/>
      <w:outlineLvl w:val="0"/>
    </w:pPr>
    <w:rPr>
      <w:rFonts w:cs="Times New Roman"/>
      <w:b/>
      <w:bCs/>
      <w:sz w:val="26"/>
      <w:szCs w:val="26"/>
    </w:rPr>
  </w:style>
  <w:style w:type="character" w:customStyle="1" w:styleId="15">
    <w:name w:val="Body text (2)_"/>
    <w:link w:val="16"/>
    <w:qFormat/>
    <w:uiPriority w:val="99"/>
    <w:rPr>
      <w:rFonts w:cs="Times New Roman"/>
      <w:sz w:val="20"/>
      <w:szCs w:val="20"/>
      <w:shd w:val="clear" w:color="auto" w:fill="FFFFFF"/>
    </w:rPr>
  </w:style>
  <w:style w:type="paragraph" w:customStyle="1" w:styleId="16">
    <w:name w:val="Body text (2)"/>
    <w:basedOn w:val="1"/>
    <w:link w:val="15"/>
    <w:qFormat/>
    <w:uiPriority w:val="99"/>
    <w:pPr>
      <w:widowControl w:val="0"/>
      <w:shd w:val="clear" w:color="auto" w:fill="FFFFFF"/>
    </w:pPr>
    <w:rPr>
      <w:rFonts w:cs="Times New Roman"/>
      <w:sz w:val="20"/>
      <w:szCs w:val="20"/>
    </w:rPr>
  </w:style>
  <w:style w:type="character" w:customStyle="1" w:styleId="17">
    <w:name w:val="Picture caption_"/>
    <w:link w:val="18"/>
    <w:qFormat/>
    <w:uiPriority w:val="99"/>
    <w:rPr>
      <w:rFonts w:cs="Times New Roman"/>
      <w:b/>
      <w:bCs/>
      <w:sz w:val="26"/>
      <w:szCs w:val="26"/>
      <w:shd w:val="clear" w:color="auto" w:fill="FFFFFF"/>
    </w:rPr>
  </w:style>
  <w:style w:type="paragraph" w:customStyle="1" w:styleId="18">
    <w:name w:val="Picture caption"/>
    <w:basedOn w:val="1"/>
    <w:link w:val="17"/>
    <w:qFormat/>
    <w:uiPriority w:val="99"/>
    <w:pPr>
      <w:widowControl w:val="0"/>
      <w:shd w:val="clear" w:color="auto" w:fill="FFFFFF"/>
      <w:jc w:val="center"/>
    </w:pPr>
    <w:rPr>
      <w:rFonts w:cs="Times New Roman"/>
      <w:b/>
      <w:bCs/>
      <w:sz w:val="26"/>
      <w:szCs w:val="26"/>
    </w:rPr>
  </w:style>
  <w:style w:type="paragraph" w:styleId="1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header" Target="header1.xml"/><Relationship Id="rId7" Type="http://schemas.openxmlformats.org/officeDocument/2006/relationships/fontTable" Target="fontTable.xml"/><Relationship Id="rId2" Type="http://schemas.openxmlformats.org/officeDocument/2006/relationships/settings" Target="settings.xml"/><Relationship Id="rId6" Type="http://schemas.openxmlformats.org/officeDocument/2006/relationships/customXml" Target="../customXml/item2.xml"/><Relationship Id="rId1" Type="http://schemas.openxmlformats.org/officeDocument/2006/relationships/styles" Target="styles.xml"/><Relationship Id="rId5" Type="http://schemas.openxmlformats.org/officeDocument/2006/relationships/customXml" Target="../customXml/item1.xml"/><Relationship Id="rId10" Type="http://schemas.openxmlformats.org/officeDocument/2006/relationships/customXml" Target="../customXml/item5.xml"/><Relationship Id="rId4" Type="http://schemas.openxmlformats.org/officeDocument/2006/relationships/theme" Target="theme/theme1.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4C814B-CACB-45EB-A882-3535D22C6A0C}">
  <ds:schemaRefs/>
</ds:datastoreItem>
</file>

<file path=customXml/itemProps3.xml><?xml version="1.0" encoding="utf-8"?>
<ds:datastoreItem xmlns:ds="http://schemas.openxmlformats.org/officeDocument/2006/customXml" ds:itemID="{EA127F46-2A23-4709-9D64-ED4D98E296EE}"/>
</file>

<file path=customXml/itemProps4.xml><?xml version="1.0" encoding="utf-8"?>
<ds:datastoreItem xmlns:ds="http://schemas.openxmlformats.org/officeDocument/2006/customXml" ds:itemID="{ADA69703-04CE-4213-A9BE-31ABD176C1EE}"/>
</file>

<file path=customXml/itemProps5.xml><?xml version="1.0" encoding="utf-8"?>
<ds:datastoreItem xmlns:ds="http://schemas.openxmlformats.org/officeDocument/2006/customXml" ds:itemID="{DD6E162E-F039-4E96-BE7D-11CBC57DFD91}"/>
</file>

<file path=docProps/app.xml><?xml version="1.0" encoding="utf-8"?>
<Properties xmlns="http://schemas.openxmlformats.org/officeDocument/2006/extended-properties" xmlns:vt="http://schemas.openxmlformats.org/officeDocument/2006/docPropsVTypes">
  <Template>Normal.dotm</Template>
  <Pages>4</Pages>
  <Words>1188</Words>
  <Characters>6776</Characters>
  <Lines>56</Lines>
  <Paragraphs>15</Paragraphs>
  <TotalTime>0</TotalTime>
  <ScaleCrop>false</ScaleCrop>
  <LinksUpToDate>false</LinksUpToDate>
  <CharactersWithSpaces>7949</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EM THAO</cp:lastModifiedBy>
  <cp:revision>2</cp:revision>
  <dcterms:created xsi:type="dcterms:W3CDTF">2023-12-21T11:27:00Z</dcterms:created>
  <dcterms:modified xsi:type="dcterms:W3CDTF">2023-12-25T14:22:51Z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AB5C5ACFEFCA40F89B0D1F297BDBDA12_13</vt:lpwstr>
  </property>
</Properties>
</file>