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TableGrid"/>
        <w:tblW w:w="0" w:type="auto"/>
        <w:tblBorders/>
        <w:tblLayout w:type="fixed"/>
        <w:tblLook w:val="0000" w:firstRow="0" w:lastRow="0" w:firstColumn="0" w:lastColumn="0" w:noHBand="0" w:noVBand="0"/>
      </w:tblPr>
      <w:tblGrid>
        <w:gridCol w:w="3119"/>
        <w:gridCol w:w="5953"/>
      </w:tblGrid>
      <w:tr>
        <w:trPr/>
        <w:tc>
          <w:tcPr>
            <w:tcBorders/>
            <w:tcW w:w="3119" w:type="dxa"/>
            <w:textDirection w:val="lrTb"/>
            <w:noWrap w:val="false"/>
          </w:tcPr>
          <w:p>
            <w:pPr>
              <w:pBdr/>
              <w:spacing/>
              <w:ind/>
              <w:jc w:val="center"/>
              <w:rPr>
                <w:b/>
                <w:sz w:val="26"/>
                <w:szCs w:val="26"/>
              </w:rPr>
            </w:pPr>
            <w:r>
              <w:rPr>
                <w:b/>
                <w:sz w:val="26"/>
                <w:szCs w:val="26"/>
              </w:rPr>
              <w:t xml:space="preserve">ỦY BAN NHÂN DÂN</w:t>
            </w:r>
            <w:r>
              <w:rPr>
                <w:b/>
                <w:sz w:val="26"/>
                <w:szCs w:val="26"/>
              </w:rPr>
            </w:r>
          </w:p>
        </w:tc>
        <w:tc>
          <w:tcPr>
            <w:tcBorders/>
            <w:tcW w:w="5953" w:type="dxa"/>
            <w:textDirection w:val="lrTb"/>
            <w:noWrap w:val="false"/>
          </w:tcPr>
          <w:p>
            <w:pPr>
              <w:pBdr/>
              <w:spacing/>
              <w:ind/>
              <w:jc w:val="center"/>
              <w:rPr>
                <w:b/>
                <w:sz w:val="26"/>
                <w:szCs w:val="26"/>
              </w:rPr>
            </w:pPr>
            <w:r>
              <w:rPr>
                <w:b/>
              </w:rPr>
              <w:t xml:space="preserve">    </w:t>
            </w:r>
            <w:r>
              <w:rPr>
                <w:b/>
                <w:sz w:val="26"/>
                <w:szCs w:val="26"/>
              </w:rPr>
              <w:t xml:space="preserve">CỘNG HÒA XÃ HỘI CHỦ NGHĨA VIỆT NAM</w:t>
            </w:r>
            <w:r>
              <w:rPr>
                <w:b/>
                <w:sz w:val="26"/>
                <w:szCs w:val="26"/>
              </w:rPr>
            </w:r>
          </w:p>
        </w:tc>
      </w:tr>
      <w:tr>
        <w:trPr/>
        <w:tc>
          <w:tcPr>
            <w:tcBorders/>
            <w:tcW w:w="3119" w:type="dxa"/>
            <w:textDirection w:val="lrTb"/>
            <w:noWrap w:val="false"/>
          </w:tcPr>
          <w:p>
            <w:pPr>
              <w:pBdr/>
              <w:spacing/>
              <w:ind/>
              <w:jc w:val="center"/>
              <w:rPr>
                <w:b/>
                <w:sz w:val="26"/>
                <w:szCs w:val="26"/>
              </w:rPr>
            </w:pPr>
            <w:r>
              <w:rPr>
                <w:b/>
                <w:sz w:val="26"/>
                <w:szCs w:val="26"/>
              </w:rPr>
              <w:t xml:space="preserve">TỈNH KHÁNH HÒA</w:t>
            </w:r>
            <w:r>
              <w:rPr>
                <w:b/>
                <w:sz w:val="26"/>
                <w:szCs w:val="26"/>
              </w:rPr>
            </w:r>
          </w:p>
        </w:tc>
        <w:tc>
          <w:tcPr>
            <w:tcBorders/>
            <w:tcW w:w="5953" w:type="dxa"/>
            <w:textDirection w:val="lrTb"/>
            <w:noWrap w:val="false"/>
          </w:tcPr>
          <w:p>
            <w:pPr>
              <w:pBdr/>
              <w:spacing/>
              <w:ind/>
              <w:jc w:val="center"/>
              <w:rPr>
                <w:b/>
                <w:sz w:val="28"/>
                <w:szCs w:val="28"/>
              </w:rPr>
            </w:pPr>
            <w:r>
              <w:rPr>
                <w:b/>
                <w:sz w:val="26"/>
                <w:szCs w:val="26"/>
              </w:rPr>
              <w:t xml:space="preserve">  </w:t>
            </w:r>
            <w:r>
              <w:rPr>
                <w:b/>
                <w:sz w:val="28"/>
                <w:szCs w:val="28"/>
              </w:rPr>
              <w:t xml:space="preserve">Độc lập - Tự do - Hạnh phúc</w:t>
            </w:r>
            <w:r>
              <w:rPr>
                <w:b/>
                <w:sz w:val="28"/>
                <w:szCs w:val="28"/>
              </w:rPr>
            </w:r>
          </w:p>
        </w:tc>
      </w:tr>
      <w:tr>
        <w:trPr/>
        <w:tc>
          <w:tcPr>
            <w:tcBorders/>
            <w:tcW w:w="3119" w:type="dxa"/>
            <w:textDirection w:val="lrTb"/>
            <w:noWrap w:val="false"/>
          </w:tcPr>
          <w:p>
            <w:pPr>
              <w:pBdr/>
              <w:spacing/>
              <w:ind/>
              <w:jc w:val="center"/>
              <w:rPr>
                <w:sz w:val="26"/>
                <w:szCs w:val="26"/>
              </w:rPr>
            </w:pPr>
            <w:r>
              <w:rPr>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57728" behindDoc="0" locked="0" layoutInCell="1" allowOverlap="1">
                      <wp:simplePos x="0" y="0"/>
                      <wp:positionH relativeFrom="column">
                        <wp:posOffset>501015</wp:posOffset>
                      </wp:positionH>
                      <wp:positionV relativeFrom="paragraph">
                        <wp:posOffset>38100</wp:posOffset>
                      </wp:positionV>
                      <wp:extent cx="762000" cy="635"/>
                      <wp:effectExtent l="9525" t="9525" r="9525" b="8890"/>
                      <wp:wrapNone/>
                      <wp:docPr id="1" name="Freeform 60"/>
                      <wp:cNvGraphicFramePr/>
                      <a:graphic xmlns:a="http://schemas.openxmlformats.org/drawingml/2006/main">
                        <a:graphicData uri="http://schemas.microsoft.com/office/word/2010/wordprocessingShape">
                          <wps:wsp>
                            <wps:cNvPr id="0" name=""/>
                            <wps:cNvSpPr/>
                            <wps:spPr bwMode="auto">
                              <a:xfrm>
                                <a:off x="0" y="0"/>
                                <a:ext cx="762000" cy="635"/>
                              </a:xfrm>
                              <a:custGeom>
                                <a:avLst/>
                                <a:gdLst>
                                  <a:gd name="T0" fmla="*/ 0 w 1200"/>
                                  <a:gd name="T1" fmla="*/ 0 h 1"/>
                                  <a:gd name="T2" fmla="*/ 1200 w 1200"/>
                                  <a:gd name="T3" fmla="*/ 0 h 1"/>
                                </a:gdLst>
                                <a:ahLst/>
                                <a:cxnLst>
                                  <a:cxn ang="0">
                                    <a:pos x="T0" y="T1"/>
                                  </a:cxn>
                                  <a:cxn ang="0">
                                    <a:pos x="T2" y="T3"/>
                                  </a:cxn>
                                </a:cxnLst>
                                <a:rect l="0" t="0" r="r" b="b"/>
                                <a:pathLst>
                                  <a:path w="1200" h="1" fill="norm" stroke="1" extrusionOk="0">
                                    <a:moveTo>
                                      <a:pt x="0" y="0"/>
                                    </a:moveTo>
                                    <a:lnTo>
                                      <a:pt x="1200" y="0"/>
                                    </a:lnTo>
                                  </a:path>
                                </a:pathLst>
                              </a:cu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0" o:spid="_x0000_s0" style="position:absolute;z-index:251657728;o:allowoverlap:true;o:allowincell:true;mso-position-horizontal-relative:text;margin-left:39.45pt;mso-position-horizontal:absolute;mso-position-vertical-relative:text;margin-top:3.00pt;mso-position-vertical:absolute;width:60.00pt;height:0.05pt;mso-wrap-distance-left:9.00pt;mso-wrap-distance-top:0.00pt;mso-wrap-distance-right:9.00pt;mso-wrap-distance-bottom:0.00pt;visibility:visible;" path="m0,0l100000,0e" coordsize="100000,100000" filled="f" strokecolor="#000000" strokeweight="0.75pt">
                      <v:path textboxrect="0,0,100000,100000"/>
                    </v:shape>
                  </w:pict>
                </mc:Fallback>
              </mc:AlternateContent>
            </w:r>
            <w:r>
              <w:rPr>
                <w:sz w:val="26"/>
                <w:szCs w:val="26"/>
              </w:rPr>
            </w:r>
          </w:p>
        </w:tc>
        <w:tc>
          <w:tcPr>
            <w:tcBorders/>
            <w:tcW w:w="5953" w:type="dxa"/>
            <w:textDirection w:val="lrTb"/>
            <w:noWrap w:val="false"/>
          </w:tcPr>
          <w:p>
            <w:pPr>
              <w:pBdr/>
              <w:spacing/>
              <w:ind/>
              <w:jc w:val="both"/>
              <w:rPr>
                <w:sz w:val="26"/>
                <w:szCs w:val="26"/>
              </w:rPr>
            </w:pPr>
            <w:r>
              <w:rPr>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58752" behindDoc="0" locked="0" layoutInCell="1" allowOverlap="1">
                      <wp:simplePos x="0" y="0"/>
                      <wp:positionH relativeFrom="column">
                        <wp:posOffset>784860</wp:posOffset>
                      </wp:positionH>
                      <wp:positionV relativeFrom="paragraph">
                        <wp:posOffset>47625</wp:posOffset>
                      </wp:positionV>
                      <wp:extent cx="2152650" cy="635"/>
                      <wp:effectExtent l="9525" t="9525" r="9525" b="8890"/>
                      <wp:wrapNone/>
                      <wp:docPr id="2" name="Freeform 61"/>
                      <wp:cNvGraphicFramePr/>
                      <a:graphic xmlns:a="http://schemas.openxmlformats.org/drawingml/2006/main">
                        <a:graphicData uri="http://schemas.microsoft.com/office/word/2010/wordprocessingShape">
                          <wps:wsp>
                            <wps:cNvPr id="0" name=""/>
                            <wps:cNvSpPr/>
                            <wps:spPr bwMode="auto">
                              <a:xfrm>
                                <a:off x="0" y="0"/>
                                <a:ext cx="2152650" cy="635"/>
                              </a:xfrm>
                              <a:custGeom>
                                <a:avLst/>
                                <a:gdLst>
                                  <a:gd name="T0" fmla="*/ 0 w 3390"/>
                                  <a:gd name="T1" fmla="*/ 0 h 1"/>
                                  <a:gd name="T2" fmla="*/ 3390 w 3390"/>
                                  <a:gd name="T3" fmla="*/ 0 h 1"/>
                                </a:gdLst>
                                <a:ahLst/>
                                <a:cxnLst>
                                  <a:cxn ang="0">
                                    <a:pos x="T0" y="T1"/>
                                  </a:cxn>
                                  <a:cxn ang="0">
                                    <a:pos x="T2" y="T3"/>
                                  </a:cxn>
                                </a:cxnLst>
                                <a:rect l="0" t="0" r="r" b="b"/>
                                <a:pathLst>
                                  <a:path w="3390" h="1" fill="norm" stroke="1" extrusionOk="0">
                                    <a:moveTo>
                                      <a:pt x="0" y="0"/>
                                    </a:moveTo>
                                    <a:lnTo>
                                      <a:pt x="3390" y="0"/>
                                    </a:lnTo>
                                  </a:path>
                                </a:pathLst>
                              </a:cu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 o:spid="_x0000_s1" style="position:absolute;z-index:251658752;o:allowoverlap:true;o:allowincell:true;mso-position-horizontal-relative:text;margin-left:61.80pt;mso-position-horizontal:absolute;mso-position-vertical-relative:text;margin-top:3.75pt;mso-position-vertical:absolute;width:169.50pt;height:0.05pt;mso-wrap-distance-left:9.00pt;mso-wrap-distance-top:0.00pt;mso-wrap-distance-right:9.00pt;mso-wrap-distance-bottom:0.00pt;visibility:visible;" path="m0,0l100000,0e" coordsize="100000,100000" filled="f" strokecolor="#000000" strokeweight="0.75pt">
                      <v:path textboxrect="0,0,100000,100000"/>
                    </v:shape>
                  </w:pict>
                </mc:Fallback>
              </mc:AlternateContent>
            </w:r>
            <w:r>
              <w:rPr>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55680" behindDoc="0" locked="0" layoutInCell="1" allowOverlap="1">
                      <wp:simplePos x="0" y="0"/>
                      <wp:positionH relativeFrom="column">
                        <wp:posOffset>-990600</wp:posOffset>
                      </wp:positionH>
                      <wp:positionV relativeFrom="paragraph">
                        <wp:posOffset>3657600</wp:posOffset>
                      </wp:positionV>
                      <wp:extent cx="0" cy="0"/>
                      <wp:effectExtent l="5715" t="9525" r="13335" b="9525"/>
                      <wp:wrapNone/>
                      <wp:docPr id="3" name="Line 58"/>
                      <wp:cNvGraphicFramePr/>
                      <a:graphic xmlns:a="http://schemas.openxmlformats.org/drawingml/2006/main">
                        <a:graphicData uri="http://schemas.microsoft.com/office/word/2010/wordprocessingShape">
                          <wps:wsp>
                            <wps:cNvPr id="0" name=""/>
                            <wps:cNvSpPr/>
                            <wps:spPr bwMode="auto">
                              <a:xfrm>
                                <a:off x="0" y="0"/>
                                <a:ext cx="0"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2" o:spid="_x0000_s2" style="position:absolute;left:0;text-align:left;z-index:251655680;mso-wrap-distance-left:9.00pt;mso-wrap-distance-top:0.00pt;mso-wrap-distance-right:9.00pt;mso-wrap-distance-bottom:0.00pt;visibility:visible;" from="-78.0pt,288.0pt" to="-78.0pt,288.0pt" filled="f" strokecolor="#000000" strokeweight="0.75pt"/>
                  </w:pict>
                </mc:Fallback>
              </mc:AlternateContent>
            </w:r>
            <w:r>
              <w:rPr>
                <w:sz w:val="26"/>
                <w:szCs w:val="26"/>
              </w:rPr>
            </w:r>
          </w:p>
        </w:tc>
      </w:tr>
      <w:tr>
        <w:trPr/>
        <w:tc>
          <w:tcPr>
            <w:tcBorders/>
            <w:tcW w:w="3119" w:type="dxa"/>
            <w:textDirection w:val="lrTb"/>
            <w:noWrap w:val="false"/>
          </w:tcPr>
          <w:p>
            <w:pPr>
              <w:pBdr/>
              <w:spacing/>
              <w:ind/>
              <w:jc w:val="center"/>
              <w:rPr>
                <w:rFonts w:ascii=".VnTimeH" w:hAnsi=".VnTimeH"/>
                <w:sz w:val="26"/>
                <w:szCs w:val="26"/>
              </w:rPr>
            </w:pPr>
            <w:r>
              <w:rPr>
                <w:sz w:val="26"/>
                <w:szCs w:val="26"/>
              </w:rPr>
              <w:t xml:space="preserve">Số:          /2026/QĐ-UBND</w:t>
            </w:r>
            <w:r>
              <w:rPr>
                <w:rFonts w:ascii=".VnTimeH" w:hAnsi=".VnTimeH"/>
                <w:sz w:val="26"/>
                <w:szCs w:val="26"/>
              </w:rPr>
            </w:r>
          </w:p>
        </w:tc>
        <w:tc>
          <w:tcPr>
            <w:tcBorders/>
            <w:tcW w:w="5953" w:type="dxa"/>
            <w:textDirection w:val="lrTb"/>
            <w:noWrap w:val="false"/>
          </w:tcPr>
          <w:p>
            <w:pPr>
              <w:pStyle w:val="752"/>
              <w:pBdr/>
              <w:spacing/>
              <w:ind/>
              <w:jc w:val="center"/>
              <w:rPr>
                <w:rFonts w:ascii="Times New Roman" w:hAnsi="Times New Roman"/>
                <w:color w:val="auto"/>
                <w:szCs w:val="28"/>
              </w:rPr>
            </w:pPr>
            <w:r>
              <w:rPr>
                <w:rFonts w:ascii="Times New Roman" w:hAnsi="Times New Roman"/>
                <w:color w:val="auto"/>
                <w:szCs w:val="28"/>
              </w:rPr>
              <w:t xml:space="preserve">Khánh Hòa, ngày         tháng      n</w:t>
            </w:r>
            <w:r>
              <w:rPr>
                <w:rFonts w:hint="eastAsia" w:ascii="Times New Roman" w:hAnsi="Times New Roman"/>
                <w:color w:val="auto"/>
                <w:szCs w:val="28"/>
              </w:rPr>
              <w:t xml:space="preserve">ă</w:t>
            </w:r>
            <w:r>
              <w:rPr>
                <w:rFonts w:ascii="Times New Roman" w:hAnsi="Times New Roman"/>
                <w:color w:val="auto"/>
                <w:szCs w:val="28"/>
              </w:rPr>
              <w:t xml:space="preserve">m 2026</w:t>
            </w:r>
            <w:r>
              <w:rPr>
                <w:rFonts w:ascii="Times New Roman" w:hAnsi="Times New Roman"/>
                <w:color w:val="auto"/>
                <w:szCs w:val="28"/>
              </w:rPr>
            </w:r>
          </w:p>
        </w:tc>
      </w:tr>
    </w:tbl>
    <w:p>
      <w:pPr>
        <w:pStyle w:val="753"/>
        <w:pBdr/>
        <w:tabs>
          <w:tab w:val="left" w:leader="none" w:pos="972"/>
          <w:tab w:val="center" w:leader="none" w:pos="4536"/>
        </w:tabs>
        <w:spacing w:before="480"/>
        <w:ind/>
        <w:jc w:val="left"/>
        <w:rPr>
          <w:sz w:val="28"/>
          <w:szCs w:val="28"/>
        </w:rPr>
      </w:pPr>
      <w:r>
        <w:rPr>
          <w:sz w:val="28"/>
          <w:szCs w:val="28"/>
        </w:rPr>
        <w:tab/>
      </w:r>
      <w:r>
        <w:rPr>
          <w:sz w:val="28"/>
          <w:szCs w:val="28"/>
        </w:rPr>
        <w:tab/>
        <w:t xml:space="preserve">QUYẾT ĐỊNH</w:t>
      </w:r>
      <w:r>
        <w:rPr>
          <w:sz w:val="28"/>
          <w:szCs w:val="28"/>
        </w:rPr>
      </w:r>
    </w:p>
    <w:tbl>
      <w:tblPr>
        <w:tblStyle w:val="TableGrid"/>
        <w:jc w:val="center"/>
        <w:tblW w:w="0" w:type="auto"/>
        <w:tblBorders/>
        <w:tblLook w:val="01E0" w:firstRow="1" w:lastRow="1" w:firstColumn="1" w:lastColumn="1" w:noHBand="0" w:noVBand="0"/>
      </w:tblPr>
      <w:tblGrid>
        <w:gridCol w:w="6946"/>
      </w:tblGrid>
      <w:tr>
        <w:trPr>
          <w:jc w:val="center"/>
        </w:trPr>
        <w:tc>
          <w:tcPr>
            <w:tcBorders/>
            <w:tcW w:w="6946" w:type="dxa"/>
            <w:textDirection w:val="lrTb"/>
            <w:noWrap w:val="false"/>
          </w:tcPr>
          <w:p>
            <w:pPr>
              <w:pBdr/>
              <w:spacing w:before="120"/>
              <w:ind/>
              <w:jc w:val="center"/>
              <w:rPr>
                <w:b/>
                <w:bCs/>
                <w:sz w:val="28"/>
                <w:szCs w:val="28"/>
              </w:rPr>
            </w:pPr>
            <w:r>
              <w:rPr>
                <w:b/>
                <w:bCs/>
                <w:sz w:val="28"/>
                <w:szCs w:val="28"/>
              </w:rPr>
              <w:t xml:space="preserve">Về việc </w:t>
            </w:r>
            <w:r>
              <w:rPr>
                <w:b/>
                <w:bCs/>
                <w:sz w:val="28"/>
                <w:szCs w:val="28"/>
              </w:rPr>
              <w:t xml:space="preserve">quy định giá tính lệ phí trước bạ đối với nhà trên địa bàn tỉnh </w:t>
            </w:r>
            <w:r>
              <w:rPr>
                <w:b/>
                <w:bCs/>
                <w:spacing w:val="-4"/>
                <w:sz w:val="28"/>
                <w:szCs w:val="28"/>
              </w:rPr>
              <w:t xml:space="preserve">Khánh Hòa</w:t>
            </w:r>
            <w:r>
              <w:rPr>
                <w:b/>
                <w:bCs/>
                <w:sz w:val="28"/>
                <w:szCs w:val="28"/>
              </w:rPr>
            </w:r>
          </w:p>
        </w:tc>
      </w:tr>
    </w:tbl>
    <w:p>
      <w:pPr>
        <w:pStyle w:val="933"/>
        <w:pBdr/>
        <w:tabs>
          <w:tab w:val="left" w:leader="none" w:pos="709"/>
        </w:tabs>
        <w:spacing w:after="120" w:before="480" w:line="242" w:lineRule="auto"/>
        <w:ind w:firstLine="709"/>
        <w:jc w:val="both"/>
        <w:rPr>
          <w:rFonts w:ascii="Times New Roman" w:hAnsi="Times New Roman"/>
          <w:b/>
          <w:color w:val="auto"/>
          <w:szCs w:val="28"/>
        </w:rPr>
      </w:pPr>
      <w:r>
        <w:rPr>
          <w:rFonts w:ascii="Times New Roman" w:hAnsi="Times New Roman"/>
          <w:i/>
          <w:iCs/>
          <w:color w:val="auto"/>
          <w:szCs w:val="28"/>
        </w:rPr>
        <w:t xml:space="preserve">Căn cứ Luật Tổ chức chính quyền địa phương số 72/2025/QH15;</w:t>
      </w:r>
      <w:r>
        <w:rPr>
          <w:rFonts w:ascii="Times New Roman" w:hAnsi="Times New Roman"/>
          <w:b/>
          <w:color w:val="auto"/>
          <w:szCs w:val="28"/>
        </w:rPr>
      </w:r>
    </w:p>
    <w:p>
      <w:pPr>
        <w:pBdr/>
        <w:spacing w:after="120" w:before="120" w:line="242" w:lineRule="auto"/>
        <w:ind/>
        <w:jc w:val="both"/>
        <w:rPr>
          <w:spacing w:val="-8"/>
          <w:sz w:val="28"/>
          <w:szCs w:val="28"/>
        </w:rPr>
      </w:pPr>
      <w:r>
        <w:rPr>
          <w:rFonts w:eastAsia="MS Mincho"/>
          <w:i/>
          <w:sz w:val="28"/>
          <w:szCs w:val="28"/>
          <w:lang w:eastAsia="ja-JP"/>
        </w:rPr>
        <w:tab/>
      </w:r>
      <w:r>
        <w:rPr>
          <w:i/>
          <w:iCs/>
          <w:sz w:val="28"/>
          <w:szCs w:val="28"/>
        </w:rPr>
        <w:t xml:space="preserve">Căn cứ Luật Ban hành văn bản quy phạm pháp luật số 64/2025/QH15 được sửa đổi, bổ sung bởi Luật số 87/2025/QH15;</w:t>
      </w:r>
      <w:r>
        <w:rPr>
          <w:spacing w:val="-8"/>
          <w:sz w:val="28"/>
          <w:szCs w:val="28"/>
        </w:rPr>
      </w:r>
    </w:p>
    <w:p>
      <w:pPr>
        <w:pStyle w:val="946"/>
        <w:pBdr/>
        <w:shd w:val="clear" w:color="auto" w:fill="ffffff"/>
        <w:tabs>
          <w:tab w:val="left" w:leader="none" w:pos="709"/>
        </w:tabs>
        <w:spacing w:after="120" w:afterAutospacing="0" w:before="120" w:beforeAutospacing="0" w:line="242" w:lineRule="auto"/>
        <w:ind w:firstLine="720"/>
        <w:jc w:val="both"/>
        <w:rPr>
          <w:i/>
          <w:iCs/>
          <w:sz w:val="28"/>
          <w:szCs w:val="28"/>
        </w:rPr>
      </w:pPr>
      <w:r>
        <w:rPr>
          <w:i/>
          <w:iCs/>
          <w:sz w:val="28"/>
          <w:szCs w:val="28"/>
          <w:lang w:val="vi-VN"/>
        </w:rPr>
        <w:t xml:space="preserve">Căn cứ </w:t>
      </w:r>
      <w:r>
        <w:rPr>
          <w:i/>
          <w:sz w:val="28"/>
          <w:szCs w:val="28"/>
        </w:rPr>
        <w:t xml:space="preserve">N</w:t>
      </w:r>
      <w:r>
        <w:rPr>
          <w:i/>
          <w:iCs/>
          <w:sz w:val="28"/>
          <w:szCs w:val="28"/>
          <w:lang w:val="vi-VN" w:eastAsia="vi-VN"/>
        </w:rPr>
        <w:t xml:space="preserve">ghị định số </w:t>
      </w:r>
      <w:r>
        <w:rPr>
          <w:i/>
          <w:iCs/>
          <w:sz w:val="28"/>
          <w:szCs w:val="28"/>
        </w:rPr>
        <w:t xml:space="preserve">10/2022</w:t>
      </w:r>
      <w:r>
        <w:rPr>
          <w:i/>
          <w:iCs/>
          <w:sz w:val="28"/>
          <w:szCs w:val="28"/>
          <w:lang w:val="vi-VN" w:eastAsia="vi-VN"/>
        </w:rPr>
        <w:t xml:space="preserve">/NĐ-CP</w:t>
      </w:r>
      <w:r>
        <w:rPr>
          <w:i/>
          <w:iCs/>
          <w:sz w:val="28"/>
          <w:szCs w:val="28"/>
          <w:lang w:val="vi-VN"/>
        </w:rPr>
        <w:t xml:space="preserve"> ngày 1</w:t>
      </w:r>
      <w:r>
        <w:rPr>
          <w:i/>
          <w:iCs/>
          <w:sz w:val="28"/>
          <w:szCs w:val="28"/>
        </w:rPr>
        <w:t xml:space="preserve">5</w:t>
      </w:r>
      <w:r>
        <w:rPr>
          <w:i/>
          <w:iCs/>
          <w:sz w:val="28"/>
          <w:szCs w:val="28"/>
          <w:lang w:val="vi-VN"/>
        </w:rPr>
        <w:t xml:space="preserve"> tháng 01 năm 20</w:t>
      </w:r>
      <w:r>
        <w:rPr>
          <w:i/>
          <w:iCs/>
          <w:sz w:val="28"/>
          <w:szCs w:val="28"/>
        </w:rPr>
        <w:t xml:space="preserve">22</w:t>
      </w:r>
      <w:r>
        <w:rPr>
          <w:i/>
          <w:iCs/>
          <w:sz w:val="28"/>
          <w:szCs w:val="28"/>
          <w:lang w:val="vi-VN"/>
        </w:rPr>
        <w:t xml:space="preserve"> của Chính phủ </w:t>
      </w:r>
      <w:r>
        <w:rPr>
          <w:i/>
          <w:iCs/>
          <w:sz w:val="28"/>
          <w:szCs w:val="28"/>
          <w:lang w:eastAsia="vi-VN"/>
        </w:rPr>
        <w:t xml:space="preserve">quy định</w:t>
      </w:r>
      <w:r>
        <w:rPr>
          <w:i/>
          <w:iCs/>
          <w:sz w:val="28"/>
          <w:szCs w:val="28"/>
          <w:lang w:val="vi-VN" w:eastAsia="vi-VN"/>
        </w:rPr>
        <w:t xml:space="preserve"> về lệ phí trước bạ</w:t>
      </w:r>
      <w:r>
        <w:rPr>
          <w:i/>
          <w:iCs/>
          <w:sz w:val="28"/>
          <w:szCs w:val="28"/>
          <w:lang w:val="vi-VN"/>
        </w:rPr>
        <w:t xml:space="preserve">;</w:t>
      </w:r>
      <w:r>
        <w:rPr>
          <w:i/>
          <w:iCs/>
          <w:sz w:val="28"/>
          <w:szCs w:val="28"/>
        </w:rPr>
      </w:r>
    </w:p>
    <w:p>
      <w:pPr>
        <w:pStyle w:val="946"/>
        <w:pBdr/>
        <w:shd w:val="clear" w:color="auto" w:fill="ffffff"/>
        <w:spacing w:after="120" w:afterAutospacing="0" w:before="120" w:beforeAutospacing="0" w:line="242" w:lineRule="auto"/>
        <w:ind w:firstLine="720"/>
        <w:jc w:val="both"/>
        <w:rPr>
          <w:i/>
          <w:iCs/>
          <w:sz w:val="28"/>
          <w:szCs w:val="28"/>
        </w:rPr>
      </w:pPr>
      <w:r>
        <w:rPr>
          <w:i/>
          <w:iCs/>
          <w:sz w:val="28"/>
          <w:szCs w:val="28"/>
          <w:lang w:val="vi-VN"/>
        </w:rPr>
        <w:t xml:space="preserve">Căn cứ </w:t>
      </w:r>
      <w:r>
        <w:rPr>
          <w:i/>
          <w:iCs/>
          <w:sz w:val="28"/>
          <w:szCs w:val="28"/>
        </w:rPr>
        <w:t xml:space="preserve">Nghị định số 51/2025/NĐ-CP ngày 01 tháng 3 năm 2025 của Chính </w:t>
      </w:r>
      <w:r>
        <w:rPr>
          <w:i/>
          <w:iCs/>
          <w:spacing w:val="2"/>
          <w:sz w:val="28"/>
          <w:szCs w:val="28"/>
        </w:rPr>
        <w:t xml:space="preserve">phủ sửa đổi, bổ sung một số điều của Nghị định số 10/2022/NĐ-CP ngày 15 tháng 01</w:t>
      </w:r>
      <w:r>
        <w:rPr>
          <w:i/>
          <w:iCs/>
          <w:spacing w:val="-4"/>
          <w:sz w:val="28"/>
          <w:szCs w:val="28"/>
        </w:rPr>
        <w:t xml:space="preserve"> </w:t>
      </w:r>
      <w:r>
        <w:rPr>
          <w:i/>
          <w:iCs/>
          <w:sz w:val="28"/>
          <w:szCs w:val="28"/>
        </w:rPr>
        <w:t xml:space="preserve">năm 2022 củ</w:t>
      </w:r>
      <w:r>
        <w:rPr>
          <w:i/>
          <w:iCs/>
          <w:sz w:val="28"/>
          <w:szCs w:val="28"/>
        </w:rPr>
        <w:t xml:space="preserve">a Chính phủ quy định về lệ phí trước bạ;</w:t>
      </w:r>
      <w:r>
        <w:rPr>
          <w:i/>
          <w:iCs/>
          <w:sz w:val="28"/>
          <w:szCs w:val="28"/>
        </w:rPr>
      </w:r>
    </w:p>
    <w:p>
      <w:pPr>
        <w:pStyle w:val="946"/>
        <w:pBdr/>
        <w:shd w:val="clear" w:color="auto" w:fill="ffffff"/>
        <w:spacing w:after="120" w:afterAutospacing="0" w:before="120" w:beforeAutospacing="0" w:line="242" w:lineRule="auto"/>
        <w:ind w:firstLine="720"/>
        <w:jc w:val="both"/>
        <w:rPr>
          <w:i/>
          <w:iCs/>
          <w:sz w:val="28"/>
          <w:szCs w:val="28"/>
        </w:rPr>
      </w:pPr>
      <w:r>
        <w:rPr>
          <w:i/>
          <w:iCs/>
          <w:sz w:val="28"/>
          <w:szCs w:val="28"/>
          <w:lang w:val="vi-VN"/>
        </w:rPr>
        <w:t xml:space="preserve">Căn cứ</w:t>
      </w:r>
      <w:r>
        <w:rPr>
          <w:i/>
          <w:iCs/>
          <w:sz w:val="28"/>
          <w:szCs w:val="28"/>
        </w:rPr>
        <w:t xml:space="preserve"> Nghị định số 175/2025/NĐ-CP ngày 30 tháng 6 năm 2025 của Chính phủ sửa đổi, bổ sung một số điều của Nghị định số 10/2022/NĐ-CP ngày 15 tháng 01 năm 2022 của Chính phủ quy định về lệ phí trước bạ;</w:t>
      </w:r>
      <w:r>
        <w:rPr>
          <w:i/>
          <w:iCs/>
          <w:sz w:val="28"/>
          <w:szCs w:val="28"/>
        </w:rPr>
      </w:r>
    </w:p>
    <w:p>
      <w:pPr>
        <w:pBdr/>
        <w:tabs>
          <w:tab w:val="left" w:leader="none" w:pos="709"/>
        </w:tabs>
        <w:spacing w:after="120" w:before="120" w:line="242" w:lineRule="auto"/>
        <w:ind w:firstLine="720"/>
        <w:jc w:val="both"/>
        <w:rPr>
          <w:i/>
          <w:sz w:val="28"/>
          <w:szCs w:val="28"/>
        </w:rPr>
      </w:pPr>
      <w:r>
        <w:rPr>
          <w:i/>
          <w:sz w:val="28"/>
          <w:szCs w:val="28"/>
        </w:rPr>
        <w:t xml:space="preserve">Căn cứ </w:t>
      </w:r>
      <w:r>
        <w:rPr>
          <w:i/>
          <w:iCs/>
          <w:sz w:val="28"/>
          <w:szCs w:val="28"/>
        </w:rPr>
        <w:t xml:space="preserve">Thông</w:t>
      </w:r>
      <w:r>
        <w:rPr>
          <w:i/>
          <w:iCs/>
          <w:sz w:val="28"/>
          <w:szCs w:val="28"/>
        </w:rPr>
        <w:t xml:space="preserve"> tư số 13/2022/TT-BTC</w:t>
      </w:r>
      <w:r>
        <w:rPr>
          <w:i/>
          <w:sz w:val="28"/>
          <w:szCs w:val="28"/>
        </w:rPr>
        <w:t xml:space="preserve"> ngày 28 tháng 02 năm 2022 của </w:t>
      </w:r>
      <w:r>
        <w:rPr>
          <w:i/>
          <w:iCs/>
          <w:sz w:val="28"/>
          <w:szCs w:val="28"/>
          <w:lang w:val="vi-VN"/>
        </w:rPr>
        <w:t xml:space="preserve">Bộ </w:t>
      </w:r>
      <w:r>
        <w:rPr>
          <w:i/>
          <w:iCs/>
          <w:spacing w:val="-4"/>
          <w:sz w:val="28"/>
          <w:szCs w:val="28"/>
        </w:rPr>
        <w:t xml:space="preserve">trưởng Bộ </w:t>
      </w:r>
      <w:r>
        <w:rPr>
          <w:i/>
          <w:iCs/>
          <w:spacing w:val="-4"/>
          <w:sz w:val="28"/>
          <w:szCs w:val="28"/>
          <w:lang w:val="vi-VN"/>
        </w:rPr>
        <w:t xml:space="preserve">Tài chính quy định chi tiết một số điều của Nghị định số 10/2022/NĐ-CP</w:t>
      </w:r>
      <w:r>
        <w:rPr>
          <w:i/>
          <w:iCs/>
          <w:sz w:val="28"/>
          <w:szCs w:val="28"/>
          <w:lang w:val="vi-VN"/>
        </w:rPr>
        <w:t xml:space="preserve"> ngày 1</w:t>
      </w:r>
      <w:r>
        <w:rPr>
          <w:i/>
          <w:iCs/>
          <w:sz w:val="28"/>
          <w:szCs w:val="28"/>
        </w:rPr>
        <w:t xml:space="preserve">5</w:t>
      </w:r>
      <w:r>
        <w:rPr>
          <w:i/>
          <w:iCs/>
          <w:sz w:val="28"/>
          <w:szCs w:val="28"/>
          <w:lang w:val="vi-VN"/>
        </w:rPr>
        <w:t xml:space="preserve"> tháng 01 năm 20</w:t>
      </w:r>
      <w:r>
        <w:rPr>
          <w:i/>
          <w:iCs/>
          <w:sz w:val="28"/>
          <w:szCs w:val="28"/>
        </w:rPr>
        <w:t xml:space="preserve">22</w:t>
      </w:r>
      <w:r>
        <w:rPr>
          <w:i/>
          <w:iCs/>
          <w:sz w:val="28"/>
          <w:szCs w:val="28"/>
          <w:lang w:val="vi-VN"/>
        </w:rPr>
        <w:t xml:space="preserve"> của Chính phủ quy định về lệ phí trước bạ</w:t>
      </w:r>
      <w:r>
        <w:rPr>
          <w:i/>
          <w:sz w:val="28"/>
          <w:szCs w:val="28"/>
        </w:rPr>
        <w:t xml:space="preserve">; </w:t>
      </w:r>
      <w:r>
        <w:rPr>
          <w:i/>
          <w:sz w:val="28"/>
          <w:szCs w:val="28"/>
        </w:rPr>
      </w:r>
    </w:p>
    <w:p>
      <w:pPr>
        <w:pBdr/>
        <w:tabs>
          <w:tab w:val="left" w:leader="none" w:pos="709"/>
        </w:tabs>
        <w:spacing w:after="120" w:before="120" w:line="242" w:lineRule="auto"/>
        <w:ind w:firstLine="720"/>
        <w:jc w:val="both"/>
        <w:rPr>
          <w:i/>
          <w:sz w:val="28"/>
          <w:szCs w:val="28"/>
        </w:rPr>
      </w:pPr>
      <w:r>
        <w:rPr>
          <w:i/>
          <w:sz w:val="28"/>
          <w:szCs w:val="28"/>
        </w:rPr>
        <w:t xml:space="preserve">Căn cứ Thông tư số 67/2025/TT-BTC ngày 01 tháng 7 </w:t>
      </w:r>
      <w:r>
        <w:rPr>
          <w:i/>
          <w:sz w:val="28"/>
          <w:szCs w:val="28"/>
        </w:rPr>
        <w:t xml:space="preserve">năm 2025 của </w:t>
      </w:r>
      <w:r>
        <w:rPr>
          <w:i/>
          <w:iCs/>
          <w:sz w:val="28"/>
          <w:szCs w:val="28"/>
          <w:lang w:val="vi-VN"/>
        </w:rPr>
        <w:t xml:space="preserve">Bộ </w:t>
      </w:r>
      <w:r>
        <w:rPr>
          <w:i/>
          <w:iCs/>
          <w:spacing w:val="-4"/>
          <w:sz w:val="28"/>
          <w:szCs w:val="28"/>
        </w:rPr>
        <w:t xml:space="preserve">trưởng</w:t>
      </w:r>
      <w:r>
        <w:rPr>
          <w:i/>
          <w:spacing w:val="-4"/>
          <w:sz w:val="28"/>
          <w:szCs w:val="28"/>
        </w:rPr>
        <w:t xml:space="preserve"> Bộ Tài chính sửa đổi, bổ sung một số điều của Thông tư số 13/2022/TT-BTC</w:t>
      </w:r>
      <w:r>
        <w:rPr>
          <w:i/>
          <w:sz w:val="28"/>
          <w:szCs w:val="28"/>
        </w:rPr>
        <w:t xml:space="preserve"> ngày 28 tháng 02 năm 2022 của </w:t>
      </w:r>
      <w:r>
        <w:rPr>
          <w:i/>
          <w:iCs/>
          <w:sz w:val="28"/>
          <w:szCs w:val="28"/>
          <w:lang w:val="vi-VN"/>
        </w:rPr>
        <w:t xml:space="preserve">Bộ </w:t>
      </w:r>
      <w:r>
        <w:rPr>
          <w:i/>
          <w:iCs/>
          <w:sz w:val="28"/>
          <w:szCs w:val="28"/>
        </w:rPr>
        <w:t xml:space="preserve">trưởng Bộ </w:t>
      </w:r>
      <w:r>
        <w:rPr>
          <w:i/>
          <w:iCs/>
          <w:sz w:val="28"/>
          <w:szCs w:val="28"/>
          <w:lang w:val="vi-VN"/>
        </w:rPr>
        <w:t xml:space="preserve">Tài chính</w:t>
      </w:r>
      <w:r>
        <w:rPr>
          <w:i/>
          <w:sz w:val="28"/>
          <w:szCs w:val="28"/>
        </w:rPr>
        <w:t xml:space="preserve"> </w:t>
      </w:r>
      <w:r>
        <w:rPr>
          <w:i/>
          <w:sz w:val="28"/>
          <w:szCs w:val="28"/>
        </w:rPr>
        <w:t xml:space="preserve">quy định chi tiết một số điều của Nghị định số 10/2022/NĐ-CP ngày 15 tháng 01 năm 2022 của Chính phủ quy định về lệ phí trước bạ;</w:t>
      </w:r>
      <w:r>
        <w:rPr>
          <w:i/>
          <w:sz w:val="28"/>
          <w:szCs w:val="28"/>
        </w:rPr>
      </w:r>
    </w:p>
    <w:p>
      <w:pPr>
        <w:pBdr/>
        <w:tabs>
          <w:tab w:val="left" w:leader="none" w:pos="709"/>
        </w:tabs>
        <w:spacing w:after="120" w:before="120" w:line="242" w:lineRule="auto"/>
        <w:ind w:firstLine="720"/>
        <w:jc w:val="both"/>
        <w:rPr>
          <w:i/>
          <w:sz w:val="28"/>
          <w:szCs w:val="28"/>
        </w:rPr>
      </w:pPr>
      <w:r>
        <w:rPr>
          <w:i/>
          <w:sz w:val="28"/>
          <w:szCs w:val="28"/>
        </w:rPr>
        <w:t xml:space="preserve">Căn cứ Thông tư số 141/2025/TT-BTC ngày </w:t>
      </w:r>
      <w:r>
        <w:rPr>
          <w:i/>
          <w:iCs/>
          <w:sz w:val="28"/>
          <w:szCs w:val="28"/>
          <w:lang w:val="vi-VN"/>
        </w:rPr>
        <w:t xml:space="preserve">31 tháng 12 năm 2025</w:t>
      </w:r>
      <w:r>
        <w:rPr>
          <w:i/>
          <w:sz w:val="28"/>
          <w:szCs w:val="28"/>
        </w:rPr>
        <w:t xml:space="preserve"> của </w:t>
      </w:r>
      <w:r>
        <w:rPr>
          <w:i/>
          <w:iCs/>
          <w:sz w:val="28"/>
          <w:szCs w:val="28"/>
          <w:lang w:val="vi-VN"/>
        </w:rPr>
        <w:t xml:space="preserve">Bộ </w:t>
      </w:r>
      <w:r>
        <w:rPr>
          <w:i/>
          <w:iCs/>
          <w:spacing w:val="-4"/>
          <w:sz w:val="28"/>
          <w:szCs w:val="28"/>
        </w:rPr>
        <w:t xml:space="preserve">trưởng</w:t>
      </w:r>
      <w:r>
        <w:rPr>
          <w:i/>
          <w:spacing w:val="-4"/>
          <w:sz w:val="28"/>
          <w:szCs w:val="28"/>
        </w:rPr>
        <w:t xml:space="preserve"> Bộ Tài chính </w:t>
      </w:r>
      <w:r>
        <w:rPr>
          <w:i/>
          <w:iCs/>
          <w:spacing w:val="-4"/>
          <w:sz w:val="28"/>
          <w:szCs w:val="28"/>
          <w:lang w:val="vi-VN"/>
        </w:rPr>
        <w:t xml:space="preserve">hướng dẫn chế độ quản lý, tính hao mòn</w:t>
      </w:r>
      <w:r>
        <w:rPr>
          <w:i/>
          <w:iCs/>
          <w:spacing w:val="-4"/>
          <w:sz w:val="28"/>
          <w:szCs w:val="28"/>
          <w:lang w:val="vi-VN"/>
        </w:rPr>
        <w:t xml:space="preserve">, khấu hao tài sản cố định tại cơ quan, tổ chức, đơn vị và tài sản cố định do Nhà nước giao cho doanh nghiệp quản lý không tính thành phần vốn nhà nước tại doanh nghiệp</w:t>
      </w:r>
      <w:r>
        <w:rPr>
          <w:i/>
          <w:iCs/>
          <w:spacing w:val="-4"/>
          <w:sz w:val="28"/>
          <w:szCs w:val="28"/>
        </w:rPr>
        <w:t xml:space="preserve">;</w:t>
      </w:r>
      <w:r>
        <w:rPr>
          <w:i/>
          <w:sz w:val="28"/>
          <w:szCs w:val="28"/>
        </w:rPr>
      </w:r>
    </w:p>
    <w:p>
      <w:pPr>
        <w:pBdr/>
        <w:tabs>
          <w:tab w:val="left" w:leader="none" w:pos="709"/>
        </w:tabs>
        <w:spacing w:before="120" w:line="312" w:lineRule="auto"/>
        <w:ind/>
        <w:jc w:val="both"/>
        <w:rPr>
          <w:rFonts w:eastAsia="MS Mincho"/>
          <w:i/>
          <w:sz w:val="28"/>
          <w:szCs w:val="28"/>
          <w:lang w:eastAsia="ja-JP"/>
        </w:rPr>
      </w:pPr>
      <w:r>
        <w:rPr>
          <w:sz w:val="28"/>
          <w:szCs w:val="28"/>
        </w:rPr>
        <w:tab/>
      </w:r>
      <w:r>
        <w:rPr>
          <w:rFonts w:eastAsia="MS Mincho"/>
          <w:i/>
          <w:sz w:val="28"/>
          <w:szCs w:val="28"/>
          <w:lang w:eastAsia="ja-JP"/>
        </w:rPr>
        <w:t xml:space="preserve">Theo đ</w:t>
      </w:r>
      <w:r>
        <w:rPr>
          <w:rFonts w:eastAsia="MS Mincho"/>
          <w:i/>
          <w:sz w:val="28"/>
          <w:szCs w:val="28"/>
          <w:lang w:eastAsia="ja-JP"/>
        </w:rPr>
        <w:t xml:space="preserve">ề</w:t>
      </w:r>
      <w:r>
        <w:rPr>
          <w:rFonts w:eastAsia="MS Mincho"/>
          <w:i/>
          <w:sz w:val="28"/>
          <w:szCs w:val="28"/>
          <w:lang w:eastAsia="ja-JP"/>
        </w:rPr>
        <w:t xml:space="preserve"> ngh</w:t>
      </w:r>
      <w:r>
        <w:rPr>
          <w:rFonts w:eastAsia="MS Mincho"/>
          <w:i/>
          <w:sz w:val="28"/>
          <w:szCs w:val="28"/>
          <w:lang w:eastAsia="ja-JP"/>
        </w:rPr>
        <w:t xml:space="preserve">ị</w:t>
      </w:r>
      <w:r>
        <w:rPr>
          <w:rFonts w:eastAsia="MS Mincho"/>
          <w:i/>
          <w:sz w:val="28"/>
          <w:szCs w:val="28"/>
          <w:lang w:eastAsia="ja-JP"/>
        </w:rPr>
        <w:t xml:space="preserve"> c</w:t>
      </w:r>
      <w:r>
        <w:rPr>
          <w:rFonts w:eastAsia="MS Mincho"/>
          <w:i/>
          <w:sz w:val="28"/>
          <w:szCs w:val="28"/>
          <w:lang w:eastAsia="ja-JP"/>
        </w:rPr>
        <w:t xml:space="preserve">ủ</w:t>
      </w:r>
      <w:r>
        <w:rPr>
          <w:rFonts w:eastAsia="MS Mincho"/>
          <w:i/>
          <w:sz w:val="28"/>
          <w:szCs w:val="28"/>
          <w:lang w:eastAsia="ja-JP"/>
        </w:rPr>
        <w:t xml:space="preserve">a Giám đ</w:t>
      </w:r>
      <w:r>
        <w:rPr>
          <w:rFonts w:eastAsia="MS Mincho"/>
          <w:i/>
          <w:sz w:val="28"/>
          <w:szCs w:val="28"/>
          <w:lang w:eastAsia="ja-JP"/>
        </w:rPr>
        <w:t xml:space="preserve">ố</w:t>
      </w:r>
      <w:r>
        <w:rPr>
          <w:rFonts w:eastAsia="MS Mincho"/>
          <w:i/>
          <w:sz w:val="28"/>
          <w:szCs w:val="28"/>
          <w:lang w:eastAsia="ja-JP"/>
        </w:rPr>
        <w:t xml:space="preserve">c S</w:t>
      </w:r>
      <w:r>
        <w:rPr>
          <w:rFonts w:eastAsia="MS Mincho"/>
          <w:i/>
          <w:sz w:val="28"/>
          <w:szCs w:val="28"/>
          <w:lang w:eastAsia="ja-JP"/>
        </w:rPr>
        <w:t xml:space="preserve">ở</w:t>
      </w:r>
      <w:r>
        <w:rPr>
          <w:rFonts w:eastAsia="MS Mincho"/>
          <w:i/>
          <w:sz w:val="28"/>
          <w:szCs w:val="28"/>
          <w:lang w:eastAsia="ja-JP"/>
        </w:rPr>
        <w:t xml:space="preserve"> Tài chính t</w:t>
      </w:r>
      <w:r>
        <w:rPr>
          <w:rFonts w:eastAsia="MS Mincho"/>
          <w:i/>
          <w:sz w:val="28"/>
          <w:szCs w:val="28"/>
          <w:lang w:eastAsia="ja-JP"/>
        </w:rPr>
        <w:t xml:space="preserve">ạ</w:t>
      </w:r>
      <w:r>
        <w:rPr>
          <w:rFonts w:eastAsia="MS Mincho"/>
          <w:i/>
          <w:sz w:val="28"/>
          <w:szCs w:val="28"/>
          <w:lang w:eastAsia="ja-JP"/>
        </w:rPr>
        <w:t xml:space="preserve">i T</w:t>
      </w:r>
      <w:r>
        <w:rPr>
          <w:rFonts w:eastAsia="MS Mincho"/>
          <w:i/>
          <w:sz w:val="28"/>
          <w:szCs w:val="28"/>
          <w:lang w:eastAsia="ja-JP"/>
        </w:rPr>
        <w:t xml:space="preserve">ờ</w:t>
      </w:r>
      <w:r>
        <w:rPr>
          <w:rFonts w:eastAsia="MS Mincho"/>
          <w:i/>
          <w:sz w:val="28"/>
          <w:szCs w:val="28"/>
          <w:lang w:eastAsia="ja-JP"/>
        </w:rPr>
        <w:t xml:space="preserve"> trình s</w:t>
      </w:r>
      <w:r>
        <w:rPr>
          <w:rFonts w:eastAsia="MS Mincho"/>
          <w:i/>
          <w:sz w:val="28"/>
          <w:szCs w:val="28"/>
          <w:lang w:eastAsia="ja-JP"/>
        </w:rPr>
        <w:t xml:space="preserve">ố</w:t>
      </w:r>
      <w:r>
        <w:rPr>
          <w:rFonts w:eastAsia="MS Mincho"/>
          <w:i/>
          <w:sz w:val="28"/>
          <w:szCs w:val="28"/>
          <w:lang w:eastAsia="ja-JP"/>
        </w:rPr>
        <w:t xml:space="preserve"> 8370/TTr-STC ngày 23 tháng 6 n</w:t>
      </w:r>
      <w:r>
        <w:rPr>
          <w:rFonts w:eastAsia="MS Mincho"/>
          <w:i/>
          <w:sz w:val="28"/>
          <w:szCs w:val="28"/>
          <w:lang w:eastAsia="ja-JP"/>
        </w:rPr>
        <w:t xml:space="preserve">ăm 2026 và </w:t>
      </w:r>
      <w:r>
        <w:rPr>
          <w:i/>
          <w:sz w:val="28"/>
          <w:szCs w:val="28"/>
        </w:rPr>
        <w:t xml:space="preserve">tổng hợp ý kiến các thành viên Ủy ban nhân dân tỉnh tại Công văn số 9089/STC-QLG&amp;CS ngày 04 tháng 7 năm 2026</w:t>
      </w:r>
      <w:r>
        <w:rPr>
          <w:rFonts w:eastAsia="MS Mincho"/>
          <w:i/>
          <w:sz w:val="28"/>
          <w:szCs w:val="28"/>
          <w:lang w:eastAsia="ja-JP"/>
        </w:rPr>
        <w:t xml:space="preserve">; ý ki</w:t>
      </w:r>
      <w:r>
        <w:rPr>
          <w:rFonts w:eastAsia="MS Mincho"/>
          <w:i/>
          <w:sz w:val="28"/>
          <w:szCs w:val="28"/>
          <w:lang w:eastAsia="ja-JP"/>
        </w:rPr>
        <w:t xml:space="preserve">ế</w:t>
      </w:r>
      <w:r>
        <w:rPr>
          <w:rFonts w:eastAsia="MS Mincho"/>
          <w:i/>
          <w:sz w:val="28"/>
          <w:szCs w:val="28"/>
          <w:lang w:eastAsia="ja-JP"/>
        </w:rPr>
        <w:t xml:space="preserve">n th</w:t>
      </w:r>
      <w:r>
        <w:rPr>
          <w:rFonts w:eastAsia="MS Mincho"/>
          <w:i/>
          <w:sz w:val="28"/>
          <w:szCs w:val="28"/>
          <w:lang w:eastAsia="ja-JP"/>
        </w:rPr>
        <w:t xml:space="preserve">ẩ</w:t>
      </w:r>
      <w:r>
        <w:rPr>
          <w:rFonts w:eastAsia="MS Mincho"/>
          <w:i/>
          <w:sz w:val="28"/>
          <w:szCs w:val="28"/>
          <w:lang w:eastAsia="ja-JP"/>
        </w:rPr>
        <w:t xml:space="preserve">m đ</w:t>
      </w:r>
      <w:r>
        <w:rPr>
          <w:rFonts w:eastAsia="MS Mincho"/>
          <w:i/>
          <w:sz w:val="28"/>
          <w:szCs w:val="28"/>
          <w:lang w:eastAsia="ja-JP"/>
        </w:rPr>
        <w:t xml:space="preserve">ị</w:t>
      </w:r>
      <w:r>
        <w:rPr>
          <w:rFonts w:eastAsia="MS Mincho"/>
          <w:i/>
          <w:sz w:val="28"/>
          <w:szCs w:val="28"/>
          <w:lang w:eastAsia="ja-JP"/>
        </w:rPr>
        <w:t xml:space="preserve">nh c</w:t>
      </w:r>
      <w:r>
        <w:rPr>
          <w:rFonts w:eastAsia="MS Mincho"/>
          <w:i/>
          <w:sz w:val="28"/>
          <w:szCs w:val="28"/>
          <w:lang w:eastAsia="ja-JP"/>
        </w:rPr>
        <w:t xml:space="preserve">ủ</w:t>
      </w:r>
      <w:r>
        <w:rPr>
          <w:rFonts w:eastAsia="MS Mincho"/>
          <w:i/>
          <w:sz w:val="28"/>
          <w:szCs w:val="28"/>
          <w:lang w:eastAsia="ja-JP"/>
        </w:rPr>
        <w:t xml:space="preserve">a S</w:t>
      </w:r>
      <w:r>
        <w:rPr>
          <w:rFonts w:eastAsia="MS Mincho"/>
          <w:i/>
          <w:sz w:val="28"/>
          <w:szCs w:val="28"/>
          <w:lang w:eastAsia="ja-JP"/>
        </w:rPr>
        <w:t xml:space="preserve">ở</w:t>
      </w:r>
      <w:r>
        <w:rPr>
          <w:rFonts w:eastAsia="MS Mincho"/>
          <w:i/>
          <w:sz w:val="28"/>
          <w:szCs w:val="28"/>
          <w:lang w:eastAsia="ja-JP"/>
        </w:rPr>
        <w:t xml:space="preserve"> Tư pháp t</w:t>
      </w:r>
      <w:r>
        <w:rPr>
          <w:rFonts w:eastAsia="MS Mincho"/>
          <w:i/>
          <w:sz w:val="28"/>
          <w:szCs w:val="28"/>
          <w:lang w:eastAsia="ja-JP"/>
        </w:rPr>
        <w:t xml:space="preserve">ạ</w:t>
      </w:r>
      <w:r>
        <w:rPr>
          <w:rFonts w:eastAsia="MS Mincho"/>
          <w:i/>
          <w:sz w:val="28"/>
          <w:szCs w:val="28"/>
          <w:lang w:eastAsia="ja-JP"/>
        </w:rPr>
        <w:t xml:space="preserve">i Báo cáo s</w:t>
      </w:r>
      <w:r>
        <w:rPr>
          <w:rFonts w:eastAsia="MS Mincho"/>
          <w:i/>
          <w:sz w:val="28"/>
          <w:szCs w:val="28"/>
          <w:lang w:eastAsia="ja-JP"/>
        </w:rPr>
        <w:t xml:space="preserve">ố</w:t>
      </w:r>
      <w:r>
        <w:rPr>
          <w:rFonts w:eastAsia="MS Mincho"/>
          <w:i/>
          <w:sz w:val="28"/>
          <w:szCs w:val="28"/>
          <w:lang w:eastAsia="ja-JP"/>
        </w:rPr>
        <w:t xml:space="preserve"> 224/BC-STP ngày 12 tháng 6 năm 2026 và Công văn s</w:t>
      </w:r>
      <w:r>
        <w:rPr>
          <w:rFonts w:eastAsia="MS Mincho"/>
          <w:i/>
          <w:sz w:val="28"/>
          <w:szCs w:val="28"/>
          <w:lang w:eastAsia="ja-JP"/>
        </w:rPr>
        <w:t xml:space="preserve">ố</w:t>
      </w:r>
      <w:r>
        <w:rPr>
          <w:rFonts w:eastAsia="MS Mincho"/>
          <w:i/>
          <w:sz w:val="28"/>
          <w:szCs w:val="28"/>
          <w:lang w:eastAsia="ja-JP"/>
        </w:rPr>
        <w:t xml:space="preserve"> 2900/STP-NV1 ngày 19 tháng 6 năm 2026</w:t>
      </w:r>
      <w:r>
        <w:rPr>
          <w:rFonts w:eastAsia="MS Mincho"/>
          <w:i/>
          <w:sz w:val="28"/>
          <w:szCs w:val="28"/>
          <w:lang w:eastAsia="ja-JP"/>
        </w:rPr>
        <w:t xml:space="preserve">;</w:t>
      </w:r>
      <w:r>
        <w:rPr>
          <w:rFonts w:eastAsia="MS Mincho"/>
          <w:i/>
          <w:sz w:val="28"/>
          <w:szCs w:val="28"/>
          <w:lang w:eastAsia="ja-JP"/>
        </w:rPr>
      </w:r>
    </w:p>
    <w:p>
      <w:pPr>
        <w:pBdr/>
        <w:tabs>
          <w:tab w:val="left" w:leader="none" w:pos="709"/>
        </w:tabs>
        <w:spacing w:before="120" w:line="312" w:lineRule="auto"/>
        <w:ind/>
        <w:jc w:val="both"/>
        <w:rPr>
          <w:rFonts w:eastAsia="MS Mincho"/>
          <w:i/>
          <w:iCs/>
          <w:sz w:val="28"/>
          <w:szCs w:val="28"/>
          <w:lang w:eastAsia="ja-JP"/>
        </w:rPr>
      </w:pPr>
      <w:r>
        <w:rPr>
          <w:rFonts w:eastAsia="MS Mincho"/>
          <w:i/>
          <w:sz w:val="28"/>
          <w:szCs w:val="28"/>
          <w:lang w:eastAsia="ja-JP"/>
        </w:rPr>
        <w:tab/>
      </w:r>
      <w:r>
        <w:rPr>
          <w:i/>
          <w:iCs/>
          <w:sz w:val="28"/>
          <w:szCs w:val="28"/>
        </w:rPr>
        <w:t xml:space="preserve">Ủy ban nhân dân ban hành Quyết định về việc </w:t>
      </w:r>
      <w:r>
        <w:rPr>
          <w:bCs/>
          <w:i/>
          <w:iCs/>
          <w:sz w:val="28"/>
          <w:szCs w:val="28"/>
        </w:rPr>
        <w:t xml:space="preserve">quy định giá tính lệ phí </w:t>
      </w:r>
      <w:r>
        <w:rPr>
          <w:bCs/>
          <w:i/>
          <w:iCs/>
          <w:spacing w:val="-4"/>
          <w:sz w:val="28"/>
          <w:szCs w:val="28"/>
        </w:rPr>
        <w:t xml:space="preserve">trước bạ đối với nhà trên địa bàn tỉnh Khánh Hòa</w:t>
      </w:r>
      <w:r>
        <w:rPr>
          <w:i/>
          <w:iCs/>
          <w:spacing w:val="-4"/>
          <w:sz w:val="28"/>
          <w:szCs w:val="28"/>
        </w:rPr>
        <w:t xml:space="preserve">.</w:t>
      </w:r>
      <w:r>
        <w:rPr>
          <w:rFonts w:eastAsia="MS Mincho"/>
          <w:i/>
          <w:iCs/>
          <w:sz w:val="28"/>
          <w:szCs w:val="28"/>
          <w:lang w:eastAsia="ja-JP"/>
        </w:rPr>
      </w:r>
    </w:p>
    <w:p>
      <w:pPr>
        <w:pBdr/>
        <w:tabs>
          <w:tab w:val="left" w:leader="none" w:pos="709"/>
        </w:tabs>
        <w:spacing w:after="120" w:before="240" w:line="242" w:lineRule="auto"/>
        <w:ind/>
        <w:jc w:val="both"/>
        <w:rPr>
          <w:spacing w:val="-4"/>
          <w:sz w:val="28"/>
          <w:szCs w:val="28"/>
          <w:lang w:val="de-DE"/>
        </w:rPr>
      </w:pPr>
      <w:r>
        <w:rPr>
          <w:b/>
          <w:sz w:val="28"/>
          <w:szCs w:val="28"/>
          <w:lang w:val="nl-NL"/>
        </w:rPr>
        <w:tab/>
        <w:t xml:space="preserve">Điều 1. </w:t>
      </w:r>
      <w:r>
        <w:rPr>
          <w:b/>
          <w:bCs/>
          <w:sz w:val="28"/>
          <w:szCs w:val="28"/>
          <w:lang w:val="de-DE"/>
        </w:rPr>
        <w:t xml:space="preserve">Phạm vi điều chỉnh và đ</w:t>
      </w:r>
      <w:r>
        <w:rPr>
          <w:b/>
          <w:bCs/>
          <w:sz w:val="28"/>
          <w:szCs w:val="28"/>
        </w:rPr>
        <w:t xml:space="preserve">ối tượng áp dụng</w:t>
      </w:r>
      <w:r>
        <w:rPr>
          <w:spacing w:val="-4"/>
          <w:sz w:val="28"/>
          <w:szCs w:val="28"/>
          <w:lang w:val="de-DE"/>
        </w:rPr>
      </w:r>
    </w:p>
    <w:p>
      <w:pPr>
        <w:pBdr/>
        <w:spacing w:after="120" w:before="120" w:line="242" w:lineRule="auto"/>
        <w:ind w:firstLine="720"/>
        <w:jc w:val="both"/>
        <w:rPr>
          <w:sz w:val="28"/>
          <w:szCs w:val="28"/>
        </w:rPr>
      </w:pPr>
      <w:r>
        <w:rPr>
          <w:sz w:val="28"/>
          <w:szCs w:val="28"/>
        </w:rPr>
        <w:t xml:space="preserve">1. </w:t>
      </w:r>
      <w:r>
        <w:rPr>
          <w:sz w:val="28"/>
          <w:szCs w:val="28"/>
          <w:lang w:val="de-DE"/>
        </w:rPr>
        <w:t xml:space="preserve">Phạm vi điều chỉnh</w:t>
      </w:r>
      <w:r>
        <w:rPr>
          <w:sz w:val="28"/>
          <w:szCs w:val="28"/>
        </w:rPr>
      </w:r>
    </w:p>
    <w:p>
      <w:pPr>
        <w:pBdr/>
        <w:spacing w:after="120" w:before="120" w:line="242" w:lineRule="auto"/>
        <w:ind w:firstLine="720"/>
        <w:jc w:val="both"/>
        <w:rPr>
          <w:sz w:val="28"/>
          <w:szCs w:val="28"/>
        </w:rPr>
      </w:pPr>
      <w:r>
        <w:rPr>
          <w:iCs/>
          <w:sz w:val="28"/>
          <w:szCs w:val="28"/>
          <w:lang w:val="vi-VN" w:eastAsia="vi-VN" w:bidi="vi-VN"/>
        </w:rPr>
        <w:t xml:space="preserve">Quyết định này </w:t>
      </w:r>
      <w:r>
        <w:rPr>
          <w:iCs/>
          <w:sz w:val="28"/>
          <w:szCs w:val="28"/>
          <w:lang w:bidi="en-US"/>
        </w:rPr>
        <w:t xml:space="preserve">quy </w:t>
      </w:r>
      <w:r>
        <w:rPr>
          <w:iCs/>
          <w:sz w:val="28"/>
          <w:szCs w:val="28"/>
          <w:lang w:val="vi-VN" w:eastAsia="vi-VN" w:bidi="vi-VN"/>
        </w:rPr>
        <w:t xml:space="preserve">định giá tính lệ phí trước bạ đối với nhà trên địa bàn tỉnh Khánh Hòa theo quy định tại </w:t>
      </w:r>
      <w:r>
        <w:rPr>
          <w:iCs/>
          <w:sz w:val="28"/>
          <w:szCs w:val="28"/>
        </w:rPr>
        <w:t xml:space="preserve">điểm b khoản 1 Điều 7 </w:t>
      </w:r>
      <w:r>
        <w:rPr>
          <w:sz w:val="28"/>
          <w:szCs w:val="28"/>
        </w:rPr>
        <w:t xml:space="preserve">N</w:t>
      </w:r>
      <w:r>
        <w:rPr>
          <w:iCs/>
          <w:sz w:val="28"/>
          <w:szCs w:val="28"/>
          <w:lang w:val="vi-VN" w:eastAsia="vi-VN"/>
        </w:rPr>
        <w:t xml:space="preserve">ghị định số </w:t>
      </w:r>
      <w:r>
        <w:rPr>
          <w:iCs/>
          <w:sz w:val="28"/>
          <w:szCs w:val="28"/>
        </w:rPr>
        <w:t xml:space="preserve">10/2022</w:t>
      </w:r>
      <w:r>
        <w:rPr>
          <w:iCs/>
          <w:sz w:val="28"/>
          <w:szCs w:val="28"/>
          <w:lang w:val="vi-VN" w:eastAsia="vi-VN"/>
        </w:rPr>
        <w:t xml:space="preserve">/NĐ-CP</w:t>
      </w:r>
      <w:r>
        <w:rPr>
          <w:iCs/>
          <w:sz w:val="28"/>
          <w:szCs w:val="28"/>
          <w:lang w:eastAsia="vi-VN"/>
        </w:rPr>
        <w:t xml:space="preserve"> </w:t>
      </w:r>
      <w:r>
        <w:rPr>
          <w:iCs/>
          <w:sz w:val="28"/>
          <w:szCs w:val="28"/>
          <w:lang w:val="vi-VN"/>
        </w:rPr>
        <w:t xml:space="preserve">ngày 1</w:t>
      </w:r>
      <w:r>
        <w:rPr>
          <w:iCs/>
          <w:sz w:val="28"/>
          <w:szCs w:val="28"/>
        </w:rPr>
        <w:t xml:space="preserve">5</w:t>
      </w:r>
      <w:r>
        <w:rPr>
          <w:iCs/>
          <w:sz w:val="28"/>
          <w:szCs w:val="28"/>
          <w:lang w:val="vi-VN"/>
        </w:rPr>
        <w:t xml:space="preserve"> tháng 01 năm 20</w:t>
      </w:r>
      <w:r>
        <w:rPr>
          <w:iCs/>
          <w:sz w:val="28"/>
          <w:szCs w:val="28"/>
        </w:rPr>
        <w:t xml:space="preserve">22</w:t>
      </w:r>
      <w:r>
        <w:rPr>
          <w:iCs/>
          <w:sz w:val="28"/>
          <w:szCs w:val="28"/>
          <w:lang w:val="vi-VN"/>
        </w:rPr>
        <w:t xml:space="preserve"> của Chính phủ </w:t>
      </w:r>
      <w:r>
        <w:rPr>
          <w:iCs/>
          <w:sz w:val="28"/>
          <w:szCs w:val="28"/>
          <w:lang w:eastAsia="vi-VN"/>
        </w:rPr>
        <w:t xml:space="preserve">quy định</w:t>
      </w:r>
      <w:r>
        <w:rPr>
          <w:iCs/>
          <w:sz w:val="28"/>
          <w:szCs w:val="28"/>
          <w:lang w:val="vi-VN" w:eastAsia="vi-VN"/>
        </w:rPr>
        <w:t xml:space="preserve"> về lệ phí trước bạ</w:t>
      </w:r>
      <w:r>
        <w:rPr>
          <w:iCs/>
          <w:sz w:val="28"/>
          <w:szCs w:val="28"/>
          <w:lang w:eastAsia="vi-VN"/>
        </w:rPr>
        <w:t xml:space="preserve"> và </w:t>
      </w:r>
      <w:r>
        <w:rPr>
          <w:iCs/>
          <w:sz w:val="28"/>
          <w:szCs w:val="28"/>
        </w:rPr>
        <w:t xml:space="preserve">điểm b khoản 1 Điều 3 Thông tư số 13/2022/TT-BTC</w:t>
      </w:r>
      <w:r>
        <w:rPr>
          <w:iCs/>
          <w:sz w:val="28"/>
          <w:szCs w:val="28"/>
        </w:rPr>
        <w:t xml:space="preserve"> </w:t>
      </w:r>
      <w:r>
        <w:rPr>
          <w:sz w:val="28"/>
          <w:szCs w:val="28"/>
        </w:rPr>
        <w:t xml:space="preserve">ngày 28 tháng 02 năm 2022 của </w:t>
      </w:r>
      <w:r>
        <w:rPr>
          <w:iCs/>
          <w:sz w:val="28"/>
          <w:szCs w:val="28"/>
          <w:lang w:val="vi-VN"/>
        </w:rPr>
        <w:t xml:space="preserve">Bộ </w:t>
      </w:r>
      <w:r>
        <w:rPr>
          <w:iCs/>
          <w:spacing w:val="-4"/>
          <w:sz w:val="28"/>
          <w:szCs w:val="28"/>
        </w:rPr>
        <w:t xml:space="preserve">trưởng Bộ </w:t>
      </w:r>
      <w:r>
        <w:rPr>
          <w:iCs/>
          <w:spacing w:val="-4"/>
          <w:sz w:val="28"/>
          <w:szCs w:val="28"/>
          <w:lang w:val="vi-VN"/>
        </w:rPr>
        <w:t xml:space="preserve">Tài chính quy định chi tiết một số điều của Nghị định số 10/2022/NĐ-CP</w:t>
      </w:r>
      <w:r>
        <w:rPr>
          <w:iCs/>
          <w:sz w:val="28"/>
          <w:szCs w:val="28"/>
          <w:lang w:val="vi-VN"/>
        </w:rPr>
        <w:t xml:space="preserve"> ngày 1</w:t>
      </w:r>
      <w:r>
        <w:rPr>
          <w:iCs/>
          <w:sz w:val="28"/>
          <w:szCs w:val="28"/>
        </w:rPr>
        <w:t xml:space="preserve">5</w:t>
      </w:r>
      <w:r>
        <w:rPr>
          <w:iCs/>
          <w:sz w:val="28"/>
          <w:szCs w:val="28"/>
          <w:lang w:val="vi-VN"/>
        </w:rPr>
        <w:t xml:space="preserve"> tháng 01 năm 20</w:t>
      </w:r>
      <w:r>
        <w:rPr>
          <w:iCs/>
          <w:sz w:val="28"/>
          <w:szCs w:val="28"/>
        </w:rPr>
        <w:t xml:space="preserve">22</w:t>
      </w:r>
      <w:r>
        <w:rPr>
          <w:iCs/>
          <w:sz w:val="28"/>
          <w:szCs w:val="28"/>
          <w:lang w:val="vi-VN"/>
        </w:rPr>
        <w:t xml:space="preserve">  của Chính phủ quy định về lệ phí trước bạ</w:t>
      </w:r>
      <w:r>
        <w:rPr>
          <w:sz w:val="28"/>
          <w:szCs w:val="28"/>
        </w:rPr>
        <w:t xml:space="preserve">.</w:t>
      </w:r>
      <w:r>
        <w:rPr>
          <w:sz w:val="28"/>
          <w:szCs w:val="28"/>
        </w:rPr>
      </w:r>
    </w:p>
    <w:p>
      <w:pPr>
        <w:pBdr/>
        <w:spacing w:after="120" w:before="120" w:line="242" w:lineRule="auto"/>
        <w:ind/>
        <w:rPr>
          <w:sz w:val="28"/>
          <w:szCs w:val="28"/>
        </w:rPr>
      </w:pPr>
      <w:r>
        <w:rPr>
          <w:sz w:val="28"/>
          <w:szCs w:val="28"/>
          <w:lang w:val="nl-NL"/>
        </w:rPr>
        <w:tab/>
      </w:r>
      <w:r>
        <w:rPr>
          <w:sz w:val="28"/>
          <w:szCs w:val="28"/>
        </w:rPr>
        <w:t xml:space="preserve">2. Đối tượng áp dụng</w:t>
      </w:r>
      <w:r>
        <w:rPr>
          <w:sz w:val="28"/>
          <w:szCs w:val="28"/>
        </w:rPr>
      </w:r>
    </w:p>
    <w:p>
      <w:pPr>
        <w:pStyle w:val="932"/>
        <w:pBdr/>
        <w:spacing w:after="120" w:before="120" w:line="242" w:lineRule="auto"/>
        <w:ind w:firstLine="709"/>
        <w:rPr>
          <w:szCs w:val="28"/>
        </w:rPr>
      </w:pPr>
      <w:r/>
      <w:bookmarkStart w:id="0" w:name="_Hlk212282875"/>
      <w:r>
        <w:rPr>
          <w:iCs/>
          <w:szCs w:val="28"/>
          <w:lang w:bidi="en-US"/>
        </w:rPr>
        <w:t xml:space="preserve">a) </w:t>
      </w:r>
      <w:r>
        <w:rPr>
          <w:iCs/>
          <w:szCs w:val="28"/>
          <w:lang w:val="vi-VN" w:eastAsia="vi-VN" w:bidi="vi-VN"/>
        </w:rPr>
        <w:t xml:space="preserve">Người nộp lệ phí trước bạ.</w:t>
      </w:r>
      <w:r>
        <w:rPr>
          <w:szCs w:val="28"/>
        </w:rPr>
      </w:r>
    </w:p>
    <w:p>
      <w:pPr>
        <w:pBdr/>
        <w:tabs>
          <w:tab w:val="left" w:leader="none" w:pos="709"/>
        </w:tabs>
        <w:spacing w:after="120" w:before="120" w:line="242" w:lineRule="auto"/>
        <w:ind w:firstLine="720"/>
        <w:jc w:val="both"/>
        <w:rPr>
          <w:iCs/>
          <w:sz w:val="28"/>
          <w:szCs w:val="28"/>
          <w:lang w:eastAsia="vi-VN" w:bidi="vi-VN"/>
        </w:rPr>
      </w:pPr>
      <w:r>
        <w:rPr>
          <w:iCs/>
          <w:sz w:val="28"/>
          <w:szCs w:val="28"/>
          <w:lang w:bidi="en-US"/>
        </w:rPr>
        <w:t xml:space="preserve">b) </w:t>
      </w:r>
      <w:r>
        <w:rPr>
          <w:iCs/>
          <w:sz w:val="28"/>
          <w:szCs w:val="28"/>
          <w:lang w:val="vi-VN" w:eastAsia="vi-VN" w:bidi="vi-VN"/>
        </w:rPr>
        <w:t xml:space="preserve">Cơ </w:t>
      </w:r>
      <w:r>
        <w:rPr>
          <w:iCs/>
          <w:sz w:val="28"/>
          <w:szCs w:val="28"/>
          <w:lang w:bidi="en-US"/>
        </w:rPr>
        <w:t xml:space="preserve">quan </w:t>
      </w:r>
      <w:r>
        <w:rPr>
          <w:iCs/>
          <w:sz w:val="28"/>
          <w:szCs w:val="28"/>
          <w:lang w:val="vi-VN" w:eastAsia="vi-VN" w:bidi="vi-VN"/>
        </w:rPr>
        <w:t xml:space="preserve">thuế</w:t>
      </w:r>
      <w:r>
        <w:rPr>
          <w:iCs/>
          <w:sz w:val="28"/>
          <w:szCs w:val="28"/>
          <w:lang w:eastAsia="vi-VN" w:bidi="vi-VN"/>
        </w:rPr>
        <w:t xml:space="preserve">.</w:t>
      </w:r>
      <w:r>
        <w:rPr>
          <w:iCs/>
          <w:sz w:val="28"/>
          <w:szCs w:val="28"/>
          <w:lang w:eastAsia="vi-VN" w:bidi="vi-VN"/>
        </w:rPr>
      </w:r>
    </w:p>
    <w:p>
      <w:pPr>
        <w:pBdr/>
        <w:tabs>
          <w:tab w:val="left" w:leader="none" w:pos="709"/>
        </w:tabs>
        <w:spacing w:after="120" w:before="120" w:line="242" w:lineRule="auto"/>
        <w:ind w:firstLine="720"/>
        <w:jc w:val="both"/>
        <w:rPr>
          <w:b/>
          <w:spacing w:val="-4"/>
          <w:sz w:val="28"/>
          <w:szCs w:val="28"/>
          <w:lang w:val="nl-NL"/>
        </w:rPr>
      </w:pPr>
      <w:r>
        <w:rPr>
          <w:iCs/>
          <w:sz w:val="28"/>
          <w:szCs w:val="28"/>
          <w:lang w:eastAsia="vi-VN" w:bidi="vi-VN"/>
        </w:rPr>
        <w:t xml:space="preserve">c)</w:t>
      </w:r>
      <w:r>
        <w:rPr>
          <w:iCs/>
          <w:sz w:val="28"/>
          <w:szCs w:val="28"/>
          <w:lang w:val="vi-VN" w:eastAsia="vi-VN" w:bidi="vi-VN"/>
        </w:rPr>
        <w:t xml:space="preserve"> </w:t>
      </w:r>
      <w:r>
        <w:rPr>
          <w:iCs/>
          <w:sz w:val="28"/>
          <w:szCs w:val="28"/>
          <w:lang w:eastAsia="vi-VN" w:bidi="vi-VN"/>
        </w:rPr>
        <w:t xml:space="preserve">C</w:t>
      </w:r>
      <w:r>
        <w:rPr>
          <w:iCs/>
          <w:sz w:val="28"/>
          <w:szCs w:val="28"/>
          <w:lang w:val="vi-VN" w:eastAsia="vi-VN" w:bidi="vi-VN"/>
        </w:rPr>
        <w:t xml:space="preserve">ác cơ </w:t>
      </w:r>
      <w:r>
        <w:rPr>
          <w:iCs/>
          <w:sz w:val="28"/>
          <w:szCs w:val="28"/>
          <w:lang w:bidi="en-US"/>
        </w:rPr>
        <w:t xml:space="preserve">quan, </w:t>
      </w:r>
      <w:r>
        <w:rPr>
          <w:iCs/>
          <w:sz w:val="28"/>
          <w:szCs w:val="28"/>
          <w:lang w:val="vi-VN" w:eastAsia="vi-VN" w:bidi="vi-VN"/>
        </w:rPr>
        <w:t xml:space="preserve">tổ chức, cá nhân khác có liên </w:t>
      </w:r>
      <w:r>
        <w:rPr>
          <w:iCs/>
          <w:sz w:val="28"/>
          <w:szCs w:val="28"/>
          <w:lang w:bidi="en-US"/>
        </w:rPr>
        <w:t xml:space="preserve">quan</w:t>
      </w:r>
      <w:r>
        <w:rPr>
          <w:sz w:val="28"/>
          <w:szCs w:val="28"/>
          <w:lang w:bidi="en-US"/>
        </w:rPr>
        <w:t xml:space="preserve">.</w:t>
      </w:r>
      <w:bookmarkEnd w:id="0"/>
      <w:r/>
      <w:r>
        <w:rPr>
          <w:b/>
          <w:spacing w:val="-4"/>
          <w:sz w:val="28"/>
          <w:szCs w:val="28"/>
          <w:lang w:val="nl-NL"/>
        </w:rPr>
      </w:r>
    </w:p>
    <w:p>
      <w:pPr>
        <w:pBdr/>
        <w:tabs>
          <w:tab w:val="left" w:leader="none" w:pos="709"/>
        </w:tabs>
        <w:spacing w:after="120" w:before="120" w:line="242" w:lineRule="auto"/>
        <w:ind w:firstLine="720"/>
        <w:jc w:val="both"/>
        <w:rPr>
          <w:b/>
          <w:spacing w:val="-4"/>
          <w:sz w:val="28"/>
          <w:szCs w:val="28"/>
          <w:lang w:val="nl-NL"/>
        </w:rPr>
      </w:pPr>
      <w:r>
        <w:rPr>
          <w:b/>
          <w:spacing w:val="2"/>
          <w:sz w:val="28"/>
          <w:szCs w:val="28"/>
          <w:lang w:val="nb-NO"/>
        </w:rPr>
        <w:t xml:space="preserve">Điều 2. </w:t>
      </w:r>
      <w:r>
        <w:rPr>
          <w:b/>
          <w:spacing w:val="-4"/>
          <w:sz w:val="28"/>
          <w:szCs w:val="28"/>
          <w:lang w:val="nl-NL"/>
        </w:rPr>
        <w:t xml:space="preserve">G</w:t>
      </w:r>
      <w:r>
        <w:rPr>
          <w:b/>
          <w:spacing w:val="2"/>
          <w:sz w:val="28"/>
          <w:szCs w:val="28"/>
        </w:rPr>
        <w:t xml:space="preserve">iá tính lệ phí trước bạ đối với nhà trên địa bàn tỉnh Khánh Hòa tại </w:t>
      </w:r>
      <w:r>
        <w:rPr>
          <w:b/>
          <w:spacing w:val="2"/>
          <w:sz w:val="28"/>
          <w:szCs w:val="28"/>
          <w:lang w:val="vi-VN" w:eastAsia="vi-VN"/>
        </w:rPr>
        <w:t xml:space="preserve">thời điểm kê khai lệ phí trước bạ</w:t>
      </w:r>
      <w:r>
        <w:rPr>
          <w:b/>
          <w:spacing w:val="-4"/>
          <w:sz w:val="28"/>
          <w:szCs w:val="28"/>
          <w:lang w:val="nl-NL"/>
        </w:rPr>
      </w:r>
    </w:p>
    <w:p>
      <w:pPr>
        <w:pBdr/>
        <w:tabs>
          <w:tab w:val="left" w:leader="none" w:pos="709"/>
        </w:tabs>
        <w:spacing w:after="120" w:before="120" w:line="242" w:lineRule="auto"/>
        <w:ind w:firstLine="720"/>
        <w:jc w:val="both"/>
        <w:rPr>
          <w:spacing w:val="2"/>
          <w:sz w:val="28"/>
          <w:szCs w:val="28"/>
        </w:rPr>
      </w:pPr>
      <w:r>
        <w:rPr>
          <w:sz w:val="28"/>
          <w:szCs w:val="28"/>
          <w:lang w:val="vi-VN"/>
        </w:rPr>
        <w:t xml:space="preserve">Giá trị nhà tính lệ phí trước bạ được xác định như sau:</w:t>
      </w:r>
      <w:r>
        <w:rPr>
          <w:spacing w:val="2"/>
          <w:sz w:val="28"/>
          <w:szCs w:val="28"/>
        </w:rPr>
      </w:r>
    </w:p>
    <w:tbl>
      <w:tblPr>
        <w:tblStyle w:val="TableGrid"/>
        <w:tblW w:w="9356" w:type="dxa"/>
        <w:tblCellMar>
          <w:left w:w="0" w:type="dxa"/>
          <w:right w:w="0" w:type="dxa"/>
        </w:tblCellMar>
        <w:tblBorders/>
        <w:tblLook w:val="0000" w:firstRow="0" w:lastRow="0" w:firstColumn="0" w:lastColumn="0" w:noHBand="0" w:noVBand="0"/>
      </w:tblPr>
      <w:tblGrid>
        <w:gridCol w:w="1521"/>
        <w:gridCol w:w="374"/>
        <w:gridCol w:w="2022"/>
        <w:gridCol w:w="356"/>
        <w:gridCol w:w="2013"/>
        <w:gridCol w:w="356"/>
        <w:gridCol w:w="2714"/>
      </w:tblGrid>
      <w:tr>
        <w:trPr/>
        <w:tc>
          <w:tcPr>
            <w:tcBorders/>
            <w:tcMar>
              <w:left w:w="108" w:type="dxa"/>
              <w:top w:w="0" w:type="dxa"/>
              <w:right w:w="108" w:type="dxa"/>
              <w:bottom w:w="0" w:type="dxa"/>
            </w:tcMar>
            <w:tcW w:w="1521" w:type="dxa"/>
            <w:vAlign w:val="center"/>
            <w:textDirection w:val="lrTb"/>
            <w:noWrap w:val="false"/>
          </w:tcPr>
          <w:p>
            <w:pPr>
              <w:pBdr/>
              <w:spacing w:after="120" w:before="120" w:line="242" w:lineRule="auto"/>
              <w:ind/>
              <w:jc w:val="center"/>
              <w:rPr>
                <w:sz w:val="28"/>
                <w:szCs w:val="28"/>
              </w:rPr>
            </w:pPr>
            <w:r>
              <w:rPr>
                <w:sz w:val="28"/>
                <w:szCs w:val="28"/>
                <w:lang w:val="vi-VN"/>
              </w:rPr>
              <w:t xml:space="preserve">Giá trị nhà tính lệ phí trước bạ (đồng)</w:t>
            </w:r>
            <w:r>
              <w:rPr>
                <w:sz w:val="28"/>
                <w:szCs w:val="28"/>
              </w:rPr>
            </w:r>
          </w:p>
        </w:tc>
        <w:tc>
          <w:tcPr>
            <w:tcBorders/>
            <w:tcMar>
              <w:left w:w="108" w:type="dxa"/>
              <w:top w:w="0" w:type="dxa"/>
              <w:right w:w="108" w:type="dxa"/>
              <w:bottom w:w="0" w:type="dxa"/>
            </w:tcMar>
            <w:tcW w:w="374" w:type="dxa"/>
            <w:vAlign w:val="center"/>
            <w:textDirection w:val="lrTb"/>
            <w:noWrap w:val="false"/>
          </w:tcPr>
          <w:p>
            <w:pPr>
              <w:pBdr/>
              <w:spacing w:after="120" w:before="120" w:line="242" w:lineRule="auto"/>
              <w:ind/>
              <w:jc w:val="center"/>
              <w:rPr>
                <w:sz w:val="28"/>
                <w:szCs w:val="28"/>
              </w:rPr>
            </w:pPr>
            <w:r>
              <w:rPr>
                <w:sz w:val="28"/>
                <w:szCs w:val="28"/>
              </w:rPr>
              <w:t xml:space="preserve">=</w:t>
            </w:r>
            <w:r>
              <w:rPr>
                <w:sz w:val="28"/>
                <w:szCs w:val="28"/>
              </w:rPr>
            </w:r>
          </w:p>
        </w:tc>
        <w:tc>
          <w:tcPr>
            <w:tcBorders/>
            <w:tcMar>
              <w:left w:w="108" w:type="dxa"/>
              <w:top w:w="0" w:type="dxa"/>
              <w:right w:w="108" w:type="dxa"/>
              <w:bottom w:w="0" w:type="dxa"/>
            </w:tcMar>
            <w:tcW w:w="2022" w:type="dxa"/>
            <w:vAlign w:val="center"/>
            <w:textDirection w:val="lrTb"/>
            <w:noWrap w:val="false"/>
          </w:tcPr>
          <w:p>
            <w:pPr>
              <w:pBdr/>
              <w:spacing w:after="120" w:before="120" w:line="242" w:lineRule="auto"/>
              <w:ind/>
              <w:jc w:val="center"/>
              <w:rPr>
                <w:sz w:val="28"/>
                <w:szCs w:val="28"/>
              </w:rPr>
            </w:pPr>
            <w:r>
              <w:rPr>
                <w:sz w:val="28"/>
                <w:szCs w:val="28"/>
              </w:rPr>
              <w:t xml:space="preserve">Diện tích nhà chịu lệ phí trước bạ      (m</w:t>
            </w:r>
            <w:r>
              <w:rPr>
                <w:sz w:val="28"/>
                <w:szCs w:val="28"/>
                <w:vertAlign w:val="superscript"/>
              </w:rPr>
              <w:t xml:space="preserve">2</w:t>
            </w:r>
            <w:r>
              <w:rPr>
                <w:sz w:val="28"/>
                <w:szCs w:val="28"/>
              </w:rPr>
              <w:t xml:space="preserve">) </w:t>
            </w:r>
            <w:r>
              <w:rPr>
                <w:sz w:val="28"/>
                <w:szCs w:val="28"/>
              </w:rPr>
            </w:r>
          </w:p>
        </w:tc>
        <w:tc>
          <w:tcPr>
            <w:tcBorders/>
            <w:tcMar>
              <w:left w:w="108" w:type="dxa"/>
              <w:top w:w="0" w:type="dxa"/>
              <w:right w:w="108" w:type="dxa"/>
              <w:bottom w:w="0" w:type="dxa"/>
            </w:tcMar>
            <w:tcW w:w="356" w:type="dxa"/>
            <w:vAlign w:val="center"/>
            <w:textDirection w:val="lrTb"/>
            <w:noWrap w:val="false"/>
          </w:tcPr>
          <w:p>
            <w:pPr>
              <w:pBdr/>
              <w:spacing w:after="120" w:before="120" w:line="242" w:lineRule="auto"/>
              <w:ind/>
              <w:jc w:val="center"/>
              <w:rPr>
                <w:sz w:val="28"/>
                <w:szCs w:val="28"/>
              </w:rPr>
            </w:pPr>
            <w:r>
              <w:rPr>
                <w:sz w:val="28"/>
                <w:szCs w:val="28"/>
              </w:rPr>
              <w:t xml:space="preserve">x </w:t>
            </w:r>
            <w:r>
              <w:rPr>
                <w:sz w:val="28"/>
                <w:szCs w:val="28"/>
              </w:rPr>
            </w:r>
          </w:p>
        </w:tc>
        <w:tc>
          <w:tcPr>
            <w:tcBorders/>
            <w:tcMar>
              <w:left w:w="108" w:type="dxa"/>
              <w:top w:w="0" w:type="dxa"/>
              <w:right w:w="108" w:type="dxa"/>
              <w:bottom w:w="0" w:type="dxa"/>
            </w:tcMar>
            <w:tcW w:w="2013" w:type="dxa"/>
            <w:vAlign w:val="center"/>
            <w:textDirection w:val="lrTb"/>
            <w:noWrap w:val="false"/>
          </w:tcPr>
          <w:p>
            <w:pPr>
              <w:pBdr/>
              <w:spacing w:after="120" w:before="120" w:line="242" w:lineRule="auto"/>
              <w:ind/>
              <w:jc w:val="center"/>
              <w:rPr>
                <w:sz w:val="28"/>
                <w:szCs w:val="28"/>
              </w:rPr>
            </w:pPr>
            <w:r>
              <w:rPr>
                <w:sz w:val="28"/>
                <w:szCs w:val="28"/>
              </w:rPr>
              <w:t xml:space="preserve">Giá 01 (một) mét vuông nhà (đồng/m</w:t>
            </w:r>
            <w:r>
              <w:rPr>
                <w:sz w:val="28"/>
                <w:szCs w:val="28"/>
                <w:vertAlign w:val="superscript"/>
              </w:rPr>
              <w:t xml:space="preserve">2</w:t>
            </w:r>
            <w:r>
              <w:rPr>
                <w:sz w:val="28"/>
                <w:szCs w:val="28"/>
              </w:rPr>
              <w:t xml:space="preserve">) </w:t>
            </w:r>
            <w:r>
              <w:rPr>
                <w:sz w:val="28"/>
                <w:szCs w:val="28"/>
              </w:rPr>
            </w:r>
          </w:p>
        </w:tc>
        <w:tc>
          <w:tcPr>
            <w:tcBorders/>
            <w:tcMar>
              <w:left w:w="108" w:type="dxa"/>
              <w:top w:w="0" w:type="dxa"/>
              <w:right w:w="108" w:type="dxa"/>
              <w:bottom w:w="0" w:type="dxa"/>
            </w:tcMar>
            <w:tcW w:w="356" w:type="dxa"/>
            <w:vAlign w:val="center"/>
            <w:textDirection w:val="lrTb"/>
            <w:noWrap w:val="false"/>
          </w:tcPr>
          <w:p>
            <w:pPr>
              <w:pBdr/>
              <w:spacing w:after="120" w:before="120" w:line="242" w:lineRule="auto"/>
              <w:ind/>
              <w:jc w:val="center"/>
              <w:rPr>
                <w:sz w:val="28"/>
                <w:szCs w:val="28"/>
              </w:rPr>
            </w:pPr>
            <w:r>
              <w:rPr>
                <w:sz w:val="28"/>
                <w:szCs w:val="28"/>
              </w:rPr>
              <w:t xml:space="preserve">x </w:t>
            </w:r>
            <w:r>
              <w:rPr>
                <w:sz w:val="28"/>
                <w:szCs w:val="28"/>
              </w:rPr>
            </w:r>
          </w:p>
        </w:tc>
        <w:tc>
          <w:tcPr>
            <w:tcBorders/>
            <w:tcMar>
              <w:left w:w="108" w:type="dxa"/>
              <w:top w:w="0" w:type="dxa"/>
              <w:right w:w="108" w:type="dxa"/>
              <w:bottom w:w="0" w:type="dxa"/>
            </w:tcMar>
            <w:tcW w:w="2714" w:type="dxa"/>
            <w:vAlign w:val="center"/>
            <w:textDirection w:val="lrTb"/>
            <w:noWrap w:val="false"/>
          </w:tcPr>
          <w:p>
            <w:pPr>
              <w:pBdr/>
              <w:spacing w:after="120" w:before="120" w:line="242" w:lineRule="auto"/>
              <w:ind/>
              <w:jc w:val="center"/>
              <w:rPr>
                <w:sz w:val="28"/>
                <w:szCs w:val="28"/>
              </w:rPr>
            </w:pPr>
            <w:r>
              <w:rPr>
                <w:sz w:val="28"/>
                <w:szCs w:val="28"/>
              </w:rPr>
              <w:t xml:space="preserve">Tỷ lệ (%) chất lượng còn lại của nhà chịu lệ phí trước bạ </w:t>
            </w:r>
            <w:r>
              <w:rPr>
                <w:sz w:val="28"/>
                <w:szCs w:val="28"/>
              </w:rPr>
            </w:r>
          </w:p>
        </w:tc>
      </w:tr>
    </w:tbl>
    <w:p>
      <w:pPr>
        <w:pBdr/>
        <w:tabs>
          <w:tab w:val="left" w:leader="none" w:pos="709"/>
        </w:tabs>
        <w:spacing w:after="120" w:before="120" w:line="242" w:lineRule="auto"/>
        <w:ind w:firstLine="720"/>
        <w:jc w:val="both"/>
        <w:rPr>
          <w:sz w:val="28"/>
          <w:szCs w:val="28"/>
        </w:rPr>
      </w:pPr>
      <w:r>
        <w:rPr>
          <w:sz w:val="28"/>
          <w:szCs w:val="28"/>
        </w:rPr>
        <w:t xml:space="preserve">Trong đó:</w:t>
      </w:r>
      <w:r>
        <w:rPr>
          <w:sz w:val="28"/>
          <w:szCs w:val="28"/>
        </w:rPr>
      </w:r>
    </w:p>
    <w:p>
      <w:pPr>
        <w:pBdr/>
        <w:tabs>
          <w:tab w:val="left" w:leader="none" w:pos="709"/>
        </w:tabs>
        <w:spacing w:after="120" w:before="120" w:line="242" w:lineRule="auto"/>
        <w:ind w:firstLine="720"/>
        <w:jc w:val="both"/>
        <w:rPr>
          <w:spacing w:val="-6"/>
          <w:sz w:val="28"/>
          <w:szCs w:val="28"/>
        </w:rPr>
      </w:pPr>
      <w:r>
        <w:rPr>
          <w:sz w:val="28"/>
          <w:szCs w:val="28"/>
        </w:rPr>
        <w:t xml:space="preserve">1. </w:t>
      </w:r>
      <w:r>
        <w:rPr>
          <w:sz w:val="28"/>
          <w:szCs w:val="28"/>
          <w:lang w:val="vi-VN"/>
        </w:rPr>
        <w:t xml:space="preserve">Diện tích nhà chịu lệ phí trước bạ là toàn bộ diện tích sàn nhà (kể cả diện tích công trình phụ kèm theo) thuộc quyền sở hữu hợp pháp của tổ chức, hộ gia đình, cá nhân</w:t>
      </w:r>
      <w:r>
        <w:rPr>
          <w:spacing w:val="-6"/>
          <w:sz w:val="28"/>
          <w:szCs w:val="28"/>
        </w:rPr>
        <w:t xml:space="preserve">.</w:t>
      </w:r>
      <w:r>
        <w:rPr>
          <w:spacing w:val="-6"/>
          <w:sz w:val="28"/>
          <w:szCs w:val="28"/>
        </w:rPr>
      </w:r>
    </w:p>
    <w:p>
      <w:pPr>
        <w:pBdr/>
        <w:spacing w:after="120" w:before="120" w:line="242" w:lineRule="auto"/>
        <w:ind w:firstLine="720"/>
        <w:jc w:val="both"/>
        <w:rPr>
          <w:sz w:val="28"/>
          <w:szCs w:val="28"/>
        </w:rPr>
      </w:pPr>
      <w:r>
        <w:rPr>
          <w:sz w:val="28"/>
          <w:szCs w:val="28"/>
        </w:rPr>
        <w:t xml:space="preserve">2. </w:t>
      </w:r>
      <w:r>
        <w:rPr>
          <w:sz w:val="28"/>
          <w:szCs w:val="28"/>
          <w:lang w:val="vi-VN"/>
        </w:rPr>
        <w:t xml:space="preserve">Giá 01 (một) mét vuông nhà là giá thực tế xây dựng “mới” một (01) mét vuông sàn nhà của từng cấp nhà, hạng nhà do Ủy ban nhân dân tỉnh ban hành theo quy định của pháp luật về xây dựng tại thời điểm kê khai lệ phí trước bạ</w:t>
      </w:r>
      <w:r>
        <w:rPr>
          <w:sz w:val="28"/>
          <w:szCs w:val="28"/>
        </w:rPr>
        <w:t xml:space="preserve">.</w:t>
      </w:r>
      <w:r>
        <w:rPr>
          <w:sz w:val="28"/>
          <w:szCs w:val="28"/>
        </w:rPr>
      </w:r>
    </w:p>
    <w:p>
      <w:pPr>
        <w:pBdr/>
        <w:spacing w:after="120" w:before="120" w:line="242" w:lineRule="auto"/>
        <w:ind w:firstLine="720"/>
        <w:jc w:val="both"/>
        <w:rPr>
          <w:spacing w:val="-2"/>
          <w:sz w:val="28"/>
          <w:szCs w:val="28"/>
        </w:rPr>
      </w:pPr>
      <w:r>
        <w:rPr>
          <w:sz w:val="28"/>
          <w:szCs w:val="28"/>
          <w:lang w:val="vi-VN"/>
        </w:rPr>
        <w:t xml:space="preserve">Giá 01 (một) mét vuông nhà</w:t>
      </w:r>
      <w:r>
        <w:rPr>
          <w:sz w:val="28"/>
          <w:szCs w:val="28"/>
        </w:rPr>
        <w:t xml:space="preserve"> được x</w:t>
      </w:r>
      <w:r>
        <w:rPr>
          <w:sz w:val="28"/>
          <w:szCs w:val="28"/>
        </w:rPr>
        <w:t xml:space="preserve">ác định theo Quyết định số 21/2026/QĐ-UBND ngày 10 tháng 3 năm 2026 của </w:t>
      </w:r>
      <w:r>
        <w:rPr>
          <w:sz w:val="28"/>
          <w:szCs w:val="28"/>
          <w:lang w:val="vi-VN"/>
        </w:rPr>
        <w:t xml:space="preserve">Ủy ban nhân dân tỉnh</w:t>
      </w:r>
      <w:r>
        <w:rPr>
          <w:sz w:val="28"/>
          <w:szCs w:val="28"/>
        </w:rPr>
        <w:t xml:space="preserve"> Khánh </w:t>
      </w:r>
      <w:r>
        <w:rPr>
          <w:spacing w:val="-4"/>
          <w:sz w:val="28"/>
          <w:szCs w:val="28"/>
        </w:rPr>
        <w:t xml:space="preserve">Hòa quy định Bảng giá xây dựng 01 (một) </w:t>
      </w:r>
      <w:r>
        <w:rPr>
          <w:spacing w:val="-4"/>
          <w:sz w:val="28"/>
          <w:szCs w:val="28"/>
          <w:lang w:val="vi-VN"/>
        </w:rPr>
        <w:t xml:space="preserve">mét vuông nhà</w:t>
      </w:r>
      <w:r>
        <w:rPr>
          <w:spacing w:val="-4"/>
          <w:sz w:val="28"/>
          <w:szCs w:val="28"/>
        </w:rPr>
        <w:t xml:space="preserve"> để tính lệ phí trước bạ đối với nhà trên địa bàn tỉnh Khánh Hòa. Trường hợp Quyết định số 21/2026/QĐ-UB</w:t>
      </w:r>
      <w:r>
        <w:rPr>
          <w:spacing w:val="-4"/>
          <w:sz w:val="28"/>
          <w:szCs w:val="28"/>
        </w:rPr>
        <w:t xml:space="preserve">ND</w:t>
      </w:r>
      <w:r>
        <w:rPr>
          <w:sz w:val="28"/>
          <w:szCs w:val="28"/>
        </w:rPr>
        <w:t xml:space="preserve"> ngày 10 tháng 3 năm 2026 của </w:t>
      </w:r>
      <w:r>
        <w:rPr>
          <w:sz w:val="28"/>
          <w:szCs w:val="28"/>
          <w:lang w:val="vi-VN"/>
        </w:rPr>
        <w:t xml:space="preserve">Ủy ban nhân dân tỉnh</w:t>
      </w:r>
      <w:r>
        <w:rPr>
          <w:sz w:val="28"/>
          <w:szCs w:val="28"/>
        </w:rPr>
        <w:t xml:space="preserve"> Khánh Hòa được sửa đổi, </w:t>
      </w:r>
      <w:r>
        <w:rPr>
          <w:spacing w:val="-2"/>
          <w:sz w:val="28"/>
          <w:szCs w:val="28"/>
        </w:rPr>
        <w:t xml:space="preserve">bổ sung hoặc thay thế bằng văn bản mới thì giá 01 (một) </w:t>
      </w:r>
      <w:r>
        <w:rPr>
          <w:spacing w:val="-2"/>
          <w:sz w:val="28"/>
          <w:szCs w:val="28"/>
          <w:lang w:val="vi-VN"/>
        </w:rPr>
        <w:t xml:space="preserve">mét vuông nhà</w:t>
      </w:r>
      <w:r>
        <w:rPr>
          <w:spacing w:val="-2"/>
          <w:sz w:val="28"/>
          <w:szCs w:val="28"/>
        </w:rPr>
        <w:t xml:space="preserve"> để tính lệ phí trước bạ đối với nhà được áp dụng theo văn bản sửa đổi, bổ sung hoặc thay thế.</w:t>
      </w:r>
      <w:r>
        <w:rPr>
          <w:spacing w:val="-2"/>
          <w:sz w:val="28"/>
          <w:szCs w:val="28"/>
        </w:rPr>
      </w:r>
    </w:p>
    <w:p>
      <w:pPr>
        <w:pBdr/>
        <w:tabs>
          <w:tab w:val="left" w:leader="none" w:pos="709"/>
        </w:tabs>
        <w:spacing w:after="120" w:before="120" w:line="242" w:lineRule="auto"/>
        <w:ind w:firstLine="720"/>
        <w:jc w:val="both"/>
        <w:rPr>
          <w:sz w:val="28"/>
          <w:szCs w:val="28"/>
        </w:rPr>
      </w:pPr>
      <w:r>
        <w:rPr>
          <w:sz w:val="28"/>
          <w:szCs w:val="28"/>
        </w:rPr>
        <w:t xml:space="preserve">3. Tỷ lệ (%) ch</w:t>
      </w:r>
      <w:r>
        <w:rPr>
          <w:sz w:val="28"/>
          <w:szCs w:val="28"/>
        </w:rPr>
        <w:t xml:space="preserve">ất lượng còn lại của nhà chịu lệ phí trước bạ được quy định như sau:</w:t>
      </w:r>
      <w:r>
        <w:rPr>
          <w:sz w:val="28"/>
          <w:szCs w:val="28"/>
        </w:rPr>
        <w:tab/>
      </w:r>
      <w:r>
        <w:rPr>
          <w:sz w:val="28"/>
          <w:szCs w:val="28"/>
        </w:rPr>
      </w:r>
    </w:p>
    <w:tbl>
      <w:tblPr>
        <w:tblStyle w:val="TableGrid"/>
        <w:tblW w:w="5000" w:type="pct"/>
        <w:tblCellMar>
          <w:left w:w="0" w:type="dxa"/>
          <w:right w:w="0" w:type="dxa"/>
        </w:tblCellMar>
        <w:tblBorders/>
        <w:tblLook w:val="04A0" w:firstRow="1" w:lastRow="0" w:firstColumn="1" w:lastColumn="0" w:noHBand="0" w:noVBand="1"/>
      </w:tblPr>
      <w:tblGrid>
        <w:gridCol w:w="2016"/>
        <w:gridCol w:w="577"/>
        <w:gridCol w:w="1816"/>
        <w:gridCol w:w="417"/>
        <w:gridCol w:w="1657"/>
        <w:gridCol w:w="325"/>
        <w:gridCol w:w="2264"/>
      </w:tblGrid>
      <w:tr>
        <w:trPr/>
        <w:tc>
          <w:tcPr>
            <w:tcBorders/>
            <w:tcMar>
              <w:left w:w="0" w:type="dxa"/>
              <w:top w:w="0" w:type="dxa"/>
              <w:right w:w="0" w:type="dxa"/>
              <w:bottom w:w="0" w:type="dxa"/>
            </w:tcMar>
            <w:tcW w:w="1111" w:type="pct"/>
            <w:vAlign w:val="center"/>
            <w:textDirection w:val="lrTb"/>
            <w:noWrap w:val="false"/>
          </w:tcPr>
          <w:p>
            <w:pPr>
              <w:pBdr/>
              <w:spacing w:after="120" w:before="120" w:line="242" w:lineRule="auto"/>
              <w:ind/>
              <w:jc w:val="center"/>
              <w:rPr>
                <w:sz w:val="28"/>
                <w:szCs w:val="28"/>
              </w:rPr>
            </w:pPr>
            <w:r>
              <w:rPr>
                <w:sz w:val="28"/>
                <w:szCs w:val="28"/>
              </w:rPr>
              <w:t xml:space="preserve">Tỷ lệ phần trăm (%) chất lượng còn lại của nhà</w:t>
            </w:r>
            <w:r>
              <w:rPr>
                <w:sz w:val="28"/>
                <w:szCs w:val="28"/>
              </w:rPr>
            </w:r>
          </w:p>
        </w:tc>
        <w:tc>
          <w:tcPr>
            <w:tcBorders/>
            <w:tcMar>
              <w:left w:w="0" w:type="dxa"/>
              <w:top w:w="0" w:type="dxa"/>
              <w:right w:w="0" w:type="dxa"/>
              <w:bottom w:w="0" w:type="dxa"/>
            </w:tcMar>
            <w:tcW w:w="318" w:type="pct"/>
            <w:vAlign w:val="center"/>
            <w:textDirection w:val="lrTb"/>
            <w:noWrap w:val="false"/>
          </w:tcPr>
          <w:p>
            <w:pPr>
              <w:pBdr/>
              <w:spacing w:after="120" w:before="120" w:line="242" w:lineRule="auto"/>
              <w:ind/>
              <w:jc w:val="center"/>
              <w:rPr>
                <w:sz w:val="28"/>
                <w:szCs w:val="28"/>
              </w:rPr>
            </w:pPr>
            <w:r>
              <w:rPr>
                <w:sz w:val="28"/>
                <w:szCs w:val="28"/>
              </w:rPr>
              <w:t xml:space="preserve">=</w:t>
            </w:r>
            <w:r>
              <w:rPr>
                <w:sz w:val="28"/>
                <w:szCs w:val="28"/>
              </w:rPr>
            </w:r>
          </w:p>
        </w:tc>
        <w:tc>
          <w:tcPr>
            <w:tcBorders/>
            <w:tcMar>
              <w:left w:w="0" w:type="dxa"/>
              <w:top w:w="0" w:type="dxa"/>
              <w:right w:w="0" w:type="dxa"/>
              <w:bottom w:w="0" w:type="dxa"/>
            </w:tcMar>
            <w:tcW w:w="1001" w:type="pct"/>
            <w:vAlign w:val="center"/>
            <w:textDirection w:val="lrTb"/>
            <w:noWrap w:val="false"/>
          </w:tcPr>
          <w:p>
            <w:pPr>
              <w:pBdr/>
              <w:spacing w:after="120" w:before="120" w:line="242" w:lineRule="auto"/>
              <w:ind/>
              <w:jc w:val="center"/>
              <w:rPr>
                <w:sz w:val="28"/>
                <w:szCs w:val="28"/>
              </w:rPr>
            </w:pPr>
            <w:r>
              <w:rPr>
                <w:sz w:val="28"/>
                <w:szCs w:val="28"/>
              </w:rPr>
              <w:t xml:space="preserve">Chất lượng nhà mới xây dựng (100%)</w:t>
            </w:r>
            <w:r>
              <w:rPr>
                <w:sz w:val="28"/>
                <w:szCs w:val="28"/>
              </w:rPr>
            </w:r>
          </w:p>
        </w:tc>
        <w:tc>
          <w:tcPr>
            <w:tcBorders/>
            <w:tcMar>
              <w:left w:w="0" w:type="dxa"/>
              <w:top w:w="0" w:type="dxa"/>
              <w:right w:w="0" w:type="dxa"/>
              <w:bottom w:w="0" w:type="dxa"/>
            </w:tcMar>
            <w:tcW w:w="230" w:type="pct"/>
            <w:vAlign w:val="center"/>
            <w:textDirection w:val="lrTb"/>
            <w:noWrap w:val="false"/>
          </w:tcPr>
          <w:p>
            <w:pPr>
              <w:pBdr/>
              <w:spacing w:after="120" w:before="120" w:line="242" w:lineRule="auto"/>
              <w:ind/>
              <w:jc w:val="center"/>
              <w:rPr>
                <w:sz w:val="28"/>
                <w:szCs w:val="28"/>
              </w:rPr>
            </w:pPr>
            <w:r>
              <w:rPr>
                <w:sz w:val="28"/>
                <w:szCs w:val="28"/>
              </w:rPr>
              <w:t xml:space="preserve">-</w:t>
            </w:r>
            <w:r>
              <w:rPr>
                <w:sz w:val="28"/>
                <w:szCs w:val="28"/>
              </w:rPr>
            </w:r>
          </w:p>
        </w:tc>
        <w:tc>
          <w:tcPr>
            <w:tcBorders/>
            <w:tcMar>
              <w:left w:w="0" w:type="dxa"/>
              <w:top w:w="0" w:type="dxa"/>
              <w:right w:w="0" w:type="dxa"/>
              <w:bottom w:w="0" w:type="dxa"/>
            </w:tcMar>
            <w:tcW w:w="913" w:type="pct"/>
            <w:vAlign w:val="center"/>
            <w:textDirection w:val="lrTb"/>
            <w:noWrap w:val="false"/>
          </w:tcPr>
          <w:p>
            <w:pPr>
              <w:pBdr/>
              <w:spacing w:after="120" w:before="120" w:line="242" w:lineRule="auto"/>
              <w:ind/>
              <w:jc w:val="center"/>
              <w:rPr>
                <w:sz w:val="28"/>
                <w:szCs w:val="28"/>
              </w:rPr>
            </w:pPr>
            <w:r>
              <w:rPr>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0800" behindDoc="0" locked="0" layoutInCell="1" allowOverlap="1">
                      <wp:simplePos x="0" y="0"/>
                      <wp:positionH relativeFrom="column">
                        <wp:posOffset>38735</wp:posOffset>
                      </wp:positionH>
                      <wp:positionV relativeFrom="paragraph">
                        <wp:posOffset>10160</wp:posOffset>
                      </wp:positionV>
                      <wp:extent cx="45085" cy="571500"/>
                      <wp:effectExtent l="0" t="0" r="12065" b="19050"/>
                      <wp:wrapNone/>
                      <wp:docPr id="4" name="Left Bracket 5"/>
                      <wp:cNvGraphicFramePr/>
                      <a:graphic xmlns:a="http://schemas.openxmlformats.org/drawingml/2006/main">
                        <a:graphicData uri="http://schemas.microsoft.com/office/word/2010/wordprocessingShape">
                          <wps:wsp>
                            <wps:cNvPr id="0" name=""/>
                            <wps:cNvSpPr/>
                            <wps:spPr bwMode="auto">
                              <a:xfrm>
                                <a:off x="0" y="0"/>
                                <a:ext cx="45085" cy="571500"/>
                              </a:xfrm>
                              <a:prstGeom prst="leftBracket">
                                <a:avLst>
                                  <a:gd name="adj" fmla="val 8333"/>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3" o:spid="_x0000_s3" o:spt="85" type="#_x0000_t85" style="position:absolute;z-index:251660800;o:allowoverlap:true;o:allowincell:true;mso-position-horizontal-relative:text;margin-left:3.05pt;mso-position-horizontal:absolute;mso-position-vertical-relative:text;margin-top:0.80pt;mso-position-vertical:absolute;width:3.55pt;height:45.00pt;mso-wrap-distance-left:9.00pt;mso-wrap-distance-top:0.00pt;mso-wrap-distance-right:9.00pt;mso-wrap-distance-bottom:0.00pt;visibility:visible;" filled="f" strokecolor="#000000" strokeweight="0.50pt">
                      <v:stroke dashstyle="solid"/>
                    </v:shape>
                  </w:pict>
                </mc:Fallback>
              </mc:AlternateContent>
            </w:r>
            <w:r>
              <w:rPr>
                <w:sz w:val="28"/>
                <w:szCs w:val="28"/>
              </w:rPr>
              <w:t xml:space="preserve">Thời gian đã sử dụng</w:t>
            </w:r>
            <w:r>
              <w:rPr>
                <w:sz w:val="28"/>
                <w:szCs w:val="28"/>
              </w:rPr>
            </w:r>
          </w:p>
        </w:tc>
        <w:tc>
          <w:tcPr>
            <w:tcBorders/>
            <w:tcMar>
              <w:left w:w="0" w:type="dxa"/>
              <w:top w:w="0" w:type="dxa"/>
              <w:right w:w="0" w:type="dxa"/>
              <w:bottom w:w="0" w:type="dxa"/>
            </w:tcMar>
            <w:tcW w:w="179" w:type="pct"/>
            <w:vAlign w:val="center"/>
            <w:textDirection w:val="lrTb"/>
            <w:noWrap w:val="false"/>
          </w:tcPr>
          <w:p>
            <w:pPr>
              <w:pBdr/>
              <w:spacing w:after="120" w:before="120" w:line="242" w:lineRule="auto"/>
              <w:ind/>
              <w:jc w:val="center"/>
              <w:rPr>
                <w:sz w:val="28"/>
                <w:szCs w:val="28"/>
              </w:rPr>
            </w:pPr>
            <w:r>
              <w:rPr>
                <w:sz w:val="28"/>
                <w:szCs w:val="28"/>
              </w:rPr>
              <w:t xml:space="preserve">x</w:t>
            </w:r>
            <w:r>
              <w:rPr>
                <w:sz w:val="28"/>
                <w:szCs w:val="28"/>
              </w:rPr>
            </w:r>
          </w:p>
        </w:tc>
        <w:tc>
          <w:tcPr>
            <w:tcBorders/>
            <w:tcMar>
              <w:left w:w="0" w:type="dxa"/>
              <w:top w:w="0" w:type="dxa"/>
              <w:right w:w="0" w:type="dxa"/>
              <w:bottom w:w="0" w:type="dxa"/>
            </w:tcMar>
            <w:tcW w:w="1249" w:type="pct"/>
            <w:vAlign w:val="center"/>
            <w:textDirection w:val="lrTb"/>
            <w:noWrap w:val="false"/>
          </w:tcPr>
          <w:p>
            <w:pPr>
              <w:pBdr/>
              <w:spacing w:after="120" w:before="120" w:line="242" w:lineRule="auto"/>
              <w:ind/>
              <w:jc w:val="center"/>
              <w:rPr>
                <w:sz w:val="28"/>
                <w:szCs w:val="28"/>
              </w:rPr>
            </w:pPr>
            <w:r>
              <w:rPr>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5920" behindDoc="0" locked="0" layoutInCell="1" allowOverlap="1">
                      <wp:simplePos x="0" y="0"/>
                      <wp:positionH relativeFrom="column">
                        <wp:posOffset>1344295</wp:posOffset>
                      </wp:positionH>
                      <wp:positionV relativeFrom="paragraph">
                        <wp:posOffset>34290</wp:posOffset>
                      </wp:positionV>
                      <wp:extent cx="45085" cy="571500"/>
                      <wp:effectExtent l="0" t="0" r="12065" b="19050"/>
                      <wp:wrapNone/>
                      <wp:docPr id="5" name="Right Bracket 6"/>
                      <wp:cNvGraphicFramePr/>
                      <a:graphic xmlns:a="http://schemas.openxmlformats.org/drawingml/2006/main">
                        <a:graphicData uri="http://schemas.microsoft.com/office/word/2010/wordprocessingShape">
                          <wps:wsp>
                            <wps:cNvPr id="0" name=""/>
                            <wps:cNvSpPr/>
                            <wps:spPr bwMode="auto">
                              <a:xfrm>
                                <a:off x="0" y="0"/>
                                <a:ext cx="45085" cy="571500"/>
                              </a:xfrm>
                              <a:prstGeom prst="rightBracket">
                                <a:avLst>
                                  <a:gd name="adj" fmla="val 8333"/>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4" o:spid="_x0000_s4" o:spt="86" type="#_x0000_t86" style="position:absolute;z-index:251665920;o:allowoverlap:true;o:allowincell:true;mso-position-horizontal-relative:text;margin-left:105.85pt;mso-position-horizontal:absolute;mso-position-vertical-relative:text;margin-top:2.70pt;mso-position-vertical:absolute;width:3.55pt;height:45.00pt;mso-wrap-distance-left:9.00pt;mso-wrap-distance-top:0.00pt;mso-wrap-distance-right:9.00pt;mso-wrap-distance-bottom:0.00pt;visibility:visible;" filled="f" strokecolor="#000000" strokeweight="0.50pt">
                      <v:stroke dashstyle="solid"/>
                    </v:shape>
                  </w:pict>
                </mc:Fallback>
              </mc:AlternateContent>
            </w:r>
            <w:r>
              <w:rPr>
                <w:sz w:val="28"/>
                <w:szCs w:val="28"/>
              </w:rPr>
              <w:t xml:space="preserve">Tỷ lệ hao mòn </w:t>
            </w:r>
            <w:r>
              <w:rPr>
                <w:sz w:val="28"/>
                <w:szCs w:val="28"/>
              </w:rPr>
            </w:r>
          </w:p>
          <w:p>
            <w:pPr>
              <w:pBdr/>
              <w:spacing w:after="120" w:before="120" w:line="242" w:lineRule="auto"/>
              <w:ind/>
              <w:jc w:val="center"/>
              <w:rPr>
                <w:sz w:val="28"/>
                <w:szCs w:val="28"/>
              </w:rPr>
            </w:pPr>
            <w:r>
              <w:rPr>
                <w:sz w:val="28"/>
                <w:szCs w:val="28"/>
              </w:rPr>
              <w:t xml:space="preserve">(% năm/12 tháng) </w:t>
            </w:r>
            <w:r>
              <w:rPr>
                <w:sz w:val="28"/>
                <w:szCs w:val="28"/>
              </w:rPr>
            </w:r>
          </w:p>
        </w:tc>
      </w:tr>
    </w:tbl>
    <w:p>
      <w:pPr>
        <w:pBdr/>
        <w:spacing w:after="120" w:before="120" w:line="242" w:lineRule="auto"/>
        <w:ind w:firstLine="720"/>
        <w:rPr>
          <w:sz w:val="28"/>
          <w:szCs w:val="28"/>
        </w:rPr>
      </w:pPr>
      <w:r>
        <w:rPr>
          <w:sz w:val="28"/>
          <w:szCs w:val="28"/>
        </w:rPr>
        <w:t xml:space="preserve">Trong đó:</w:t>
      </w:r>
      <w:r>
        <w:rPr>
          <w:sz w:val="28"/>
          <w:szCs w:val="28"/>
        </w:rPr>
      </w:r>
    </w:p>
    <w:p>
      <w:pPr>
        <w:pBdr/>
        <w:spacing w:after="120" w:before="120" w:line="242" w:lineRule="auto"/>
        <w:ind w:firstLine="720"/>
        <w:rPr>
          <w:sz w:val="28"/>
          <w:szCs w:val="28"/>
        </w:rPr>
      </w:pPr>
      <w:r>
        <w:rPr>
          <w:sz w:val="28"/>
          <w:szCs w:val="28"/>
        </w:rPr>
        <w:t xml:space="preserve">a) Chất lượng nhà mới xây dựng: Chất lượng 100%.</w:t>
      </w:r>
      <w:r>
        <w:rPr>
          <w:sz w:val="28"/>
          <w:szCs w:val="28"/>
        </w:rPr>
      </w:r>
    </w:p>
    <w:p>
      <w:pPr>
        <w:pBdr/>
        <w:spacing w:after="120" w:before="120" w:line="242" w:lineRule="auto"/>
        <w:ind w:firstLine="720"/>
        <w:jc w:val="both"/>
        <w:rPr>
          <w:sz w:val="28"/>
          <w:szCs w:val="28"/>
        </w:rPr>
      </w:pPr>
      <w:r>
        <w:rPr>
          <w:sz w:val="28"/>
          <w:szCs w:val="28"/>
        </w:rPr>
        <w:t xml:space="preserve">b) Thời gian đã sử dụng để tính tỷ lệ (%) chất lượng còn lại của nhà (tính thời gian bằng tháng trong năm): Được tính từ thời điểm xây dựng hoàn thành bàn giao nhà (hoặc đưa vào sử dụng) đến thời điểm kê kha</w:t>
      </w:r>
      <w:r>
        <w:rPr>
          <w:sz w:val="28"/>
          <w:szCs w:val="28"/>
        </w:rPr>
        <w:t xml:space="preserve">i, nộp lệ phí trước bạ đối với nhà; trường hợp hồ sơ không đủ căn cứ xác định được thời điểm xây dựng nhà thì tính theo thời điểm mua nhà hoặc thời điểm nhận nhà, thời điểm cấp Giấy chứng nhận quyền sở hữu nhà.</w:t>
      </w:r>
      <w:r>
        <w:rPr>
          <w:sz w:val="28"/>
          <w:szCs w:val="28"/>
        </w:rPr>
      </w:r>
    </w:p>
    <w:p>
      <w:pPr>
        <w:pBdr/>
        <w:spacing w:after="120" w:before="120" w:line="242" w:lineRule="auto"/>
        <w:ind w:firstLine="720"/>
        <w:jc w:val="both"/>
        <w:rPr>
          <w:sz w:val="28"/>
          <w:szCs w:val="28"/>
        </w:rPr>
      </w:pPr>
      <w:r>
        <w:rPr>
          <w:sz w:val="28"/>
          <w:szCs w:val="28"/>
        </w:rPr>
        <w:t xml:space="preserve">Trường hợp thời gian bắt đầu hoặc thời gian k</w:t>
      </w:r>
      <w:r>
        <w:rPr>
          <w:sz w:val="28"/>
          <w:szCs w:val="28"/>
        </w:rPr>
        <w:t xml:space="preserve">ết thúc không đủ số ngày của một (01) tháng thì xác định như sau:</w:t>
      </w:r>
      <w:r>
        <w:rPr>
          <w:sz w:val="28"/>
          <w:szCs w:val="28"/>
        </w:rPr>
      </w:r>
    </w:p>
    <w:p>
      <w:pPr>
        <w:pBdr/>
        <w:spacing w:after="120" w:before="120" w:line="242" w:lineRule="auto"/>
        <w:ind w:firstLine="720"/>
        <w:jc w:val="both"/>
        <w:rPr>
          <w:spacing w:val="-4"/>
          <w:sz w:val="28"/>
          <w:szCs w:val="28"/>
        </w:rPr>
      </w:pPr>
      <w:r>
        <w:rPr>
          <w:sz w:val="28"/>
          <w:szCs w:val="28"/>
        </w:rPr>
        <w:t xml:space="preserve">Trường hợp</w:t>
      </w:r>
      <w:r>
        <w:rPr>
          <w:spacing w:val="-4"/>
          <w:sz w:val="28"/>
          <w:szCs w:val="28"/>
        </w:rPr>
        <w:t xml:space="preserve"> số ngày từ 15 ngày trở lên đến đủ tháng (≥15 ngày) thì tính tròn 01 tháng;</w:t>
      </w:r>
      <w:r>
        <w:rPr>
          <w:spacing w:val="-4"/>
          <w:sz w:val="28"/>
          <w:szCs w:val="28"/>
        </w:rPr>
      </w:r>
    </w:p>
    <w:p>
      <w:pPr>
        <w:pBdr/>
        <w:spacing w:after="120" w:before="120" w:line="242" w:lineRule="auto"/>
        <w:ind w:firstLine="720"/>
        <w:jc w:val="both"/>
        <w:rPr>
          <w:sz w:val="28"/>
          <w:szCs w:val="28"/>
        </w:rPr>
      </w:pPr>
      <w:r>
        <w:rPr>
          <w:sz w:val="28"/>
          <w:szCs w:val="28"/>
        </w:rPr>
        <w:t xml:space="preserve">Trường hợp số ngày dưới 15 ngày (&lt;15 ngày) thì không tính. </w:t>
      </w:r>
      <w:r>
        <w:rPr>
          <w:sz w:val="28"/>
          <w:szCs w:val="28"/>
        </w:rPr>
      </w:r>
    </w:p>
    <w:p>
      <w:pPr>
        <w:pBdr/>
        <w:spacing w:after="120" w:before="120" w:line="242" w:lineRule="auto"/>
        <w:ind w:firstLine="720"/>
        <w:rPr>
          <w:sz w:val="28"/>
          <w:szCs w:val="28"/>
        </w:rPr>
      </w:pPr>
      <w:r>
        <w:rPr>
          <w:sz w:val="28"/>
          <w:szCs w:val="28"/>
        </w:rPr>
        <w:t xml:space="preserve">c) Tỷ lệ hao mòn (%/năm) của từng loại nhà:</w:t>
      </w:r>
      <w:r>
        <w:rPr>
          <w:sz w:val="28"/>
          <w:szCs w:val="28"/>
        </w:rPr>
      </w:r>
    </w:p>
    <w:tbl>
      <w:tblPr>
        <w:tblStyle w:val="TableGrid"/>
        <w:tblInd w:w="704" w:type="dxa"/>
        <w:tblW w:w="4460" w:type="pct"/>
        <w:tblCellMar>
          <w:left w:w="0" w:type="dxa"/>
          <w:right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49"/>
        <w:gridCol w:w="4169"/>
        <w:gridCol w:w="3083"/>
      </w:tblGrid>
      <w:tr>
        <w:trPr/>
        <w:tc>
          <w:tcPr>
            <w:tcBorders/>
            <w:tcMar>
              <w:left w:w="0" w:type="dxa"/>
              <w:top w:w="0" w:type="dxa"/>
              <w:right w:w="0" w:type="dxa"/>
              <w:bottom w:w="0" w:type="dxa"/>
            </w:tcMar>
            <w:tcW w:w="524" w:type="pct"/>
            <w:vAlign w:val="center"/>
            <w:textDirection w:val="lrTb"/>
            <w:noWrap w:val="false"/>
          </w:tcPr>
          <w:p>
            <w:pPr>
              <w:pBdr/>
              <w:spacing w:after="120" w:before="120"/>
              <w:ind/>
              <w:jc w:val="center"/>
              <w:rPr>
                <w:sz w:val="28"/>
                <w:szCs w:val="28"/>
              </w:rPr>
            </w:pPr>
            <w:r>
              <w:rPr>
                <w:b/>
                <w:bCs/>
                <w:sz w:val="28"/>
                <w:szCs w:val="28"/>
              </w:rPr>
              <w:t xml:space="preserve">STT</w:t>
            </w:r>
            <w:r>
              <w:rPr>
                <w:sz w:val="28"/>
                <w:szCs w:val="28"/>
              </w:rPr>
            </w:r>
          </w:p>
        </w:tc>
        <w:tc>
          <w:tcPr>
            <w:tcBorders/>
            <w:tcMar>
              <w:left w:w="0" w:type="dxa"/>
              <w:top w:w="0" w:type="dxa"/>
              <w:right w:w="0" w:type="dxa"/>
              <w:bottom w:w="0" w:type="dxa"/>
            </w:tcMar>
            <w:tcW w:w="2573" w:type="pct"/>
            <w:vAlign w:val="center"/>
            <w:textDirection w:val="lrTb"/>
            <w:noWrap w:val="false"/>
          </w:tcPr>
          <w:p>
            <w:pPr>
              <w:pBdr/>
              <w:spacing w:after="120" w:before="120"/>
              <w:ind/>
              <w:jc w:val="center"/>
              <w:rPr>
                <w:sz w:val="28"/>
                <w:szCs w:val="28"/>
              </w:rPr>
            </w:pPr>
            <w:r>
              <w:rPr>
                <w:b/>
                <w:bCs/>
                <w:sz w:val="28"/>
                <w:szCs w:val="28"/>
              </w:rPr>
              <w:t xml:space="preserve">Loại nhà</w:t>
            </w:r>
            <w:r>
              <w:rPr>
                <w:sz w:val="28"/>
                <w:szCs w:val="28"/>
              </w:rPr>
            </w:r>
          </w:p>
        </w:tc>
        <w:tc>
          <w:tcPr>
            <w:tcBorders/>
            <w:tcMar>
              <w:left w:w="0" w:type="dxa"/>
              <w:top w:w="0" w:type="dxa"/>
              <w:right w:w="0" w:type="dxa"/>
              <w:bottom w:w="0" w:type="dxa"/>
            </w:tcMar>
            <w:tcW w:w="1903" w:type="pct"/>
            <w:vAlign w:val="center"/>
            <w:textDirection w:val="lrTb"/>
            <w:noWrap w:val="false"/>
          </w:tcPr>
          <w:p>
            <w:pPr>
              <w:pBdr/>
              <w:spacing w:after="120" w:before="120"/>
              <w:ind/>
              <w:jc w:val="center"/>
              <w:rPr>
                <w:sz w:val="28"/>
                <w:szCs w:val="28"/>
              </w:rPr>
            </w:pPr>
            <w:r>
              <w:rPr>
                <w:b/>
                <w:bCs/>
                <w:sz w:val="28"/>
                <w:szCs w:val="28"/>
              </w:rPr>
              <w:t xml:space="preserve">Tỷ lệ hao mòn (%/năm)</w:t>
            </w:r>
            <w:r>
              <w:rPr>
                <w:sz w:val="28"/>
                <w:szCs w:val="28"/>
              </w:rPr>
            </w:r>
          </w:p>
        </w:tc>
      </w:tr>
      <w:tr>
        <w:trPr/>
        <w:tc>
          <w:tcPr>
            <w:tcBorders/>
            <w:tcMar>
              <w:left w:w="0" w:type="dxa"/>
              <w:top w:w="0" w:type="dxa"/>
              <w:right w:w="0" w:type="dxa"/>
              <w:bottom w:w="0" w:type="dxa"/>
            </w:tcMar>
            <w:tcW w:w="524" w:type="pct"/>
            <w:vAlign w:val="center"/>
            <w:textDirection w:val="lrTb"/>
            <w:noWrap w:val="false"/>
          </w:tcPr>
          <w:p>
            <w:pPr>
              <w:pBdr/>
              <w:spacing w:after="120" w:before="120"/>
              <w:ind/>
              <w:jc w:val="center"/>
              <w:rPr>
                <w:sz w:val="28"/>
                <w:szCs w:val="28"/>
              </w:rPr>
            </w:pPr>
            <w:r>
              <w:rPr>
                <w:sz w:val="28"/>
                <w:szCs w:val="28"/>
              </w:rPr>
              <w:t xml:space="preserve">1</w:t>
            </w:r>
            <w:r>
              <w:rPr>
                <w:sz w:val="28"/>
                <w:szCs w:val="28"/>
              </w:rPr>
            </w:r>
          </w:p>
        </w:tc>
        <w:tc>
          <w:tcPr>
            <w:tcBorders/>
            <w:tcMar>
              <w:left w:w="0" w:type="dxa"/>
              <w:top w:w="0" w:type="dxa"/>
              <w:right w:w="0" w:type="dxa"/>
              <w:bottom w:w="0" w:type="dxa"/>
            </w:tcMar>
            <w:tcW w:w="2573" w:type="pct"/>
            <w:vAlign w:val="center"/>
            <w:textDirection w:val="lrTb"/>
            <w:noWrap w:val="false"/>
          </w:tcPr>
          <w:p>
            <w:pPr>
              <w:pBdr/>
              <w:spacing w:after="120" w:before="120"/>
              <w:ind w:left="141"/>
              <w:rPr>
                <w:sz w:val="28"/>
                <w:szCs w:val="28"/>
              </w:rPr>
            </w:pPr>
            <w:r>
              <w:rPr>
                <w:sz w:val="28"/>
                <w:szCs w:val="28"/>
              </w:rPr>
              <w:t xml:space="preserve">Nhà biệt thự</w:t>
            </w:r>
            <w:r>
              <w:rPr>
                <w:sz w:val="28"/>
                <w:szCs w:val="28"/>
              </w:rPr>
            </w:r>
          </w:p>
        </w:tc>
        <w:tc>
          <w:tcPr>
            <w:tcBorders/>
            <w:tcMar>
              <w:left w:w="0" w:type="dxa"/>
              <w:top w:w="0" w:type="dxa"/>
              <w:right w:w="0" w:type="dxa"/>
              <w:bottom w:w="0" w:type="dxa"/>
            </w:tcMar>
            <w:tcW w:w="1903" w:type="pct"/>
            <w:vAlign w:val="center"/>
            <w:textDirection w:val="lrTb"/>
            <w:noWrap w:val="false"/>
          </w:tcPr>
          <w:p>
            <w:pPr>
              <w:pBdr/>
              <w:spacing w:after="120" w:before="120"/>
              <w:ind/>
              <w:jc w:val="center"/>
              <w:rPr>
                <w:sz w:val="28"/>
                <w:szCs w:val="28"/>
              </w:rPr>
            </w:pPr>
            <w:r>
              <w:rPr>
                <w:sz w:val="28"/>
                <w:szCs w:val="28"/>
              </w:rPr>
              <w:t xml:space="preserve">1,25</w:t>
            </w:r>
            <w:r>
              <w:rPr>
                <w:sz w:val="28"/>
                <w:szCs w:val="28"/>
              </w:rPr>
            </w:r>
          </w:p>
        </w:tc>
      </w:tr>
      <w:tr>
        <w:trPr/>
        <w:tc>
          <w:tcPr>
            <w:tcBorders/>
            <w:tcMar>
              <w:left w:w="0" w:type="dxa"/>
              <w:top w:w="0" w:type="dxa"/>
              <w:right w:w="0" w:type="dxa"/>
              <w:bottom w:w="0" w:type="dxa"/>
            </w:tcMar>
            <w:tcW w:w="524" w:type="pct"/>
            <w:vAlign w:val="center"/>
            <w:textDirection w:val="lrTb"/>
            <w:noWrap w:val="false"/>
          </w:tcPr>
          <w:p>
            <w:pPr>
              <w:pBdr/>
              <w:spacing w:after="120" w:before="120"/>
              <w:ind/>
              <w:jc w:val="center"/>
              <w:rPr>
                <w:sz w:val="28"/>
                <w:szCs w:val="28"/>
              </w:rPr>
            </w:pPr>
            <w:r>
              <w:rPr>
                <w:sz w:val="28"/>
                <w:szCs w:val="28"/>
              </w:rPr>
              <w:t xml:space="preserve">2</w:t>
            </w:r>
            <w:r>
              <w:rPr>
                <w:sz w:val="28"/>
                <w:szCs w:val="28"/>
              </w:rPr>
            </w:r>
          </w:p>
        </w:tc>
        <w:tc>
          <w:tcPr>
            <w:tcBorders/>
            <w:tcMar>
              <w:left w:w="0" w:type="dxa"/>
              <w:top w:w="0" w:type="dxa"/>
              <w:right w:w="0" w:type="dxa"/>
              <w:bottom w:w="0" w:type="dxa"/>
            </w:tcMar>
            <w:tcW w:w="2573" w:type="pct"/>
            <w:vAlign w:val="center"/>
            <w:textDirection w:val="lrTb"/>
            <w:noWrap w:val="false"/>
          </w:tcPr>
          <w:p>
            <w:pPr>
              <w:pBdr/>
              <w:spacing w:after="120" w:before="120"/>
              <w:ind w:left="141"/>
              <w:rPr>
                <w:sz w:val="28"/>
                <w:szCs w:val="28"/>
              </w:rPr>
            </w:pPr>
            <w:r>
              <w:rPr>
                <w:sz w:val="28"/>
                <w:szCs w:val="28"/>
              </w:rPr>
              <w:t xml:space="preserve">Nhà cấp I</w:t>
            </w:r>
            <w:r>
              <w:rPr>
                <w:sz w:val="28"/>
                <w:szCs w:val="28"/>
              </w:rPr>
            </w:r>
          </w:p>
        </w:tc>
        <w:tc>
          <w:tcPr>
            <w:tcBorders/>
            <w:tcMar>
              <w:left w:w="0" w:type="dxa"/>
              <w:top w:w="0" w:type="dxa"/>
              <w:right w:w="0" w:type="dxa"/>
              <w:bottom w:w="0" w:type="dxa"/>
            </w:tcMar>
            <w:tcW w:w="1903" w:type="pct"/>
            <w:vAlign w:val="center"/>
            <w:textDirection w:val="lrTb"/>
            <w:noWrap w:val="false"/>
          </w:tcPr>
          <w:p>
            <w:pPr>
              <w:pBdr/>
              <w:spacing w:after="120" w:before="120"/>
              <w:ind/>
              <w:jc w:val="center"/>
              <w:rPr>
                <w:sz w:val="28"/>
                <w:szCs w:val="28"/>
              </w:rPr>
            </w:pPr>
            <w:r>
              <w:rPr>
                <w:sz w:val="28"/>
                <w:szCs w:val="28"/>
              </w:rPr>
              <w:t xml:space="preserve">1,25</w:t>
            </w:r>
            <w:r>
              <w:rPr>
                <w:sz w:val="28"/>
                <w:szCs w:val="28"/>
              </w:rPr>
            </w:r>
          </w:p>
        </w:tc>
      </w:tr>
      <w:tr>
        <w:trPr/>
        <w:tc>
          <w:tcPr>
            <w:tcBorders/>
            <w:tcMar>
              <w:left w:w="0" w:type="dxa"/>
              <w:top w:w="0" w:type="dxa"/>
              <w:right w:w="0" w:type="dxa"/>
              <w:bottom w:w="0" w:type="dxa"/>
            </w:tcMar>
            <w:tcW w:w="524" w:type="pct"/>
            <w:vAlign w:val="center"/>
            <w:textDirection w:val="lrTb"/>
            <w:noWrap w:val="false"/>
          </w:tcPr>
          <w:p>
            <w:pPr>
              <w:pBdr/>
              <w:spacing w:after="120" w:before="120"/>
              <w:ind/>
              <w:jc w:val="center"/>
              <w:rPr>
                <w:sz w:val="28"/>
                <w:szCs w:val="28"/>
              </w:rPr>
            </w:pPr>
            <w:r>
              <w:rPr>
                <w:sz w:val="28"/>
                <w:szCs w:val="28"/>
              </w:rPr>
              <w:t xml:space="preserve">3</w:t>
            </w:r>
            <w:r>
              <w:rPr>
                <w:sz w:val="28"/>
                <w:szCs w:val="28"/>
              </w:rPr>
            </w:r>
          </w:p>
        </w:tc>
        <w:tc>
          <w:tcPr>
            <w:tcBorders/>
            <w:tcMar>
              <w:left w:w="0" w:type="dxa"/>
              <w:top w:w="0" w:type="dxa"/>
              <w:right w:w="0" w:type="dxa"/>
              <w:bottom w:w="0" w:type="dxa"/>
            </w:tcMar>
            <w:tcW w:w="2573" w:type="pct"/>
            <w:vAlign w:val="center"/>
            <w:textDirection w:val="lrTb"/>
            <w:noWrap w:val="false"/>
          </w:tcPr>
          <w:p>
            <w:pPr>
              <w:pBdr/>
              <w:spacing w:after="120" w:before="120"/>
              <w:ind w:left="141"/>
              <w:rPr>
                <w:sz w:val="28"/>
                <w:szCs w:val="28"/>
              </w:rPr>
            </w:pPr>
            <w:r>
              <w:rPr>
                <w:sz w:val="28"/>
                <w:szCs w:val="28"/>
              </w:rPr>
              <w:t xml:space="preserve">Nhà cấp II</w:t>
            </w:r>
            <w:r>
              <w:rPr>
                <w:sz w:val="28"/>
                <w:szCs w:val="28"/>
              </w:rPr>
            </w:r>
          </w:p>
        </w:tc>
        <w:tc>
          <w:tcPr>
            <w:tcBorders/>
            <w:tcMar>
              <w:left w:w="0" w:type="dxa"/>
              <w:top w:w="0" w:type="dxa"/>
              <w:right w:w="0" w:type="dxa"/>
              <w:bottom w:w="0" w:type="dxa"/>
            </w:tcMar>
            <w:tcW w:w="1903" w:type="pct"/>
            <w:vAlign w:val="center"/>
            <w:textDirection w:val="lrTb"/>
            <w:noWrap w:val="false"/>
          </w:tcPr>
          <w:p>
            <w:pPr>
              <w:pBdr/>
              <w:spacing w:after="120" w:before="120"/>
              <w:ind/>
              <w:jc w:val="center"/>
              <w:rPr>
                <w:sz w:val="28"/>
                <w:szCs w:val="28"/>
              </w:rPr>
            </w:pPr>
            <w:r>
              <w:rPr>
                <w:sz w:val="28"/>
                <w:szCs w:val="28"/>
              </w:rPr>
              <w:t xml:space="preserve">2,0</w:t>
            </w:r>
            <w:r>
              <w:rPr>
                <w:sz w:val="28"/>
                <w:szCs w:val="28"/>
              </w:rPr>
            </w:r>
          </w:p>
        </w:tc>
      </w:tr>
      <w:tr>
        <w:trPr/>
        <w:tc>
          <w:tcPr>
            <w:tcBorders/>
            <w:tcMar>
              <w:left w:w="0" w:type="dxa"/>
              <w:top w:w="0" w:type="dxa"/>
              <w:right w:w="0" w:type="dxa"/>
              <w:bottom w:w="0" w:type="dxa"/>
            </w:tcMar>
            <w:tcW w:w="524" w:type="pct"/>
            <w:vAlign w:val="center"/>
            <w:textDirection w:val="lrTb"/>
            <w:noWrap w:val="false"/>
          </w:tcPr>
          <w:p>
            <w:pPr>
              <w:pBdr/>
              <w:spacing w:after="120" w:before="120"/>
              <w:ind/>
              <w:jc w:val="center"/>
              <w:rPr>
                <w:sz w:val="28"/>
                <w:szCs w:val="28"/>
              </w:rPr>
            </w:pPr>
            <w:r>
              <w:rPr>
                <w:sz w:val="28"/>
                <w:szCs w:val="28"/>
              </w:rPr>
              <w:t xml:space="preserve">4</w:t>
            </w:r>
            <w:r>
              <w:rPr>
                <w:sz w:val="28"/>
                <w:szCs w:val="28"/>
              </w:rPr>
            </w:r>
          </w:p>
        </w:tc>
        <w:tc>
          <w:tcPr>
            <w:tcBorders/>
            <w:tcMar>
              <w:left w:w="0" w:type="dxa"/>
              <w:top w:w="0" w:type="dxa"/>
              <w:right w:w="0" w:type="dxa"/>
              <w:bottom w:w="0" w:type="dxa"/>
            </w:tcMar>
            <w:tcW w:w="2573" w:type="pct"/>
            <w:vAlign w:val="center"/>
            <w:textDirection w:val="lrTb"/>
            <w:noWrap w:val="false"/>
          </w:tcPr>
          <w:p>
            <w:pPr>
              <w:pBdr/>
              <w:spacing w:after="120" w:before="120"/>
              <w:ind w:left="141"/>
              <w:rPr>
                <w:sz w:val="28"/>
                <w:szCs w:val="28"/>
              </w:rPr>
            </w:pPr>
            <w:r>
              <w:rPr>
                <w:sz w:val="28"/>
                <w:szCs w:val="28"/>
              </w:rPr>
              <w:t xml:space="preserve">Nhà cấp III</w:t>
            </w:r>
            <w:r>
              <w:rPr>
                <w:sz w:val="28"/>
                <w:szCs w:val="28"/>
              </w:rPr>
            </w:r>
          </w:p>
        </w:tc>
        <w:tc>
          <w:tcPr>
            <w:tcBorders/>
            <w:tcMar>
              <w:left w:w="0" w:type="dxa"/>
              <w:top w:w="0" w:type="dxa"/>
              <w:right w:w="0" w:type="dxa"/>
              <w:bottom w:w="0" w:type="dxa"/>
            </w:tcMar>
            <w:tcW w:w="1903" w:type="pct"/>
            <w:vAlign w:val="center"/>
            <w:textDirection w:val="lrTb"/>
            <w:noWrap w:val="false"/>
          </w:tcPr>
          <w:p>
            <w:pPr>
              <w:pBdr/>
              <w:spacing w:after="120" w:before="120"/>
              <w:ind/>
              <w:jc w:val="center"/>
              <w:rPr>
                <w:sz w:val="28"/>
                <w:szCs w:val="28"/>
              </w:rPr>
            </w:pPr>
            <w:r>
              <w:rPr>
                <w:sz w:val="28"/>
                <w:szCs w:val="28"/>
              </w:rPr>
              <w:t xml:space="preserve">4,0</w:t>
            </w:r>
            <w:r>
              <w:rPr>
                <w:sz w:val="28"/>
                <w:szCs w:val="28"/>
              </w:rPr>
            </w:r>
          </w:p>
        </w:tc>
      </w:tr>
      <w:tr>
        <w:trPr/>
        <w:tc>
          <w:tcPr>
            <w:tcBorders/>
            <w:tcMar>
              <w:left w:w="0" w:type="dxa"/>
              <w:top w:w="0" w:type="dxa"/>
              <w:right w:w="0" w:type="dxa"/>
              <w:bottom w:w="0" w:type="dxa"/>
            </w:tcMar>
            <w:tcW w:w="524" w:type="pct"/>
            <w:vAlign w:val="center"/>
            <w:textDirection w:val="lrTb"/>
            <w:noWrap w:val="false"/>
          </w:tcPr>
          <w:p>
            <w:pPr>
              <w:pBdr/>
              <w:spacing w:after="120" w:before="120"/>
              <w:ind/>
              <w:jc w:val="center"/>
              <w:rPr>
                <w:sz w:val="28"/>
                <w:szCs w:val="28"/>
              </w:rPr>
            </w:pPr>
            <w:r>
              <w:rPr>
                <w:sz w:val="28"/>
                <w:szCs w:val="28"/>
              </w:rPr>
              <w:t xml:space="preserve">5</w:t>
            </w:r>
            <w:r>
              <w:rPr>
                <w:sz w:val="28"/>
                <w:szCs w:val="28"/>
              </w:rPr>
            </w:r>
          </w:p>
        </w:tc>
        <w:tc>
          <w:tcPr>
            <w:tcBorders/>
            <w:tcMar>
              <w:left w:w="0" w:type="dxa"/>
              <w:top w:w="0" w:type="dxa"/>
              <w:right w:w="0" w:type="dxa"/>
              <w:bottom w:w="0" w:type="dxa"/>
            </w:tcMar>
            <w:tcW w:w="2573" w:type="pct"/>
            <w:vAlign w:val="center"/>
            <w:textDirection w:val="lrTb"/>
            <w:noWrap w:val="false"/>
          </w:tcPr>
          <w:p>
            <w:pPr>
              <w:pBdr/>
              <w:spacing w:after="120" w:before="120"/>
              <w:ind w:left="141"/>
              <w:rPr>
                <w:sz w:val="28"/>
                <w:szCs w:val="28"/>
              </w:rPr>
            </w:pPr>
            <w:r>
              <w:rPr>
                <w:sz w:val="28"/>
                <w:szCs w:val="28"/>
              </w:rPr>
              <w:t xml:space="preserve">Nhà cấp IV</w:t>
            </w:r>
            <w:r>
              <w:rPr>
                <w:sz w:val="28"/>
                <w:szCs w:val="28"/>
              </w:rPr>
            </w:r>
          </w:p>
        </w:tc>
        <w:tc>
          <w:tcPr>
            <w:tcBorders/>
            <w:tcMar>
              <w:left w:w="0" w:type="dxa"/>
              <w:top w:w="0" w:type="dxa"/>
              <w:right w:w="0" w:type="dxa"/>
              <w:bottom w:w="0" w:type="dxa"/>
            </w:tcMar>
            <w:tcW w:w="1903" w:type="pct"/>
            <w:vAlign w:val="center"/>
            <w:textDirection w:val="lrTb"/>
            <w:noWrap w:val="false"/>
          </w:tcPr>
          <w:p>
            <w:pPr>
              <w:pBdr/>
              <w:spacing w:after="120" w:before="120"/>
              <w:ind/>
              <w:jc w:val="center"/>
              <w:rPr>
                <w:sz w:val="28"/>
                <w:szCs w:val="28"/>
              </w:rPr>
            </w:pPr>
            <w:r>
              <w:rPr>
                <w:sz w:val="28"/>
                <w:szCs w:val="28"/>
              </w:rPr>
              <w:t xml:space="preserve">6,67</w:t>
            </w:r>
            <w:r>
              <w:rPr>
                <w:sz w:val="28"/>
                <w:szCs w:val="28"/>
              </w:rPr>
            </w:r>
          </w:p>
        </w:tc>
      </w:tr>
    </w:tbl>
    <w:p>
      <w:pPr>
        <w:pBdr/>
        <w:tabs>
          <w:tab w:val="left" w:leader="none" w:pos="709"/>
        </w:tabs>
        <w:spacing w:before="120"/>
        <w:ind w:firstLine="720"/>
        <w:jc w:val="both"/>
        <w:rPr>
          <w:spacing w:val="2"/>
          <w:sz w:val="28"/>
          <w:szCs w:val="28"/>
        </w:rPr>
      </w:pPr>
      <w:r>
        <w:rPr>
          <w:spacing w:val="2"/>
          <w:sz w:val="28"/>
          <w:szCs w:val="28"/>
        </w:rPr>
        <w:t xml:space="preserve">Việc xác định cấp nhà quy định tại điểm này thực hiện theo các quy định về phân cấp công trình theo quy định của pháp luật về xây dựng tại thời điểm </w:t>
      </w:r>
      <w:r>
        <w:rPr>
          <w:sz w:val="28"/>
          <w:szCs w:val="28"/>
        </w:rPr>
        <w:t xml:space="preserve">kê khai lệ phí trước bạ</w:t>
      </w:r>
      <w:r>
        <w:rPr>
          <w:spacing w:val="2"/>
          <w:sz w:val="28"/>
          <w:szCs w:val="28"/>
        </w:rPr>
        <w:t xml:space="preserve">.</w:t>
      </w:r>
      <w:r>
        <w:rPr>
          <w:spacing w:val="2"/>
          <w:sz w:val="28"/>
          <w:szCs w:val="28"/>
        </w:rPr>
      </w:r>
    </w:p>
    <w:p>
      <w:pPr>
        <w:widowControl w:val="false"/>
        <w:pBdr/>
        <w:spacing w:before="120"/>
        <w:ind w:firstLine="709"/>
        <w:jc w:val="both"/>
        <w:rPr>
          <w:spacing w:val="2"/>
          <w:sz w:val="28"/>
          <w:szCs w:val="28"/>
          <w:lang w:val="nb-NO"/>
        </w:rPr>
      </w:pPr>
      <w:r>
        <w:rPr>
          <w:b/>
          <w:bCs/>
          <w:sz w:val="28"/>
          <w:szCs w:val="28"/>
        </w:rPr>
        <w:t xml:space="preserve">Điều 3. </w:t>
      </w:r>
      <w:r>
        <w:rPr>
          <w:b/>
          <w:sz w:val="28"/>
          <w:szCs w:val="28"/>
        </w:rPr>
        <w:t xml:space="preserve">Trách nhiệm của các sở, ngành</w:t>
      </w:r>
      <w:r>
        <w:rPr>
          <w:spacing w:val="2"/>
          <w:sz w:val="28"/>
          <w:szCs w:val="28"/>
          <w:lang w:val="nb-NO"/>
        </w:rPr>
      </w:r>
    </w:p>
    <w:p>
      <w:pPr>
        <w:pBdr/>
        <w:spacing w:before="120"/>
        <w:ind w:firstLine="720"/>
        <w:jc w:val="both"/>
        <w:rPr>
          <w:sz w:val="28"/>
          <w:szCs w:val="28"/>
        </w:rPr>
      </w:pPr>
      <w:r>
        <w:rPr>
          <w:sz w:val="28"/>
          <w:szCs w:val="28"/>
        </w:rPr>
        <w:t xml:space="preserve">1. Sở Xây dựng</w:t>
      </w:r>
      <w:r>
        <w:rPr>
          <w:sz w:val="28"/>
          <w:szCs w:val="28"/>
        </w:rPr>
      </w:r>
    </w:p>
    <w:p>
      <w:pPr>
        <w:pBdr/>
        <w:spacing w:before="120"/>
        <w:ind w:firstLine="720"/>
        <w:jc w:val="both"/>
        <w:rPr>
          <w:sz w:val="28"/>
          <w:szCs w:val="28"/>
        </w:rPr>
      </w:pPr>
      <w:r>
        <w:rPr>
          <w:sz w:val="28"/>
          <w:szCs w:val="28"/>
          <w:lang w:eastAsia="vi-VN"/>
        </w:rPr>
        <w:t xml:space="preserve">a) </w:t>
      </w:r>
      <w:r>
        <w:rPr>
          <w:sz w:val="28"/>
          <w:szCs w:val="28"/>
        </w:rPr>
        <w:t xml:space="preserve">Chủ trì, phối hợp với Sở Tài chính, các cơ quan, đơn vị liên quan</w:t>
      </w:r>
      <w:r>
        <w:rPr>
          <w:sz w:val="28"/>
          <w:szCs w:val="28"/>
          <w:lang w:val="nl-NL"/>
        </w:rPr>
        <w:t xml:space="preserve"> và </w:t>
      </w:r>
      <w:r>
        <w:rPr>
          <w:spacing w:val="2"/>
          <w:sz w:val="28"/>
          <w:szCs w:val="28"/>
          <w:lang w:val="nb-NO"/>
        </w:rPr>
        <w:t xml:space="preserve">Ủy ban nhân dân các xã, phường, đặc khu </w:t>
      </w:r>
      <w:r>
        <w:rPr>
          <w:sz w:val="28"/>
          <w:szCs w:val="28"/>
          <w:lang w:val="nl-NL"/>
        </w:rPr>
        <w:t xml:space="preserve">t</w:t>
      </w:r>
      <w:r>
        <w:rPr>
          <w:sz w:val="28"/>
          <w:szCs w:val="28"/>
        </w:rPr>
        <w:t xml:space="preserve">ham mưu Ủy ban nhân dân tỉnh ban hành, điều chỉnh, bổ sung Bảng giá xây dựng mới 01 (một) mét vuông nhà theo quy định của pháp luật về xây dựng.</w:t>
      </w:r>
      <w:r>
        <w:rPr>
          <w:sz w:val="28"/>
          <w:szCs w:val="28"/>
        </w:rPr>
      </w:r>
    </w:p>
    <w:p>
      <w:pPr>
        <w:pBdr/>
        <w:spacing w:after="120" w:before="120" w:line="242" w:lineRule="auto"/>
        <w:ind w:firstLine="720"/>
        <w:jc w:val="both"/>
        <w:rPr>
          <w:sz w:val="28"/>
          <w:szCs w:val="28"/>
          <w:shd w:val="clear" w:color="auto" w:fill="ffffff"/>
        </w:rPr>
      </w:pPr>
      <w:r>
        <w:rPr>
          <w:sz w:val="28"/>
          <w:szCs w:val="28"/>
          <w:shd w:val="clear" w:color="auto" w:fill="ffffff"/>
        </w:rPr>
        <w:t xml:space="preserve">b</w:t>
      </w:r>
      <w:r>
        <w:rPr>
          <w:sz w:val="28"/>
          <w:szCs w:val="28"/>
          <w:shd w:val="clear" w:color="auto" w:fill="ffffff"/>
        </w:rPr>
        <w:t xml:space="preserve">) T</w:t>
      </w:r>
      <w:r>
        <w:rPr>
          <w:sz w:val="28"/>
          <w:szCs w:val="28"/>
          <w:shd w:val="clear" w:color="auto" w:fill="ffffff"/>
          <w:lang w:val="vi-VN"/>
        </w:rPr>
        <w:t xml:space="preserve">rong quá trình thực hiện</w:t>
      </w:r>
      <w:r>
        <w:rPr>
          <w:sz w:val="28"/>
          <w:szCs w:val="28"/>
          <w:shd w:val="clear" w:color="auto" w:fill="ffffff"/>
        </w:rPr>
        <w:t xml:space="preserve">, nếu</w:t>
      </w:r>
      <w:r>
        <w:rPr>
          <w:sz w:val="28"/>
          <w:szCs w:val="28"/>
          <w:shd w:val="clear" w:color="auto" w:fill="ffffff"/>
          <w:lang w:val="vi-VN"/>
        </w:rPr>
        <w:t xml:space="preserve"> có phát sinh vướng mắc</w:t>
      </w:r>
      <w:r>
        <w:rPr>
          <w:sz w:val="28"/>
          <w:szCs w:val="28"/>
          <w:shd w:val="clear" w:color="auto" w:fill="ffffff"/>
        </w:rPr>
        <w:t xml:space="preserve"> </w:t>
      </w:r>
      <w:r>
        <w:rPr>
          <w:sz w:val="28"/>
          <w:szCs w:val="28"/>
        </w:rPr>
        <w:t xml:space="preserve">về cấp nhà, Sở Xây dựng</w:t>
      </w:r>
      <w:r>
        <w:rPr>
          <w:sz w:val="28"/>
          <w:szCs w:val="28"/>
          <w:shd w:val="clear" w:color="auto" w:fill="ffffff"/>
        </w:rPr>
        <w:t xml:space="preserve"> chịu trách nhiệm hướng dẫn, giải quyết theo thẩm quyền hoặc báo cáo Ủy ban nhân dân tỉnh xem xét, giải quyết</w:t>
      </w:r>
      <w:r>
        <w:rPr>
          <w:sz w:val="28"/>
          <w:szCs w:val="28"/>
        </w:rPr>
        <w:t xml:space="preserve">.</w:t>
      </w:r>
      <w:r>
        <w:rPr>
          <w:sz w:val="28"/>
          <w:szCs w:val="28"/>
          <w:shd w:val="clear" w:color="auto" w:fill="ffffff"/>
          <w:lang w:val="vi-VN"/>
        </w:rPr>
        <w:t xml:space="preserve"> </w:t>
      </w:r>
      <w:r>
        <w:rPr>
          <w:sz w:val="28"/>
          <w:szCs w:val="28"/>
          <w:shd w:val="clear" w:color="auto" w:fill="ffffff"/>
        </w:rPr>
      </w:r>
    </w:p>
    <w:p>
      <w:pPr>
        <w:pBdr/>
        <w:spacing w:after="120" w:before="120" w:line="242" w:lineRule="auto"/>
        <w:ind w:firstLine="720"/>
        <w:jc w:val="both"/>
        <w:rPr>
          <w:sz w:val="28"/>
          <w:szCs w:val="28"/>
        </w:rPr>
      </w:pPr>
      <w:r>
        <w:rPr>
          <w:sz w:val="28"/>
          <w:szCs w:val="28"/>
        </w:rPr>
        <w:t xml:space="preserve">2. Thuế </w:t>
      </w:r>
      <w:r>
        <w:rPr>
          <w:spacing w:val="2"/>
          <w:sz w:val="28"/>
          <w:szCs w:val="28"/>
          <w:lang w:val="nb-NO"/>
        </w:rPr>
        <w:t xml:space="preserve">tỉnh Khánh Hòa</w:t>
      </w:r>
      <w:r>
        <w:rPr>
          <w:sz w:val="28"/>
          <w:szCs w:val="28"/>
        </w:rPr>
      </w:r>
    </w:p>
    <w:p>
      <w:pPr>
        <w:pBdr/>
        <w:spacing w:after="120" w:before="120" w:line="242" w:lineRule="auto"/>
        <w:ind w:firstLine="720"/>
        <w:jc w:val="both"/>
        <w:rPr>
          <w:sz w:val="28"/>
          <w:szCs w:val="28"/>
        </w:rPr>
      </w:pPr>
      <w:r>
        <w:rPr>
          <w:sz w:val="28"/>
          <w:szCs w:val="28"/>
        </w:rPr>
        <w:t xml:space="preserve">Hướng dẫn </w:t>
      </w:r>
      <w:r>
        <w:rPr>
          <w:sz w:val="28"/>
          <w:szCs w:val="28"/>
          <w:lang w:val="vi-VN"/>
        </w:rPr>
        <w:t xml:space="preserve">việc kê khai và tổ chức thu, nộp lệ phí trước bạ </w:t>
      </w:r>
      <w:r>
        <w:rPr>
          <w:sz w:val="28"/>
          <w:szCs w:val="28"/>
        </w:rPr>
        <w:t xml:space="preserve">đối với nhà </w:t>
      </w:r>
      <w:r>
        <w:rPr>
          <w:sz w:val="28"/>
          <w:szCs w:val="28"/>
          <w:lang w:val="vi-VN"/>
        </w:rPr>
        <w:t xml:space="preserve">theo đúng các quy định của </w:t>
      </w:r>
      <w:r>
        <w:rPr>
          <w:sz w:val="28"/>
          <w:szCs w:val="28"/>
        </w:rPr>
        <w:t xml:space="preserve">pháp luật</w:t>
      </w:r>
      <w:r>
        <w:rPr>
          <w:sz w:val="28"/>
          <w:szCs w:val="28"/>
          <w:lang w:val="vi-VN"/>
        </w:rPr>
        <w:t xml:space="preserve">. Trong quá trình thực hiện, nếu phát hiện </w:t>
      </w:r>
      <w:r>
        <w:rPr>
          <w:sz w:val="28"/>
          <w:szCs w:val="28"/>
        </w:rPr>
        <w:t xml:space="preserve">việc xác định tỷ lệ (%) chất lượng còn lại của nhà áp dụng tính lệ phí trước bạ đối với nhà không còn phù hợp với th</w:t>
      </w:r>
      <w:r>
        <w:rPr>
          <w:sz w:val="28"/>
          <w:szCs w:val="28"/>
        </w:rPr>
        <w:t xml:space="preserve">ực tế</w:t>
      </w:r>
      <w:r>
        <w:rPr>
          <w:sz w:val="28"/>
          <w:szCs w:val="28"/>
          <w:lang w:val="vi-VN"/>
        </w:rPr>
        <w:t xml:space="preserve">, </w:t>
      </w:r>
      <w:r>
        <w:rPr>
          <w:sz w:val="28"/>
          <w:szCs w:val="28"/>
        </w:rPr>
        <w:t xml:space="preserve">Thuế </w:t>
      </w:r>
      <w:r>
        <w:rPr>
          <w:spacing w:val="2"/>
          <w:sz w:val="28"/>
          <w:szCs w:val="28"/>
          <w:lang w:val="nb-NO"/>
        </w:rPr>
        <w:t xml:space="preserve">tỉnh Khánh Hòa</w:t>
      </w:r>
      <w:r>
        <w:rPr>
          <w:sz w:val="28"/>
          <w:szCs w:val="28"/>
        </w:rPr>
        <w:t xml:space="preserve"> thông báo</w:t>
      </w:r>
      <w:r>
        <w:rPr>
          <w:sz w:val="28"/>
          <w:szCs w:val="28"/>
          <w:lang w:val="vi-VN"/>
        </w:rPr>
        <w:t xml:space="preserve"> Sở Tài chính </w:t>
      </w:r>
      <w:r>
        <w:rPr>
          <w:sz w:val="28"/>
          <w:szCs w:val="28"/>
        </w:rPr>
        <w:t xml:space="preserve">biết để tổng hợp, tham mưu Ủy ban nhân dân tỉnh xem xét, xử lý.</w:t>
      </w:r>
      <w:r>
        <w:rPr>
          <w:sz w:val="28"/>
          <w:szCs w:val="28"/>
        </w:rPr>
      </w:r>
    </w:p>
    <w:p>
      <w:pPr>
        <w:pBdr/>
        <w:spacing w:after="120" w:before="120" w:line="242" w:lineRule="auto"/>
        <w:ind w:firstLine="720"/>
        <w:jc w:val="both"/>
        <w:rPr>
          <w:b/>
          <w:bCs/>
          <w:sz w:val="28"/>
          <w:szCs w:val="28"/>
        </w:rPr>
      </w:pPr>
      <w:r>
        <w:rPr>
          <w:b/>
          <w:bCs/>
          <w:sz w:val="28"/>
          <w:szCs w:val="28"/>
        </w:rPr>
        <w:t xml:space="preserve">Điều 4. Điều khoản thi hành</w:t>
      </w:r>
      <w:r>
        <w:rPr>
          <w:b/>
          <w:bCs/>
          <w:sz w:val="28"/>
          <w:szCs w:val="28"/>
        </w:rPr>
      </w:r>
    </w:p>
    <w:p>
      <w:pPr>
        <w:pBdr/>
        <w:spacing w:after="120" w:before="120" w:line="242" w:lineRule="auto"/>
        <w:ind w:firstLine="720"/>
        <w:jc w:val="both"/>
        <w:rPr>
          <w:sz w:val="28"/>
          <w:szCs w:val="28"/>
        </w:rPr>
      </w:pPr>
      <w:r>
        <w:rPr>
          <w:sz w:val="28"/>
          <w:szCs w:val="28"/>
        </w:rPr>
        <w:t xml:space="preserve">1. Quyết định này có hiệu lực thi hành kể từ ngày       tháng       năm 2026.</w:t>
      </w:r>
      <w:r>
        <w:rPr>
          <w:sz w:val="28"/>
          <w:szCs w:val="28"/>
        </w:rPr>
      </w:r>
    </w:p>
    <w:p>
      <w:pPr>
        <w:pBdr/>
        <w:spacing w:after="120" w:before="120" w:line="242" w:lineRule="auto"/>
        <w:ind w:firstLine="720"/>
        <w:jc w:val="both"/>
        <w:rPr>
          <w:spacing w:val="-2"/>
          <w:sz w:val="28"/>
          <w:szCs w:val="28"/>
        </w:rPr>
      </w:pPr>
      <w:r>
        <w:rPr>
          <w:spacing w:val="-4"/>
          <w:sz w:val="28"/>
          <w:szCs w:val="28"/>
        </w:rPr>
        <w:t xml:space="preserve">2. </w:t>
      </w:r>
      <w:r>
        <w:rPr>
          <w:spacing w:val="-4"/>
          <w:sz w:val="28"/>
          <w:szCs w:val="28"/>
          <w:lang w:eastAsia="vi-VN" w:bidi="vi-VN"/>
        </w:rPr>
        <w:t xml:space="preserve">Quyết định số 02/2023/QĐ-UBND </w:t>
      </w:r>
      <w:r>
        <w:rPr>
          <w:spacing w:val="-4"/>
          <w:sz w:val="28"/>
          <w:szCs w:val="28"/>
          <w:lang w:val="vi-VN"/>
        </w:rPr>
        <w:t xml:space="preserve">ngà</w:t>
      </w:r>
      <w:r>
        <w:rPr>
          <w:spacing w:val="-4"/>
          <w:sz w:val="28"/>
          <w:szCs w:val="28"/>
          <w:lang w:val="vi-VN"/>
        </w:rPr>
        <w:t xml:space="preserve">y </w:t>
      </w:r>
      <w:r>
        <w:rPr>
          <w:spacing w:val="-4"/>
          <w:sz w:val="28"/>
          <w:szCs w:val="28"/>
        </w:rPr>
        <w:t xml:space="preserve">06</w:t>
      </w:r>
      <w:r>
        <w:rPr>
          <w:spacing w:val="-4"/>
          <w:sz w:val="28"/>
          <w:szCs w:val="28"/>
          <w:lang w:val="vi-VN"/>
        </w:rPr>
        <w:t xml:space="preserve"> tháng </w:t>
      </w:r>
      <w:r>
        <w:rPr>
          <w:spacing w:val="-4"/>
          <w:sz w:val="28"/>
          <w:szCs w:val="28"/>
        </w:rPr>
        <w:t xml:space="preserve">01</w:t>
      </w:r>
      <w:r>
        <w:rPr>
          <w:spacing w:val="-4"/>
          <w:sz w:val="28"/>
          <w:szCs w:val="28"/>
          <w:lang w:val="vi-VN"/>
        </w:rPr>
        <w:t xml:space="preserve"> năm </w:t>
      </w:r>
      <w:r>
        <w:rPr>
          <w:spacing w:val="-4"/>
          <w:sz w:val="28"/>
          <w:szCs w:val="28"/>
        </w:rPr>
        <w:t xml:space="preserve">2023 của Ủy ban </w:t>
      </w:r>
      <w:r>
        <w:rPr>
          <w:sz w:val="28"/>
          <w:szCs w:val="28"/>
        </w:rPr>
        <w:t xml:space="preserve">nhân dân tỉnh Khánh Hòa </w:t>
      </w:r>
      <w:r>
        <w:rPr>
          <w:sz w:val="28"/>
          <w:szCs w:val="28"/>
          <w:lang w:eastAsia="vi-VN" w:bidi="vi-VN"/>
        </w:rPr>
        <w:t xml:space="preserve">(</w:t>
      </w:r>
      <w:r>
        <w:rPr>
          <w:rFonts w:eastAsiaTheme="minorHAnsi"/>
          <w:sz w:val="28"/>
          <w:szCs w:val="28"/>
        </w:rPr>
        <w:t xml:space="preserve">trư</w:t>
      </w:r>
      <w:r>
        <w:rPr>
          <w:rFonts w:eastAsiaTheme="minorHAnsi"/>
          <w:sz w:val="28"/>
          <w:szCs w:val="28"/>
        </w:rPr>
        <w:t xml:space="preserve">ớ</w:t>
      </w:r>
      <w:r>
        <w:rPr>
          <w:rFonts w:eastAsiaTheme="minorHAnsi"/>
          <w:sz w:val="28"/>
          <w:szCs w:val="28"/>
        </w:rPr>
        <w:t xml:space="preserve">c sáp nh</w:t>
      </w:r>
      <w:r>
        <w:rPr>
          <w:rFonts w:eastAsiaTheme="minorHAnsi"/>
          <w:sz w:val="28"/>
          <w:szCs w:val="28"/>
        </w:rPr>
        <w:t xml:space="preserve">ậ</w:t>
      </w:r>
      <w:r>
        <w:rPr>
          <w:rFonts w:eastAsiaTheme="minorHAnsi"/>
          <w:sz w:val="28"/>
          <w:szCs w:val="28"/>
        </w:rPr>
        <w:t xml:space="preserve">p</w:t>
      </w:r>
      <w:r>
        <w:rPr>
          <w:sz w:val="28"/>
          <w:szCs w:val="28"/>
          <w:lang w:eastAsia="vi-VN" w:bidi="vi-VN"/>
        </w:rPr>
        <w:t xml:space="preserve">) về </w:t>
      </w:r>
      <w:r>
        <w:rPr>
          <w:bCs/>
          <w:sz w:val="28"/>
          <w:szCs w:val="28"/>
        </w:rPr>
        <w:t xml:space="preserve">việc quy định giá tính lệ phí trước bạ đối với nhà trên địa bàn tỉnh Khánh Hòa và </w:t>
      </w:r>
      <w:r>
        <w:rPr>
          <w:sz w:val="28"/>
          <w:szCs w:val="28"/>
          <w:lang w:eastAsia="vi-VN" w:bidi="vi-VN"/>
        </w:rPr>
        <w:t xml:space="preserve">Quyết định số 67/2024/QĐ-UBND </w:t>
      </w:r>
      <w:r>
        <w:rPr>
          <w:spacing w:val="2"/>
          <w:sz w:val="28"/>
          <w:szCs w:val="28"/>
          <w:lang w:eastAsia="vi-VN" w:bidi="vi-VN"/>
        </w:rPr>
        <w:t xml:space="preserve">ngày 09 tháng 8 năm 2024 của </w:t>
      </w:r>
      <w:r>
        <w:rPr>
          <w:spacing w:val="2"/>
          <w:sz w:val="28"/>
          <w:szCs w:val="28"/>
        </w:rPr>
        <w:t xml:space="preserve">Ủy ban nhân dân</w:t>
      </w:r>
      <w:r>
        <w:rPr>
          <w:spacing w:val="2"/>
          <w:sz w:val="28"/>
          <w:szCs w:val="28"/>
          <w:lang w:eastAsia="vi-VN" w:bidi="vi-VN"/>
        </w:rPr>
        <w:t xml:space="preserve"> tỉnh Ninh Thuận (</w:t>
      </w:r>
      <w:r>
        <w:rPr>
          <w:rFonts w:eastAsiaTheme="minorHAnsi"/>
          <w:spacing w:val="2"/>
          <w:sz w:val="28"/>
          <w:szCs w:val="28"/>
        </w:rPr>
        <w:t xml:space="preserve">trư</w:t>
      </w:r>
      <w:r>
        <w:rPr>
          <w:rFonts w:eastAsiaTheme="minorHAnsi"/>
          <w:spacing w:val="2"/>
          <w:sz w:val="28"/>
          <w:szCs w:val="28"/>
        </w:rPr>
        <w:t xml:space="preserve">ớ</w:t>
      </w:r>
      <w:r>
        <w:rPr>
          <w:rFonts w:eastAsiaTheme="minorHAnsi"/>
          <w:spacing w:val="2"/>
          <w:sz w:val="28"/>
          <w:szCs w:val="28"/>
        </w:rPr>
        <w:t xml:space="preserve">c sáp nh</w:t>
      </w:r>
      <w:r>
        <w:rPr>
          <w:rFonts w:eastAsiaTheme="minorHAnsi"/>
          <w:spacing w:val="2"/>
          <w:sz w:val="28"/>
          <w:szCs w:val="28"/>
        </w:rPr>
        <w:t xml:space="preserve">ậ</w:t>
      </w:r>
      <w:r>
        <w:rPr>
          <w:rFonts w:eastAsiaTheme="minorHAnsi"/>
          <w:spacing w:val="2"/>
          <w:sz w:val="28"/>
          <w:szCs w:val="28"/>
        </w:rPr>
        <w:t xml:space="preserve">p</w:t>
      </w:r>
      <w:r>
        <w:rPr>
          <w:spacing w:val="2"/>
          <w:sz w:val="28"/>
          <w:szCs w:val="28"/>
          <w:lang w:eastAsia="vi-VN" w:bidi="vi-VN"/>
        </w:rPr>
        <w:t xml:space="preserve">) </w:t>
      </w:r>
      <w:r>
        <w:rPr>
          <w:spacing w:val="2"/>
          <w:sz w:val="28"/>
          <w:szCs w:val="28"/>
        </w:rPr>
        <w:t xml:space="preserve">quy định tỷ lệ (%) chất lượng còn lại của nhà để áp dụng tính lệ phí trước bạ trên địa bàn tỉnh</w:t>
      </w:r>
      <w:r>
        <w:rPr>
          <w:spacing w:val="-2"/>
          <w:sz w:val="28"/>
          <w:szCs w:val="28"/>
        </w:rPr>
        <w:t xml:space="preserve"> Ninh Thuận hết hiệu lực kể từ ngày Quyết định này có hiệu lực thi hành.</w:t>
      </w:r>
      <w:r>
        <w:rPr>
          <w:spacing w:val="-2"/>
          <w:sz w:val="28"/>
          <w:szCs w:val="28"/>
        </w:rPr>
      </w:r>
    </w:p>
    <w:p>
      <w:pPr>
        <w:pBdr/>
        <w:tabs>
          <w:tab w:val="left" w:leader="none" w:pos="709"/>
        </w:tabs>
        <w:spacing w:after="120" w:before="120" w:line="242" w:lineRule="auto"/>
        <w:ind w:firstLine="720"/>
        <w:jc w:val="both"/>
        <w:rPr>
          <w:bCs/>
          <w:sz w:val="28"/>
          <w:szCs w:val="28"/>
        </w:rPr>
      </w:pPr>
      <w:r>
        <w:rPr>
          <w:sz w:val="28"/>
          <w:szCs w:val="28"/>
        </w:rPr>
        <w:t xml:space="preserve">3. </w:t>
      </w:r>
      <w:r>
        <w:rPr>
          <w:bCs/>
          <w:sz w:val="28"/>
          <w:szCs w:val="28"/>
        </w:rPr>
        <w:t xml:space="preserve">Trong quá trình tổ chức thực hiện, nếu phát sinh khó khăn, vướng mắc </w:t>
      </w:r>
      <w:r>
        <w:rPr>
          <w:bCs/>
          <w:sz w:val="28"/>
          <w:szCs w:val="28"/>
        </w:rPr>
        <w:t xml:space="preserve">về </w:t>
      </w:r>
      <w:r>
        <w:rPr>
          <w:spacing w:val="-4"/>
          <w:sz w:val="28"/>
          <w:szCs w:val="28"/>
          <w:lang w:val="nl-NL"/>
        </w:rPr>
        <w:t xml:space="preserve">g</w:t>
      </w:r>
      <w:r>
        <w:rPr>
          <w:spacing w:val="2"/>
          <w:sz w:val="28"/>
          <w:szCs w:val="28"/>
        </w:rPr>
        <w:t xml:space="preserve">iá tính lệ phí trước bạ đối với nhà trên địa bàn tỉnh Khánh Hòa,</w:t>
      </w:r>
      <w:r>
        <w:rPr>
          <w:bCs/>
          <w:sz w:val="28"/>
          <w:szCs w:val="28"/>
        </w:rPr>
        <w:t xml:space="preserve"> các cơ quan, tổ chức, đơn vị kịp thời phản ánh về Sở Tài chính để tổng hợp, báo cáo </w:t>
      </w:r>
      <w:r>
        <w:rPr>
          <w:sz w:val="28"/>
          <w:szCs w:val="28"/>
        </w:rPr>
        <w:t xml:space="preserve">Ủy ban nhân dân tỉnh</w:t>
      </w:r>
      <w:r>
        <w:rPr>
          <w:bCs/>
          <w:sz w:val="28"/>
          <w:szCs w:val="28"/>
        </w:rPr>
        <w:t xml:space="preserve"> tỉnh xem xét, sửa đổi, bổ sung cho phù hợp.</w:t>
      </w:r>
      <w:r>
        <w:rPr>
          <w:bCs/>
          <w:sz w:val="28"/>
          <w:szCs w:val="28"/>
        </w:rPr>
      </w:r>
    </w:p>
    <w:p>
      <w:pPr>
        <w:widowControl w:val="false"/>
        <w:pBdr/>
        <w:spacing w:after="360" w:before="120" w:line="242" w:lineRule="auto"/>
        <w:ind w:firstLine="709"/>
        <w:jc w:val="both"/>
        <w:rPr>
          <w:spacing w:val="2"/>
          <w:sz w:val="28"/>
          <w:szCs w:val="28"/>
          <w:lang w:val="nb-NO"/>
        </w:rPr>
      </w:pPr>
      <w:r>
        <w:rPr>
          <w:b/>
          <w:spacing w:val="2"/>
          <w:sz w:val="28"/>
          <w:szCs w:val="28"/>
          <w:lang w:val="nb-NO"/>
        </w:rPr>
        <w:t xml:space="preserve">Điều 5.</w:t>
      </w:r>
      <w:r>
        <w:rPr>
          <w:spacing w:val="2"/>
          <w:sz w:val="28"/>
          <w:szCs w:val="28"/>
          <w:lang w:val="nb-NO"/>
        </w:rPr>
        <w:t xml:space="preserve"> Chánh Văn phòng Ủy ban nhân dâ</w:t>
      </w:r>
      <w:r>
        <w:rPr>
          <w:spacing w:val="2"/>
          <w:sz w:val="28"/>
          <w:szCs w:val="28"/>
          <w:lang w:val="nb-NO"/>
        </w:rPr>
        <w:t xml:space="preserve">n tỉnh; Giám đốc các Sở; Trưởng Thuế tỉnh Khánh Hòa; Thủ trưởng các ban, ngành, đơn vị; Chủ tịch Ủy ban nhân dân các xã, phường, đặc khu và các tổ chức, cá nhân có liên quan chịu trách nhiệm thi hành Quyết định này./.</w:t>
      </w:r>
      <w:r>
        <w:rPr>
          <w:spacing w:val="2"/>
          <w:sz w:val="28"/>
          <w:szCs w:val="28"/>
          <w:lang w:val="nb-NO"/>
        </w:rPr>
      </w:r>
    </w:p>
    <w:tbl>
      <w:tblPr>
        <w:tblStyle w:val="TableGrid"/>
        <w:tblInd w:w="108" w:type="dxa"/>
        <w:tblW w:w="9101" w:type="dxa"/>
        <w:tblBorders/>
        <w:tblLayout w:type="fixed"/>
        <w:tblLook w:val="01E0" w:firstRow="1" w:lastRow="1" w:firstColumn="1" w:lastColumn="1" w:noHBand="0" w:noVBand="0"/>
      </w:tblPr>
      <w:tblGrid>
        <w:gridCol w:w="5244"/>
        <w:gridCol w:w="3857"/>
      </w:tblGrid>
      <w:tr>
        <w:trPr/>
        <w:tc>
          <w:tcPr>
            <w:tcBorders/>
            <w:tcW w:w="5244" w:type="dxa"/>
            <w:textDirection w:val="lrTb"/>
            <w:noWrap w:val="false"/>
          </w:tcPr>
          <w:p>
            <w:pPr>
              <w:pBdr/>
              <w:spacing/>
              <w:ind/>
              <w:rPr>
                <w:b/>
                <w:bCs/>
                <w:i/>
                <w:iCs/>
                <w:lang w:val="nb-NO"/>
              </w:rPr>
            </w:pPr>
            <w:r>
              <w:rPr>
                <w:b/>
                <w:bCs/>
                <w:i/>
                <w:iCs/>
                <w:lang w:val="nb-NO"/>
              </w:rPr>
              <w:t xml:space="preserve">Nơi nhận:</w:t>
            </w:r>
            <w:r>
              <w:rPr>
                <w:b/>
                <w:bCs/>
                <w:i/>
                <w:iCs/>
                <w:lang w:val="nb-NO"/>
              </w:rPr>
            </w:r>
          </w:p>
          <w:p>
            <w:pPr>
              <w:pBdr/>
              <w:spacing/>
              <w:ind/>
              <w:rPr>
                <w:bCs/>
                <w:sz w:val="22"/>
                <w:szCs w:val="22"/>
              </w:rPr>
            </w:pPr>
            <w:r>
              <w:rPr>
                <w:bCs/>
                <w:sz w:val="22"/>
                <w:szCs w:val="22"/>
              </w:rPr>
              <w:t xml:space="preserve">- Như Điều 5;</w:t>
            </w:r>
            <w:r>
              <w:rPr>
                <w:bCs/>
                <w:sz w:val="22"/>
                <w:szCs w:val="22"/>
              </w:rPr>
            </w:r>
          </w:p>
          <w:p>
            <w:pPr>
              <w:pBdr/>
              <w:spacing/>
              <w:ind/>
              <w:rPr>
                <w:sz w:val="22"/>
                <w:szCs w:val="22"/>
              </w:rPr>
            </w:pPr>
            <w:r>
              <w:rPr>
                <w:bCs/>
                <w:sz w:val="22"/>
                <w:szCs w:val="22"/>
              </w:rPr>
              <w:t xml:space="preserve">- Ủy ban Thườn</w:t>
            </w:r>
            <w:r>
              <w:rPr>
                <w:bCs/>
                <w:sz w:val="22"/>
                <w:szCs w:val="22"/>
              </w:rPr>
              <w:t xml:space="preserve">g vụ Quốc hội (báo cáo);</w:t>
            </w:r>
            <w:r>
              <w:rPr>
                <w:sz w:val="22"/>
                <w:szCs w:val="22"/>
              </w:rPr>
            </w:r>
          </w:p>
          <w:p>
            <w:pPr>
              <w:pBdr/>
              <w:spacing/>
              <w:ind/>
              <w:rPr>
                <w:sz w:val="22"/>
                <w:szCs w:val="22"/>
              </w:rPr>
            </w:pPr>
            <w:r>
              <w:rPr>
                <w:bCs/>
                <w:sz w:val="22"/>
                <w:szCs w:val="22"/>
              </w:rPr>
              <w:t xml:space="preserve">- Văn phòng Chính phủ;</w:t>
            </w:r>
            <w:r>
              <w:rPr>
                <w:sz w:val="22"/>
                <w:szCs w:val="22"/>
              </w:rPr>
            </w:r>
          </w:p>
          <w:p>
            <w:pPr>
              <w:pBdr/>
              <w:spacing/>
              <w:ind/>
              <w:rPr>
                <w:bCs/>
                <w:sz w:val="22"/>
                <w:szCs w:val="22"/>
              </w:rPr>
            </w:pPr>
            <w:r>
              <w:rPr>
                <w:bCs/>
                <w:sz w:val="22"/>
                <w:szCs w:val="22"/>
              </w:rPr>
              <w:t xml:space="preserve">- Vụ Pháp chế (Bộ Tài chính);</w:t>
            </w:r>
            <w:r>
              <w:rPr>
                <w:bCs/>
                <w:sz w:val="22"/>
                <w:szCs w:val="22"/>
              </w:rPr>
              <w:tab/>
            </w:r>
            <w:r>
              <w:rPr>
                <w:bCs/>
                <w:sz w:val="22"/>
                <w:szCs w:val="22"/>
              </w:rPr>
            </w:r>
          </w:p>
          <w:p>
            <w:pPr>
              <w:pBdr/>
              <w:spacing/>
              <w:ind/>
              <w:rPr>
                <w:sz w:val="22"/>
                <w:szCs w:val="22"/>
              </w:rPr>
            </w:pPr>
            <w:r>
              <w:rPr>
                <w:sz w:val="22"/>
                <w:szCs w:val="22"/>
              </w:rPr>
              <w:t xml:space="preserve">- Cục Kiểm tra văn bản và </w:t>
            </w:r>
            <w:r>
              <w:rPr>
                <w:bCs/>
                <w:sz w:val="22"/>
                <w:szCs w:val="22"/>
              </w:rPr>
              <w:t xml:space="preserve">Tổ chức thi hành </w:t>
            </w:r>
            <w:r>
              <w:rPr>
                <w:sz w:val="22"/>
                <w:szCs w:val="22"/>
              </w:rPr>
            </w:r>
          </w:p>
          <w:p>
            <w:pPr>
              <w:pBdr/>
              <w:spacing/>
              <w:ind/>
              <w:rPr>
                <w:sz w:val="22"/>
                <w:szCs w:val="22"/>
              </w:rPr>
            </w:pPr>
            <w:r>
              <w:rPr>
                <w:bCs/>
                <w:sz w:val="22"/>
                <w:szCs w:val="22"/>
              </w:rPr>
              <w:t xml:space="preserve">  pháp luật (Bộ Tư pháp)</w:t>
            </w:r>
            <w:r>
              <w:rPr>
                <w:sz w:val="22"/>
                <w:szCs w:val="22"/>
              </w:rPr>
              <w:t xml:space="preserve">;</w:t>
            </w:r>
            <w:r>
              <w:rPr>
                <w:sz w:val="22"/>
                <w:szCs w:val="22"/>
              </w:rPr>
            </w:r>
          </w:p>
          <w:p>
            <w:pPr>
              <w:pBdr/>
              <w:spacing/>
              <w:ind/>
              <w:rPr>
                <w:sz w:val="22"/>
                <w:szCs w:val="22"/>
              </w:rPr>
            </w:pPr>
            <w:r>
              <w:rPr>
                <w:sz w:val="22"/>
                <w:szCs w:val="22"/>
              </w:rPr>
              <w:t xml:space="preserve">- TT: TU, HĐND, UBMTTQ Việt Nam tỉnh (báo cáo);</w:t>
            </w:r>
            <w:r>
              <w:rPr>
                <w:sz w:val="22"/>
                <w:szCs w:val="22"/>
              </w:rPr>
            </w:r>
          </w:p>
          <w:p>
            <w:pPr>
              <w:pBdr/>
              <w:spacing/>
              <w:ind/>
              <w:rPr>
                <w:sz w:val="22"/>
                <w:szCs w:val="22"/>
              </w:rPr>
            </w:pPr>
            <w:r>
              <w:rPr>
                <w:sz w:val="22"/>
                <w:szCs w:val="22"/>
              </w:rPr>
              <w:t xml:space="preserve">- Các Ban của HĐND tỉnh; </w:t>
            </w:r>
            <w:r>
              <w:rPr>
                <w:sz w:val="22"/>
                <w:szCs w:val="22"/>
              </w:rPr>
            </w:r>
          </w:p>
          <w:p>
            <w:pPr>
              <w:pBdr/>
              <w:spacing/>
              <w:ind/>
              <w:rPr>
                <w:sz w:val="22"/>
                <w:szCs w:val="22"/>
              </w:rPr>
            </w:pPr>
            <w:r>
              <w:rPr>
                <w:sz w:val="22"/>
                <w:szCs w:val="22"/>
              </w:rPr>
              <w:t xml:space="preserve">- Các Đại biểu HĐND tỉn</w:t>
            </w:r>
            <w:r>
              <w:rPr>
                <w:sz w:val="22"/>
                <w:szCs w:val="22"/>
              </w:rPr>
              <w:t xml:space="preserve">h;</w:t>
            </w:r>
            <w:r>
              <w:rPr>
                <w:sz w:val="22"/>
                <w:szCs w:val="22"/>
              </w:rPr>
            </w:r>
          </w:p>
          <w:p>
            <w:pPr>
              <w:pBdr/>
              <w:spacing/>
              <w:ind/>
              <w:rPr>
                <w:sz w:val="22"/>
                <w:szCs w:val="22"/>
                <w:lang w:val="es-ES"/>
              </w:rPr>
            </w:pPr>
            <w:r>
              <w:rPr>
                <w:sz w:val="22"/>
                <w:szCs w:val="22"/>
                <w:lang w:val="es-ES"/>
              </w:rPr>
              <w:t xml:space="preserve">- Chủ tịch UBND tỉnh (báo cáo);</w:t>
            </w:r>
            <w:r>
              <w:rPr>
                <w:sz w:val="22"/>
                <w:szCs w:val="22"/>
                <w:lang w:val="es-ES"/>
              </w:rPr>
            </w:r>
          </w:p>
          <w:p>
            <w:pPr>
              <w:pBdr/>
              <w:spacing/>
              <w:ind/>
              <w:rPr>
                <w:sz w:val="22"/>
                <w:szCs w:val="22"/>
                <w:lang w:val="es-ES"/>
              </w:rPr>
            </w:pPr>
            <w:r>
              <w:rPr>
                <w:sz w:val="22"/>
                <w:szCs w:val="22"/>
                <w:lang w:val="es-ES"/>
              </w:rPr>
              <w:t xml:space="preserve">- Các PCT UBND tỉnh;</w:t>
            </w:r>
            <w:r>
              <w:rPr>
                <w:sz w:val="22"/>
                <w:szCs w:val="22"/>
                <w:lang w:val="es-ES"/>
              </w:rPr>
            </w:r>
          </w:p>
          <w:p>
            <w:pPr>
              <w:pBdr/>
              <w:spacing/>
              <w:ind/>
              <w:rPr>
                <w:spacing w:val="-4"/>
                <w:sz w:val="22"/>
                <w:szCs w:val="22"/>
                <w:lang w:val="es-ES"/>
              </w:rPr>
            </w:pPr>
            <w:r>
              <w:rPr>
                <w:spacing w:val="-4"/>
                <w:sz w:val="22"/>
                <w:szCs w:val="22"/>
                <w:lang w:val="es-ES"/>
              </w:rPr>
              <w:t xml:space="preserve">- Trung tâm CCB &amp; Cổng TTĐT tỉnh;</w:t>
            </w:r>
            <w:r>
              <w:rPr>
                <w:spacing w:val="-4"/>
                <w:sz w:val="22"/>
                <w:szCs w:val="22"/>
                <w:lang w:val="es-ES"/>
              </w:rPr>
            </w:r>
          </w:p>
          <w:p>
            <w:pPr>
              <w:pBdr/>
              <w:spacing/>
              <w:ind/>
              <w:rPr>
                <w:sz w:val="22"/>
                <w:szCs w:val="22"/>
                <w:lang w:val="es-ES"/>
              </w:rPr>
            </w:pPr>
            <w:r>
              <w:rPr>
                <w:sz w:val="22"/>
                <w:szCs w:val="22"/>
                <w:lang w:val="es-ES"/>
              </w:rPr>
              <w:t xml:space="preserve">- </w:t>
            </w:r>
            <w:r>
              <w:rPr>
                <w:bCs/>
                <w:szCs w:val="28"/>
                <w:lang w:val="vi-VN" w:eastAsia="vi-VN" w:bidi="vi-VN"/>
              </w:rPr>
              <w:t xml:space="preserve">Báo </w:t>
            </w:r>
            <w:r>
              <w:rPr>
                <w:bCs/>
                <w:szCs w:val="28"/>
                <w:lang w:eastAsia="vi-VN" w:bidi="vi-VN"/>
              </w:rPr>
              <w:t xml:space="preserve">và Phát thanh, Truyền hình KH</w:t>
            </w:r>
            <w:r>
              <w:rPr>
                <w:sz w:val="22"/>
                <w:szCs w:val="22"/>
                <w:lang w:val="es-ES"/>
              </w:rPr>
              <w:t xml:space="preserve">;</w:t>
            </w:r>
            <w:r>
              <w:rPr>
                <w:sz w:val="22"/>
                <w:szCs w:val="22"/>
                <w:lang w:val="es-ES"/>
              </w:rPr>
            </w:r>
          </w:p>
          <w:p>
            <w:pPr>
              <w:pBdr/>
              <w:spacing/>
              <w:ind/>
              <w:rPr>
                <w:sz w:val="22"/>
                <w:szCs w:val="22"/>
              </w:rPr>
            </w:pPr>
            <w:r>
              <w:rPr>
                <w:sz w:val="22"/>
                <w:szCs w:val="22"/>
              </w:rPr>
              <w:t xml:space="preserve">- Lưu: VT. NDT</w:t>
            </w:r>
            <w:r>
              <w:rPr>
                <w:sz w:val="22"/>
                <w:szCs w:val="22"/>
              </w:rPr>
              <w:tab/>
            </w:r>
            <w:r>
              <w:rPr>
                <w:sz w:val="22"/>
                <w:szCs w:val="22"/>
              </w:rPr>
            </w:r>
          </w:p>
        </w:tc>
        <w:tc>
          <w:tcPr>
            <w:tcBorders/>
            <w:tcW w:w="3857" w:type="dxa"/>
            <w:textDirection w:val="lrTb"/>
            <w:noWrap w:val="false"/>
          </w:tcPr>
          <w:p>
            <w:pPr>
              <w:pBdr/>
              <w:spacing/>
              <w:ind/>
              <w:jc w:val="center"/>
              <w:rPr>
                <w:b/>
                <w:bCs/>
                <w:sz w:val="28"/>
                <w:szCs w:val="28"/>
              </w:rPr>
            </w:pPr>
            <w:r>
              <w:rPr>
                <w:b/>
                <w:bCs/>
                <w:sz w:val="28"/>
                <w:szCs w:val="28"/>
                <w:highlight w:val="none"/>
              </w:rPr>
            </w:r>
            <w:r>
              <w:rPr>
                <w:b/>
                <w:bCs/>
                <w:sz w:val="28"/>
                <w:szCs w:val="28"/>
                <w:highlight w:val="none"/>
              </w:rPr>
            </w:r>
          </w:p>
          <w:p>
            <w:pPr>
              <w:pBdr/>
              <w:spacing/>
              <w:ind/>
              <w:jc w:val="center"/>
              <w:rPr>
                <w:b/>
                <w:bCs/>
                <w:sz w:val="28"/>
                <w:szCs w:val="28"/>
                <w:highlight w:val="none"/>
              </w:rPr>
            </w:pPr>
            <w:r>
              <w:rPr>
                <w:b/>
                <w:bCs/>
                <w:sz w:val="28"/>
                <w:szCs w:val="28"/>
              </w:rPr>
              <w:t xml:space="preserve">TM. ỦY BAN NHÂN DÂN</w:t>
            </w:r>
            <w:r>
              <w:rPr>
                <w:b/>
                <w:bCs/>
                <w:sz w:val="28"/>
                <w:szCs w:val="28"/>
              </w:rPr>
            </w:r>
          </w:p>
          <w:p>
            <w:pPr>
              <w:pBdr/>
              <w:spacing/>
              <w:ind/>
              <w:jc w:val="center"/>
              <w:rPr>
                <w:b/>
                <w:sz w:val="28"/>
                <w:szCs w:val="28"/>
              </w:rPr>
            </w:pPr>
            <w:r>
              <w:rPr>
                <w:b/>
                <w:sz w:val="28"/>
                <w:szCs w:val="28"/>
              </w:rPr>
              <w:t xml:space="preserve">KT. </w:t>
            </w:r>
            <w:r>
              <w:rPr>
                <w:b/>
                <w:sz w:val="28"/>
                <w:szCs w:val="28"/>
              </w:rPr>
              <w:t xml:space="preserve">CHỦ TỊCH</w:t>
            </w:r>
            <w:r>
              <w:rPr>
                <w:b/>
                <w:sz w:val="28"/>
                <w:szCs w:val="28"/>
              </w:rPr>
            </w:r>
          </w:p>
          <w:p>
            <w:pPr>
              <w:pBdr/>
              <w:spacing/>
              <w:ind/>
              <w:jc w:val="center"/>
              <w:rPr>
                <w:b/>
                <w:sz w:val="28"/>
                <w:szCs w:val="28"/>
              </w:rPr>
            </w:pPr>
            <w:r>
              <w:rPr>
                <w:b/>
                <w:sz w:val="28"/>
                <w:szCs w:val="28"/>
              </w:rPr>
              <w:t xml:space="preserve">PHÓ </w:t>
            </w:r>
            <w:r>
              <w:rPr>
                <w:b/>
                <w:sz w:val="28"/>
                <w:szCs w:val="28"/>
              </w:rPr>
              <w:t xml:space="preserve">CHỦ TỊCH</w:t>
            </w:r>
            <w:r>
              <w:rPr>
                <w:b/>
                <w:sz w:val="28"/>
                <w:szCs w:val="28"/>
              </w:rPr>
            </w:r>
          </w:p>
          <w:p>
            <w:pPr>
              <w:pBdr/>
              <w:spacing w:before="100"/>
              <w:ind/>
              <w:jc w:val="center"/>
              <w:rPr>
                <w:sz w:val="28"/>
                <w:szCs w:val="28"/>
              </w:rPr>
            </w:pPr>
            <w:r>
              <w:rPr>
                <w:sz w:val="28"/>
                <w:szCs w:val="28"/>
              </w:rPr>
            </w:r>
            <w:r>
              <w:rPr>
                <w:sz w:val="28"/>
                <w:szCs w:val="28"/>
              </w:rPr>
            </w:r>
          </w:p>
          <w:p>
            <w:pPr>
              <w:pBdr/>
              <w:spacing w:before="100"/>
              <w:ind/>
              <w:jc w:val="center"/>
              <w:rPr>
                <w:sz w:val="28"/>
                <w:szCs w:val="28"/>
              </w:rPr>
            </w:pPr>
            <w:r>
              <w:rPr>
                <w:sz w:val="28"/>
                <w:szCs w:val="28"/>
              </w:rPr>
            </w:r>
            <w:r>
              <w:rPr>
                <w:sz w:val="28"/>
                <w:szCs w:val="28"/>
              </w:rPr>
            </w:r>
          </w:p>
          <w:p>
            <w:pPr>
              <w:pBdr/>
              <w:spacing w:before="100"/>
              <w:ind/>
              <w:jc w:val="center"/>
              <w:rPr>
                <w:sz w:val="28"/>
                <w:szCs w:val="28"/>
              </w:rPr>
            </w:pPr>
            <w:r>
              <w:rPr>
                <w:sz w:val="28"/>
                <w:szCs w:val="28"/>
              </w:rPr>
            </w:r>
            <w:r>
              <w:rPr>
                <w:sz w:val="28"/>
                <w:szCs w:val="28"/>
              </w:rPr>
            </w:r>
          </w:p>
          <w:p>
            <w:pPr>
              <w:pBdr/>
              <w:spacing w:before="100"/>
              <w:ind/>
              <w:jc w:val="center"/>
              <w:rPr>
                <w:sz w:val="28"/>
                <w:szCs w:val="28"/>
              </w:rPr>
            </w:pPr>
            <w:r>
              <w:rPr>
                <w:sz w:val="28"/>
                <w:szCs w:val="28"/>
              </w:rPr>
            </w:r>
            <w:r>
              <w:rPr>
                <w:sz w:val="28"/>
                <w:szCs w:val="28"/>
              </w:rPr>
            </w:r>
          </w:p>
          <w:p>
            <w:pPr>
              <w:pBdr/>
              <w:spacing/>
              <w:ind/>
              <w:jc w:val="center"/>
              <w:rPr>
                <w:sz w:val="28"/>
                <w:szCs w:val="28"/>
              </w:rPr>
            </w:pPr>
            <w:r>
              <w:rPr>
                <w:sz w:val="28"/>
                <w:szCs w:val="28"/>
              </w:rPr>
            </w:r>
            <w:r>
              <w:rPr>
                <w:sz w:val="28"/>
                <w:szCs w:val="28"/>
              </w:rPr>
            </w:r>
          </w:p>
          <w:p>
            <w:pPr>
              <w:pBdr/>
              <w:spacing/>
              <w:ind/>
              <w:jc w:val="center"/>
              <w:rPr>
                <w:b/>
                <w:bCs/>
                <w:sz w:val="28"/>
                <w:szCs w:val="28"/>
              </w:rPr>
            </w:pPr>
            <w:r>
              <w:rPr>
                <w:b/>
                <w:sz w:val="28"/>
                <w:szCs w:val="28"/>
              </w:rPr>
              <w:t xml:space="preserve">Trần </w:t>
            </w:r>
            <w:bookmarkStart w:id="1" w:name="_GoBack"/>
            <w:r/>
            <w:bookmarkEnd w:id="1"/>
            <w:r>
              <w:rPr>
                <w:b/>
                <w:sz w:val="28"/>
                <w:szCs w:val="28"/>
              </w:rPr>
              <w:t xml:space="preserve">Hòa Nam</w:t>
            </w:r>
            <w:r>
              <w:rPr>
                <w:b/>
                <w:bCs/>
                <w:sz w:val="28"/>
                <w:szCs w:val="28"/>
              </w:rPr>
            </w:r>
          </w:p>
        </w:tc>
      </w:tr>
    </w:tbl>
    <w:p>
      <w:pPr>
        <w:pBdr/>
        <w:spacing/>
        <w:ind/>
        <w:rPr>
          <w:sz w:val="22"/>
          <w:szCs w:val="22"/>
        </w:rPr>
      </w:pPr>
      <w:r>
        <w:rPr>
          <w:sz w:val="22"/>
          <w:szCs w:val="22"/>
        </w:rPr>
      </w:r>
      <w:r>
        <w:rPr>
          <w:sz w:val="22"/>
          <w:szCs w:val="22"/>
        </w:rPr>
      </w:r>
    </w:p>
    <w:sectPr>
      <w:headerReference w:type="default" r:id="rId9"/>
      <w:footerReference w:type="default" r:id="rId10"/>
      <w:footerReference w:type="even" r:id="rId11"/>
      <w:footnotePr/>
      <w:endnotePr/>
      <w:type w:val="nextPage"/>
      <w:pgSz w:h="16840" w:orient="portrait" w:w="11907"/>
      <w:pgMar w:top="1021" w:right="1134" w:bottom="1021" w:left="1701" w:header="624" w:footer="454"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Mincho">
    <w:panose1 w:val="02020603050405090304"/>
  </w:font>
  <w:font w:name="Times New Roman">
    <w:panose1 w:val="02020603050405020304"/>
  </w:font>
  <w:font w:name=".VnTimeH">
    <w:panose1 w:val="020B0603030804020204"/>
  </w:font>
  <w:font w:name="Verdana">
    <w:panose1 w:val="020B0604030504040204"/>
  </w:font>
  <w:font w:name="Segoe UI">
    <w:panose1 w:val="020B0502040504020204"/>
  </w:font>
  <w:font w:name=".VnTime">
    <w:panose1 w:val="020B0603030804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36"/>
      <w:pBdr/>
      <w:spacing/>
      <w:ind w:right="360"/>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36"/>
      <w:framePr w:hAnchor="margin" w:vAnchor="text" w:wrap="around" w:xAlign="right" w:y="1"/>
      <w:pBdr/>
      <w:spacing/>
      <w:ind/>
      <w:rPr>
        <w:rStyle w:val="937"/>
      </w:rPr>
    </w:pPr>
    <w:r>
      <w:rPr>
        <w:rStyle w:val="937"/>
      </w:rPr>
      <w:fldChar w:fldCharType="begin"/>
    </w:r>
    <w:r>
      <w:rPr>
        <w:rStyle w:val="937"/>
      </w:rPr>
      <w:instrText xml:space="preserve">PAGE  </w:instrText>
    </w:r>
    <w:r>
      <w:rPr>
        <w:rStyle w:val="937"/>
      </w:rPr>
      <w:fldChar w:fldCharType="end"/>
    </w:r>
    <w:r>
      <w:rPr>
        <w:rStyle w:val="937"/>
      </w:rPr>
    </w:r>
  </w:p>
  <w:p>
    <w:pPr>
      <w:pStyle w:val="936"/>
      <w:pBdr/>
      <w:spacing/>
      <w:ind w:right="360"/>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38"/>
      <w:pBdr/>
      <w:spacing/>
      <w:ind/>
      <w:jc w:val="center"/>
      <w:rPr/>
    </w:pPr>
    <w:r>
      <w:fldChar w:fldCharType="begin"/>
    </w:r>
    <w:r>
      <w:instrText xml:space="preserve"> PAGE   \* MERGEFORMAT </w:instrText>
    </w:r>
    <w:r>
      <w:fldChar w:fldCharType="separate"/>
    </w:r>
    <w:r>
      <w:t xml:space="preserve">4</w:t>
    </w:r>
    <w:r>
      <w:fldChar w:fldCharType="end"/>
    </w:r>
    <w:r/>
  </w:p>
  <w:p>
    <w:pPr>
      <w:pStyle w:val="938"/>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lowerLetter"/>
      <w:pPr>
        <w:pBdr/>
        <w:tabs>
          <w:tab w:val="num" w:leader="none" w:pos="1080"/>
        </w:tabs>
        <w:spacing/>
        <w:ind w:hanging="360" w:left="1080"/>
      </w:pPr>
      <w:rPr>
        <w:rFonts w:hint="default"/>
      </w:rPr>
      <w:start w:val="1"/>
      <w:suff w:val="tab"/>
    </w:lvl>
    <w:lvl w:ilvl="1">
      <w:isLgl w:val="false"/>
      <w:lvlJc w:val="left"/>
      <w:lvlText w:val="%2."/>
      <w:numFmt w:val="lowerLetter"/>
      <w:pPr>
        <w:pBdr/>
        <w:tabs>
          <w:tab w:val="num" w:leader="none" w:pos="1800"/>
        </w:tabs>
        <w:spacing/>
        <w:ind w:hanging="360" w:left="1800"/>
      </w:pPr>
      <w:rPr/>
      <w:start w:val="1"/>
      <w:suff w:val="tab"/>
    </w:lvl>
    <w:lvl w:ilvl="2">
      <w:isLgl w:val="false"/>
      <w:lvlJc w:val="right"/>
      <w:lvlText w:val="%3."/>
      <w:numFmt w:val="lowerRoman"/>
      <w:pPr>
        <w:pBdr/>
        <w:tabs>
          <w:tab w:val="num" w:leader="none" w:pos="2520"/>
        </w:tabs>
        <w:spacing/>
        <w:ind w:hanging="180" w:left="2520"/>
      </w:pPr>
      <w:rPr/>
      <w:start w:val="1"/>
      <w:suff w:val="tab"/>
    </w:lvl>
    <w:lvl w:ilvl="3">
      <w:isLgl w:val="false"/>
      <w:lvlJc w:val="left"/>
      <w:lvlText w:val="%4."/>
      <w:numFmt w:val="decimal"/>
      <w:pPr>
        <w:pBdr/>
        <w:tabs>
          <w:tab w:val="num" w:leader="none" w:pos="3240"/>
        </w:tabs>
        <w:spacing/>
        <w:ind w:hanging="360" w:left="3240"/>
      </w:pPr>
      <w:rPr/>
      <w:start w:val="1"/>
      <w:suff w:val="tab"/>
    </w:lvl>
    <w:lvl w:ilvl="4">
      <w:isLgl w:val="false"/>
      <w:lvlJc w:val="left"/>
      <w:lvlText w:val="%5."/>
      <w:numFmt w:val="lowerLetter"/>
      <w:pPr>
        <w:pBdr/>
        <w:tabs>
          <w:tab w:val="num" w:leader="none" w:pos="3960"/>
        </w:tabs>
        <w:spacing/>
        <w:ind w:hanging="360" w:left="3960"/>
      </w:pPr>
      <w:rPr/>
      <w:start w:val="1"/>
      <w:suff w:val="tab"/>
    </w:lvl>
    <w:lvl w:ilvl="5">
      <w:isLgl w:val="false"/>
      <w:lvlJc w:val="right"/>
      <w:lvlText w:val="%6."/>
      <w:numFmt w:val="lowerRoman"/>
      <w:pPr>
        <w:pBdr/>
        <w:tabs>
          <w:tab w:val="num" w:leader="none" w:pos="4680"/>
        </w:tabs>
        <w:spacing/>
        <w:ind w:hanging="180" w:left="4680"/>
      </w:pPr>
      <w:rPr/>
      <w:start w:val="1"/>
      <w:suff w:val="tab"/>
    </w:lvl>
    <w:lvl w:ilvl="6">
      <w:isLgl w:val="false"/>
      <w:lvlJc w:val="left"/>
      <w:lvlText w:val="%7."/>
      <w:numFmt w:val="decimal"/>
      <w:pPr>
        <w:pBdr/>
        <w:tabs>
          <w:tab w:val="num" w:leader="none" w:pos="5400"/>
        </w:tabs>
        <w:spacing/>
        <w:ind w:hanging="360" w:left="5400"/>
      </w:pPr>
      <w:rPr/>
      <w:start w:val="1"/>
      <w:suff w:val="tab"/>
    </w:lvl>
    <w:lvl w:ilvl="7">
      <w:isLgl w:val="false"/>
      <w:lvlJc w:val="left"/>
      <w:lvlText w:val="%8."/>
      <w:numFmt w:val="lowerLetter"/>
      <w:pPr>
        <w:pBdr/>
        <w:tabs>
          <w:tab w:val="num" w:leader="none" w:pos="6120"/>
        </w:tabs>
        <w:spacing/>
        <w:ind w:hanging="360" w:left="6120"/>
      </w:pPr>
      <w:rPr/>
      <w:start w:val="1"/>
      <w:suff w:val="tab"/>
    </w:lvl>
    <w:lvl w:ilvl="8">
      <w:isLgl w:val="false"/>
      <w:lvlJc w:val="right"/>
      <w:lvlText w:val="%9."/>
      <w:numFmt w:val="lowerRoman"/>
      <w:pPr>
        <w:pBdr/>
        <w:tabs>
          <w:tab w:val="num" w:leader="none" w:pos="6840"/>
        </w:tabs>
        <w:spacing/>
        <w:ind w:hanging="180" w:left="6840"/>
      </w:pPr>
      <w:rPr/>
      <w:start w:val="1"/>
      <w:suff w:val="tab"/>
    </w:lvl>
  </w:abstractNum>
  <w:abstractNum w:abstractNumId="1">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748" w:default="1">
    <w:name w:val="Normal"/>
    <w:qFormat/>
    <w:pPr>
      <w:pBdr/>
      <w:spacing/>
      <w:ind/>
    </w:pPr>
    <w:rPr>
      <w:sz w:val="24"/>
      <w:szCs w:val="24"/>
    </w:rPr>
  </w:style>
  <w:style w:type="paragraph" w:styleId="749">
    <w:name w:val="Heading 1"/>
    <w:basedOn w:val="748"/>
    <w:next w:val="748"/>
    <w:link w:val="886"/>
    <w:uiPriority w:val="9"/>
    <w:qFormat/>
    <w:pPr>
      <w:keepNext w:val="true"/>
      <w:keepLines w:val="true"/>
      <w:pBdr/>
      <w:spacing w:after="80" w:before="360"/>
      <w:ind/>
      <w:outlineLvl w:val="0"/>
    </w:pPr>
    <w:rPr>
      <w:rFonts w:ascii="Arial" w:hAnsi="Arial" w:eastAsia="Arial" w:cs="Arial"/>
      <w:color w:val="2e74b5" w:themeColor="accent1" w:themeShade="BF"/>
      <w:sz w:val="40"/>
      <w:szCs w:val="40"/>
    </w:rPr>
  </w:style>
  <w:style w:type="paragraph" w:styleId="750">
    <w:name w:val="Heading 2"/>
    <w:basedOn w:val="748"/>
    <w:next w:val="748"/>
    <w:link w:val="887"/>
    <w:uiPriority w:val="9"/>
    <w:unhideWhenUsed/>
    <w:qFormat/>
    <w:pPr>
      <w:keepNext w:val="true"/>
      <w:keepLines w:val="true"/>
      <w:pBdr/>
      <w:spacing w:after="80" w:before="160"/>
      <w:ind/>
      <w:outlineLvl w:val="1"/>
    </w:pPr>
    <w:rPr>
      <w:rFonts w:ascii="Arial" w:hAnsi="Arial" w:eastAsia="Arial" w:cs="Arial"/>
      <w:color w:val="2e74b5" w:themeColor="accent1" w:themeShade="BF"/>
      <w:sz w:val="32"/>
      <w:szCs w:val="32"/>
    </w:rPr>
  </w:style>
  <w:style w:type="paragraph" w:styleId="751">
    <w:name w:val="Heading 3"/>
    <w:basedOn w:val="748"/>
    <w:next w:val="748"/>
    <w:link w:val="888"/>
    <w:uiPriority w:val="9"/>
    <w:unhideWhenUsed/>
    <w:qFormat/>
    <w:pPr>
      <w:keepNext w:val="true"/>
      <w:keepLines w:val="true"/>
      <w:pBdr/>
      <w:spacing w:after="80" w:before="160"/>
      <w:ind/>
      <w:outlineLvl w:val="2"/>
    </w:pPr>
    <w:rPr>
      <w:rFonts w:ascii="Arial" w:hAnsi="Arial" w:eastAsia="Arial" w:cs="Arial"/>
      <w:color w:val="2e74b5" w:themeColor="accent1" w:themeShade="BF"/>
      <w:sz w:val="28"/>
      <w:szCs w:val="28"/>
    </w:rPr>
  </w:style>
  <w:style w:type="paragraph" w:styleId="752">
    <w:name w:val="Heading 4"/>
    <w:basedOn w:val="748"/>
    <w:next w:val="748"/>
    <w:link w:val="889"/>
    <w:qFormat/>
    <w:pPr>
      <w:keepNext w:val="true"/>
      <w:pBdr/>
      <w:spacing/>
      <w:ind/>
      <w:jc w:val="right"/>
      <w:outlineLvl w:val="3"/>
    </w:pPr>
    <w:rPr>
      <w:rFonts w:ascii=".VnTime" w:hAnsi=".VnTime"/>
      <w:i/>
      <w:color w:val="0000ff"/>
      <w:sz w:val="28"/>
      <w:szCs w:val="20"/>
    </w:rPr>
  </w:style>
  <w:style w:type="paragraph" w:styleId="753">
    <w:name w:val="Heading 5"/>
    <w:basedOn w:val="748"/>
    <w:next w:val="748"/>
    <w:link w:val="890"/>
    <w:qFormat/>
    <w:pPr>
      <w:keepNext w:val="true"/>
      <w:pBdr/>
      <w:spacing/>
      <w:ind/>
      <w:jc w:val="center"/>
      <w:outlineLvl w:val="4"/>
    </w:pPr>
    <w:rPr>
      <w:b/>
      <w:bCs/>
      <w:sz w:val="26"/>
    </w:rPr>
  </w:style>
  <w:style w:type="paragraph" w:styleId="754">
    <w:name w:val="Heading 6"/>
    <w:basedOn w:val="748"/>
    <w:next w:val="748"/>
    <w:link w:val="891"/>
    <w:uiPriority w:val="9"/>
    <w:unhideWhenUsed/>
    <w:qFormat/>
    <w:pPr>
      <w:keepNext w:val="true"/>
      <w:keepLines w:val="true"/>
      <w:pBdr/>
      <w:spacing w:before="40"/>
      <w:ind/>
      <w:outlineLvl w:val="5"/>
    </w:pPr>
    <w:rPr>
      <w:rFonts w:ascii="Arial" w:hAnsi="Arial" w:eastAsia="Arial" w:cs="Arial"/>
      <w:i/>
      <w:iCs/>
      <w:color w:val="595959" w:themeColor="text1" w:themeTint="A6"/>
    </w:rPr>
  </w:style>
  <w:style w:type="paragraph" w:styleId="755">
    <w:name w:val="Heading 7"/>
    <w:basedOn w:val="748"/>
    <w:next w:val="748"/>
    <w:link w:val="892"/>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756">
    <w:name w:val="Heading 8"/>
    <w:basedOn w:val="748"/>
    <w:next w:val="748"/>
    <w:link w:val="893"/>
    <w:uiPriority w:val="9"/>
    <w:unhideWhenUsed/>
    <w:qFormat/>
    <w:pPr>
      <w:keepNext w:val="true"/>
      <w:keepLines w:val="true"/>
      <w:pBdr/>
      <w:spacing/>
      <w:ind/>
      <w:outlineLvl w:val="7"/>
    </w:pPr>
    <w:rPr>
      <w:rFonts w:ascii="Arial" w:hAnsi="Arial" w:eastAsia="Arial" w:cs="Arial"/>
      <w:i/>
      <w:iCs/>
      <w:color w:val="272727" w:themeColor="text1" w:themeTint="D8"/>
    </w:rPr>
  </w:style>
  <w:style w:type="paragraph" w:styleId="757">
    <w:name w:val="Heading 9"/>
    <w:basedOn w:val="748"/>
    <w:next w:val="748"/>
    <w:link w:val="894"/>
    <w:uiPriority w:val="9"/>
    <w:unhideWhenUsed/>
    <w:qFormat/>
    <w:pPr>
      <w:keepNext w:val="true"/>
      <w:keepLines w:val="true"/>
      <w:pBdr/>
      <w:spacing/>
      <w:ind/>
      <w:outlineLvl w:val="8"/>
    </w:pPr>
    <w:rPr>
      <w:rFonts w:ascii="Arial" w:hAnsi="Arial" w:eastAsia="Arial" w:cs="Arial"/>
      <w:i/>
      <w:iCs/>
      <w:color w:val="272727" w:themeColor="text1" w:themeTint="D8"/>
    </w:rPr>
  </w:style>
  <w:style w:type="character" w:styleId="758" w:default="1">
    <w:name w:val="Default Paragraph Font"/>
    <w:uiPriority w:val="1"/>
    <w:semiHidden/>
    <w:unhideWhenUsed/>
    <w:pPr>
      <w:pBdr/>
      <w:spacing/>
      <w:ind/>
    </w:pPr>
  </w:style>
  <w:style w:type="table" w:styleId="75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60" w:default="1">
    <w:name w:val="No List"/>
    <w:uiPriority w:val="99"/>
    <w:semiHidden/>
    <w:unhideWhenUsed/>
    <w:pPr>
      <w:pBdr/>
      <w:spacing/>
      <w:ind/>
    </w:pPr>
  </w:style>
  <w:style w:type="table" w:styleId="761" w:customStyle="1">
    <w:name w:val="Table Grid Light"/>
    <w:basedOn w:val="759"/>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customStyle="1">
    <w:name w:val="Plain Table 1"/>
    <w:basedOn w:val="759"/>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customStyle="1">
    <w:name w:val="Plain Table 2"/>
    <w:basedOn w:val="759"/>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customStyle="1">
    <w:name w:val="Plain Table 3"/>
    <w:basedOn w:val="75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customStyle="1">
    <w:name w:val="Plain Table 4"/>
    <w:basedOn w:val="75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customStyle="1">
    <w:name w:val="Plain Table 5"/>
    <w:basedOn w:val="75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customStyle="1">
    <w:name w:val="Grid Table 1 Light"/>
    <w:basedOn w:val="759"/>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customStyle="1">
    <w:name w:val="Grid Table 1 Light - Accent 1"/>
    <w:basedOn w:val="759"/>
    <w:uiPriority w:val="99"/>
    <w:pPr>
      <w:pBdr/>
      <w:spacing/>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customStyle="1">
    <w:name w:val="Grid Table 1 Light - Accent 2"/>
    <w:basedOn w:val="759"/>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customStyle="1">
    <w:name w:val="Grid Table 1 Light - Accent 3"/>
    <w:basedOn w:val="759"/>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customStyle="1">
    <w:name w:val="Grid Table 1 Light - Accent 4"/>
    <w:basedOn w:val="759"/>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customStyle="1">
    <w:name w:val="Grid Table 1 Light - Accent 5"/>
    <w:basedOn w:val="759"/>
    <w:uiPriority w:val="99"/>
    <w:pPr>
      <w:pBdr/>
      <w:spacing/>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customStyle="1">
    <w:name w:val="Grid Table 1 Light - Accent 6"/>
    <w:basedOn w:val="759"/>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customStyle="1">
    <w:name w:val="Grid Table 2"/>
    <w:basedOn w:val="759"/>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customStyle="1">
    <w:name w:val="Grid Table 2 - Accent 1"/>
    <w:basedOn w:val="759"/>
    <w:uiPriority w:val="99"/>
    <w:pPr>
      <w:pBdr/>
      <w:spacing/>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customStyle="1">
    <w:name w:val="Grid Table 2 - Accent 2"/>
    <w:basedOn w:val="759"/>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customStyle="1">
    <w:name w:val="Grid Table 2 - Accent 3"/>
    <w:basedOn w:val="759"/>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customStyle="1">
    <w:name w:val="Grid Table 2 - Accent 4"/>
    <w:basedOn w:val="759"/>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customStyle="1">
    <w:name w:val="Grid Table 2 - Accent 5"/>
    <w:basedOn w:val="759"/>
    <w:uiPriority w:val="99"/>
    <w:pPr>
      <w:pBdr/>
      <w:spacing/>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customStyle="1">
    <w:name w:val="Grid Table 2 - Accent 6"/>
    <w:basedOn w:val="759"/>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customStyle="1">
    <w:name w:val="Grid Table 3"/>
    <w:basedOn w:val="759"/>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customStyle="1">
    <w:name w:val="Grid Table 3 - Accent 1"/>
    <w:basedOn w:val="759"/>
    <w:uiPriority w:val="99"/>
    <w:pPr>
      <w:pBdr/>
      <w:spacing/>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customStyle="1">
    <w:name w:val="Grid Table 3 - Accent 2"/>
    <w:basedOn w:val="759"/>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customStyle="1">
    <w:name w:val="Grid Table 3 - Accent 3"/>
    <w:basedOn w:val="759"/>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customStyle="1">
    <w:name w:val="Grid Table 3 - Accent 4"/>
    <w:basedOn w:val="759"/>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customStyle="1">
    <w:name w:val="Grid Table 3 - Accent 5"/>
    <w:basedOn w:val="759"/>
    <w:uiPriority w:val="99"/>
    <w:pPr>
      <w:pBdr/>
      <w:spacing/>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customStyle="1">
    <w:name w:val="Grid Table 3 - Accent 6"/>
    <w:basedOn w:val="759"/>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customStyle="1">
    <w:name w:val="Grid Table 4"/>
    <w:basedOn w:val="759"/>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customStyle="1">
    <w:name w:val="Grid Table 4 - Accent 1"/>
    <w:basedOn w:val="759"/>
    <w:uiPriority w:val="59"/>
    <w:pPr>
      <w:pBdr/>
      <w:spacing/>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customStyle="1">
    <w:name w:val="Grid Table 4 - Accent 2"/>
    <w:basedOn w:val="759"/>
    <w:uiPriority w:val="5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customStyle="1">
    <w:name w:val="Grid Table 4 - Accent 3"/>
    <w:basedOn w:val="759"/>
    <w:uiPriority w:val="5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customStyle="1">
    <w:name w:val="Grid Table 4 - Accent 4"/>
    <w:basedOn w:val="759"/>
    <w:uiPriority w:val="5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customStyle="1">
    <w:name w:val="Grid Table 4 - Accent 5"/>
    <w:basedOn w:val="759"/>
    <w:uiPriority w:val="59"/>
    <w:pPr>
      <w:pBdr/>
      <w:spacing/>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customStyle="1">
    <w:name w:val="Grid Table 4 - Accent 6"/>
    <w:basedOn w:val="759"/>
    <w:uiPriority w:val="5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customStyle="1">
    <w:name w:val="Grid Table 5 Dark"/>
    <w:basedOn w:val="75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customStyle="1">
    <w:name w:val="Grid Table 5 Dark- Accent 1"/>
    <w:basedOn w:val="75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customStyle="1">
    <w:name w:val="Grid Table 5 Dark - Accent 2"/>
    <w:basedOn w:val="75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customStyle="1">
    <w:name w:val="Grid Table 5 Dark - Accent 3"/>
    <w:basedOn w:val="75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customStyle="1">
    <w:name w:val="Grid Table 5 Dark- Accent 4"/>
    <w:basedOn w:val="75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customStyle="1">
    <w:name w:val="Grid Table 5 Dark - Accent 5"/>
    <w:basedOn w:val="75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customStyle="1">
    <w:name w:val="Grid Table 5 Dark - Accent 6"/>
    <w:basedOn w:val="75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customStyle="1">
    <w:name w:val="Grid Table 6 Colorful"/>
    <w:basedOn w:val="759"/>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customStyle="1">
    <w:name w:val="Grid Table 6 Colorful - Accent 1"/>
    <w:basedOn w:val="759"/>
    <w:uiPriority w:val="99"/>
    <w:pPr>
      <w:pBdr/>
      <w:spacing/>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customStyle="1">
    <w:name w:val="Grid Table 6 Colorful - Accent 2"/>
    <w:basedOn w:val="759"/>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customStyle="1">
    <w:name w:val="Grid Table 6 Colorful - Accent 3"/>
    <w:basedOn w:val="759"/>
    <w:uiPriority w:val="99"/>
    <w:pPr>
      <w:pBdr/>
      <w:spacing/>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customStyle="1">
    <w:name w:val="Grid Table 6 Colorful - Accent 4"/>
    <w:basedOn w:val="759"/>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customStyle="1">
    <w:name w:val="Grid Table 6 Colorful - Accent 5"/>
    <w:basedOn w:val="759"/>
    <w:uiPriority w:val="99"/>
    <w:pPr>
      <w:pBdr/>
      <w:spacing/>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customStyle="1">
    <w:name w:val="Grid Table 6 Colorful - Accent 6"/>
    <w:basedOn w:val="759"/>
    <w:uiPriority w:val="99"/>
    <w:pPr>
      <w:pBdr/>
      <w:spacing/>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customStyle="1">
    <w:name w:val="Grid Table 7 Colorful"/>
    <w:basedOn w:val="759"/>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customStyle="1">
    <w:name w:val="Grid Table 7 Colorful - Accent 1"/>
    <w:basedOn w:val="759"/>
    <w:uiPriority w:val="99"/>
    <w:pPr>
      <w:pBdr/>
      <w:spacing/>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cccea" w:themeColor="accent1" w:themeTint="80" w:sz="4" w:space="0"/>
          <w:right w:val="none" w:color="000000" w:sz="4"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4" w:space="0"/>
          <w:left w:val="single" w:color="acccea" w:themeColor="accent1" w:themeTint="80" w:sz="4" w:space="0"/>
          <w:bottom w:val="none" w:color="000000" w:sz="4" w:space="0"/>
          <w:right w:val="none" w:color="000000" w:sz="4"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customStyle="1">
    <w:name w:val="Grid Table 7 Colorful - Accent 2"/>
    <w:basedOn w:val="759"/>
    <w:uiPriority w:val="99"/>
    <w:pPr>
      <w:pBdr/>
      <w:spacing/>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customStyle="1">
    <w:name w:val="Grid Table 7 Colorful - Accent 3"/>
    <w:basedOn w:val="759"/>
    <w:uiPriority w:val="99"/>
    <w:pPr>
      <w:pBdr/>
      <w:spacing/>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customStyle="1">
    <w:name w:val="Grid Table 7 Colorful - Accent 4"/>
    <w:basedOn w:val="759"/>
    <w:uiPriority w:val="99"/>
    <w:pPr>
      <w:pBdr/>
      <w:spacing/>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customStyle="1">
    <w:name w:val="Grid Table 7 Colorful - Accent 5"/>
    <w:basedOn w:val="759"/>
    <w:uiPriority w:val="99"/>
    <w:pPr>
      <w:pBdr/>
      <w:spacing/>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customStyle="1">
    <w:name w:val="Grid Table 7 Colorful - Accent 6"/>
    <w:basedOn w:val="759"/>
    <w:uiPriority w:val="99"/>
    <w:pPr>
      <w:pBdr/>
      <w:spacing/>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customStyle="1">
    <w:name w:val="List Table 1 Light"/>
    <w:basedOn w:val="759"/>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customStyle="1">
    <w:name w:val="List Table 1 Light - Accent 1"/>
    <w:basedOn w:val="759"/>
    <w:uiPriority w:val="99"/>
    <w:pPr>
      <w:pBdr/>
      <w:spacing/>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customStyle="1">
    <w:name w:val="List Table 1 Light - Accent 2"/>
    <w:basedOn w:val="759"/>
    <w:uiPriority w:val="99"/>
    <w:pPr>
      <w:pBdr/>
      <w:spacing/>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List Table 1 Light - Accent 3"/>
    <w:basedOn w:val="759"/>
    <w:uiPriority w:val="99"/>
    <w:pPr>
      <w:pBdr/>
      <w:spacing/>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customStyle="1">
    <w:name w:val="List Table 1 Light - Accent 4"/>
    <w:basedOn w:val="759"/>
    <w:uiPriority w:val="99"/>
    <w:pPr>
      <w:pBdr/>
      <w:spacing/>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customStyle="1">
    <w:name w:val="List Table 1 Light - Accent 5"/>
    <w:basedOn w:val="759"/>
    <w:uiPriority w:val="99"/>
    <w:pPr>
      <w:pBdr/>
      <w:spacing/>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List Table 1 Light - Accent 6"/>
    <w:basedOn w:val="759"/>
    <w:uiPriority w:val="99"/>
    <w:pPr>
      <w:pBdr/>
      <w:spacing/>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customStyle="1">
    <w:name w:val="List Table 2"/>
    <w:basedOn w:val="759"/>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customStyle="1">
    <w:name w:val="List Table 2 - Accent 1"/>
    <w:basedOn w:val="759"/>
    <w:uiPriority w:val="99"/>
    <w:pPr>
      <w:pBdr/>
      <w:spacing/>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List Table 2 - Accent 2"/>
    <w:basedOn w:val="759"/>
    <w:uiPriority w:val="99"/>
    <w:pPr>
      <w:pBdr/>
      <w:spacing/>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List Table 2 - Accent 3"/>
    <w:basedOn w:val="759"/>
    <w:uiPriority w:val="99"/>
    <w:pPr>
      <w:pBdr/>
      <w:spacing/>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List Table 2 - Accent 4"/>
    <w:basedOn w:val="759"/>
    <w:uiPriority w:val="99"/>
    <w:pPr>
      <w:pBdr/>
      <w:spacing/>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List Table 2 - Accent 5"/>
    <w:basedOn w:val="759"/>
    <w:uiPriority w:val="99"/>
    <w:pPr>
      <w:pBdr/>
      <w:spacing/>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List Table 2 - Accent 6"/>
    <w:basedOn w:val="759"/>
    <w:uiPriority w:val="99"/>
    <w:pPr>
      <w:pBdr/>
      <w:spacing/>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List Table 3"/>
    <w:basedOn w:val="759"/>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List Table 3 - Accent 1"/>
    <w:basedOn w:val="759"/>
    <w:uiPriority w:val="99"/>
    <w:pPr>
      <w:pBdr/>
      <w:spacing/>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List Table 3 - Accent 2"/>
    <w:basedOn w:val="759"/>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List Table 3 - Accent 3"/>
    <w:basedOn w:val="759"/>
    <w:uiPriority w:val="99"/>
    <w:pPr>
      <w:pBdr/>
      <w:spacing/>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List Table 3 - Accent 4"/>
    <w:basedOn w:val="759"/>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List Table 3 - Accent 5"/>
    <w:basedOn w:val="759"/>
    <w:uiPriority w:val="99"/>
    <w:pPr>
      <w:pBdr/>
      <w:spacing/>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List Table 3 - Accent 6"/>
    <w:basedOn w:val="759"/>
    <w:uiPriority w:val="99"/>
    <w:pPr>
      <w:pBdr/>
      <w:spacing/>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List Table 4"/>
    <w:basedOn w:val="759"/>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List Table 4 - Accent 1"/>
    <w:basedOn w:val="759"/>
    <w:uiPriority w:val="99"/>
    <w:pPr>
      <w:pBdr/>
      <w:spacing/>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List Table 4 - Accent 2"/>
    <w:basedOn w:val="759"/>
    <w:uiPriority w:val="9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List Table 4 - Accent 3"/>
    <w:basedOn w:val="759"/>
    <w:uiPriority w:val="9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List Table 4 - Accent 4"/>
    <w:basedOn w:val="759"/>
    <w:uiPriority w:val="9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List Table 4 - Accent 5"/>
    <w:basedOn w:val="759"/>
    <w:uiPriority w:val="99"/>
    <w:pPr>
      <w:pBdr/>
      <w:spacing/>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List Table 4 - Accent 6"/>
    <w:basedOn w:val="759"/>
    <w:uiPriority w:val="9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List Table 5 Dark"/>
    <w:basedOn w:val="759"/>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List Table 5 Dark - Accent 1"/>
    <w:basedOn w:val="759"/>
    <w:uiPriority w:val="99"/>
    <w:pPr>
      <w:pBdr/>
      <w:spacing/>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List Table 5 Dark - Accent 2"/>
    <w:basedOn w:val="759"/>
    <w:uiPriority w:val="99"/>
    <w:pPr>
      <w:pBdr/>
      <w:spacing/>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List Table 5 Dark - Accent 3"/>
    <w:basedOn w:val="759"/>
    <w:uiPriority w:val="99"/>
    <w:pPr>
      <w:pBdr/>
      <w:spacing/>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List Table 5 Dark - Accent 4"/>
    <w:basedOn w:val="759"/>
    <w:uiPriority w:val="99"/>
    <w:pPr>
      <w:pBdr/>
      <w:spacing/>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List Table 5 Dark - Accent 5"/>
    <w:basedOn w:val="759"/>
    <w:uiPriority w:val="99"/>
    <w:pPr>
      <w:pBdr/>
      <w:spacing/>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List Table 5 Dark - Accent 6"/>
    <w:basedOn w:val="759"/>
    <w:uiPriority w:val="99"/>
    <w:pPr>
      <w:pBdr/>
      <w:spacing/>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List Table 6 Colorful"/>
    <w:basedOn w:val="759"/>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List Table 6 Colorful - Accent 1"/>
    <w:basedOn w:val="759"/>
    <w:uiPriority w:val="99"/>
    <w:pPr>
      <w:pBdr/>
      <w:spacing/>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List Table 6 Colorful - Accent 2"/>
    <w:basedOn w:val="759"/>
    <w:uiPriority w:val="99"/>
    <w:pPr>
      <w:pBdr/>
      <w:spacing/>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List Table 6 Colorful - Accent 3"/>
    <w:basedOn w:val="759"/>
    <w:uiPriority w:val="99"/>
    <w:pPr>
      <w:pBdr/>
      <w:spacing/>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List Table 6 Colorful - Accent 4"/>
    <w:basedOn w:val="759"/>
    <w:uiPriority w:val="99"/>
    <w:pPr>
      <w:pBdr/>
      <w:spacing/>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List Table 6 Colorful - Accent 5"/>
    <w:basedOn w:val="759"/>
    <w:uiPriority w:val="99"/>
    <w:pPr>
      <w:pBdr/>
      <w:spacing/>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List Table 6 Colorful - Accent 6"/>
    <w:basedOn w:val="759"/>
    <w:uiPriority w:val="99"/>
    <w:pPr>
      <w:pBdr/>
      <w:spacing/>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List Table 7 Colorful"/>
    <w:basedOn w:val="759"/>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List Table 7 Colorful - Accent 1"/>
    <w:basedOn w:val="759"/>
    <w:uiPriority w:val="99"/>
    <w:pPr>
      <w:pBdr/>
      <w:spacing/>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List Table 7 Colorful - Accent 2"/>
    <w:basedOn w:val="759"/>
    <w:uiPriority w:val="99"/>
    <w:pPr>
      <w:pBdr/>
      <w:spacing/>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List Table 7 Colorful - Accent 3"/>
    <w:basedOn w:val="759"/>
    <w:uiPriority w:val="99"/>
    <w:pPr>
      <w:pBdr/>
      <w:spacing/>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List Table 7 Colorful - Accent 4"/>
    <w:basedOn w:val="759"/>
    <w:uiPriority w:val="99"/>
    <w:pPr>
      <w:pBdr/>
      <w:spacing/>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customStyle="1">
    <w:name w:val="List Table 7 Colorful - Accent 5"/>
    <w:basedOn w:val="759"/>
    <w:uiPriority w:val="99"/>
    <w:pPr>
      <w:pBdr/>
      <w:spacing/>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da9db" w:themeColor="accent5" w:themeTint="9A" w:sz="4" w:space="0"/>
          <w:right w:val="none" w:color="000000" w:sz="4"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4" w:space="0"/>
          <w:left w:val="single" w:color="8da9db" w:themeColor="accent5" w:themeTint="9A" w:sz="4" w:space="0"/>
          <w:bottom w:val="none" w:color="000000" w:sz="4" w:space="0"/>
          <w:right w:val="none" w:color="000000" w:sz="4"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List Table 7 Colorful - Accent 6"/>
    <w:basedOn w:val="759"/>
    <w:uiPriority w:val="99"/>
    <w:pPr>
      <w:pBdr/>
      <w:spacing/>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Lined - Accent"/>
    <w:basedOn w:val="75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customStyle="1">
    <w:name w:val="Lined - Accent 1"/>
    <w:basedOn w:val="75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Lined - Accent 2"/>
    <w:basedOn w:val="75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Lined - Accent 3"/>
    <w:basedOn w:val="75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Lined - Accent 4"/>
    <w:basedOn w:val="75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Lined - Accent 5"/>
    <w:basedOn w:val="75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Lined - Accent 6"/>
    <w:basedOn w:val="75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Bordered &amp; Lined - Accent"/>
    <w:basedOn w:val="759"/>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Bordered &amp; Lined - Accent 1"/>
    <w:basedOn w:val="759"/>
    <w:uiPriority w:val="99"/>
    <w:pPr>
      <w:pBdr/>
      <w:spacing/>
      <w:ind/>
    </w:pPr>
    <w:rPr>
      <w:color w:val="404040"/>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Bordered &amp; Lined - Accent 2"/>
    <w:basedOn w:val="759"/>
    <w:uiPriority w:val="99"/>
    <w:pPr>
      <w:pBdr/>
      <w:spacing/>
      <w:ind/>
    </w:pPr>
    <w:rPr>
      <w:color w:val="404040"/>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Bordered &amp; Lined - Accent 3"/>
    <w:basedOn w:val="759"/>
    <w:uiPriority w:val="99"/>
    <w:pPr>
      <w:pBdr/>
      <w:spacing/>
      <w:ind/>
    </w:pPr>
    <w:rPr>
      <w:color w:val="404040"/>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Bordered &amp; Lined - Accent 4"/>
    <w:basedOn w:val="759"/>
    <w:uiPriority w:val="99"/>
    <w:pPr>
      <w:pBdr/>
      <w:spacing/>
      <w:ind/>
    </w:pPr>
    <w:rPr>
      <w:color w:val="404040"/>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Bordered &amp; Lined - Accent 5"/>
    <w:basedOn w:val="759"/>
    <w:uiPriority w:val="99"/>
    <w:pPr>
      <w:pBdr/>
      <w:spacing/>
      <w:ind/>
    </w:pPr>
    <w:rPr>
      <w:color w:val="404040"/>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Bordered &amp; Lined - Accent 6"/>
    <w:basedOn w:val="759"/>
    <w:uiPriority w:val="99"/>
    <w:pPr>
      <w:pBdr/>
      <w:spacing/>
      <w:ind/>
    </w:pPr>
    <w:rPr>
      <w:color w:val="404040"/>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Bordered"/>
    <w:basedOn w:val="759"/>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Bordered - Accent 1"/>
    <w:basedOn w:val="759"/>
    <w:uiPriority w:val="99"/>
    <w:pPr>
      <w:pBdr/>
      <w:spacing/>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Bordered - Accent 2"/>
    <w:basedOn w:val="759"/>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Bordered - Accent 3"/>
    <w:basedOn w:val="759"/>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Bordered - Accent 4"/>
    <w:basedOn w:val="759"/>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Bordered - Accent 5"/>
    <w:basedOn w:val="759"/>
    <w:uiPriority w:val="99"/>
    <w:pPr>
      <w:pBdr/>
      <w:spacing/>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Bordered - Accent 6"/>
    <w:basedOn w:val="759"/>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86" w:customStyle="1">
    <w:name w:val="Heading 1 Char"/>
    <w:basedOn w:val="758"/>
    <w:link w:val="749"/>
    <w:uiPriority w:val="9"/>
    <w:pPr>
      <w:pBdr/>
      <w:spacing/>
      <w:ind/>
    </w:pPr>
    <w:rPr>
      <w:rFonts w:ascii="Arial" w:hAnsi="Arial" w:eastAsia="Arial" w:cs="Arial"/>
      <w:color w:val="2e74b5" w:themeColor="accent1" w:themeShade="BF"/>
      <w:sz w:val="40"/>
      <w:szCs w:val="40"/>
    </w:rPr>
  </w:style>
  <w:style w:type="character" w:styleId="887" w:customStyle="1">
    <w:name w:val="Heading 2 Char"/>
    <w:basedOn w:val="758"/>
    <w:link w:val="750"/>
    <w:uiPriority w:val="9"/>
    <w:pPr>
      <w:pBdr/>
      <w:spacing/>
      <w:ind/>
    </w:pPr>
    <w:rPr>
      <w:rFonts w:ascii="Arial" w:hAnsi="Arial" w:eastAsia="Arial" w:cs="Arial"/>
      <w:color w:val="2e74b5" w:themeColor="accent1" w:themeShade="BF"/>
      <w:sz w:val="32"/>
      <w:szCs w:val="32"/>
    </w:rPr>
  </w:style>
  <w:style w:type="character" w:styleId="888" w:customStyle="1">
    <w:name w:val="Heading 3 Char"/>
    <w:basedOn w:val="758"/>
    <w:link w:val="751"/>
    <w:uiPriority w:val="9"/>
    <w:pPr>
      <w:pBdr/>
      <w:spacing/>
      <w:ind/>
    </w:pPr>
    <w:rPr>
      <w:rFonts w:ascii="Arial" w:hAnsi="Arial" w:eastAsia="Arial" w:cs="Arial"/>
      <w:color w:val="2e74b5" w:themeColor="accent1" w:themeShade="BF"/>
      <w:sz w:val="28"/>
      <w:szCs w:val="28"/>
    </w:rPr>
  </w:style>
  <w:style w:type="character" w:styleId="889" w:customStyle="1">
    <w:name w:val="Heading 4 Char"/>
    <w:basedOn w:val="758"/>
    <w:link w:val="752"/>
    <w:uiPriority w:val="9"/>
    <w:pPr>
      <w:pBdr/>
      <w:spacing/>
      <w:ind/>
    </w:pPr>
    <w:rPr>
      <w:rFonts w:ascii="Arial" w:hAnsi="Arial" w:eastAsia="Arial" w:cs="Arial"/>
      <w:i/>
      <w:iCs/>
      <w:color w:val="2e74b5" w:themeColor="accent1" w:themeShade="BF"/>
    </w:rPr>
  </w:style>
  <w:style w:type="character" w:styleId="890" w:customStyle="1">
    <w:name w:val="Heading 5 Char"/>
    <w:basedOn w:val="758"/>
    <w:link w:val="753"/>
    <w:uiPriority w:val="9"/>
    <w:pPr>
      <w:pBdr/>
      <w:spacing/>
      <w:ind/>
    </w:pPr>
    <w:rPr>
      <w:rFonts w:ascii="Arial" w:hAnsi="Arial" w:eastAsia="Arial" w:cs="Arial"/>
      <w:color w:val="2e74b5" w:themeColor="accent1" w:themeShade="BF"/>
    </w:rPr>
  </w:style>
  <w:style w:type="character" w:styleId="891" w:customStyle="1">
    <w:name w:val="Heading 6 Char"/>
    <w:basedOn w:val="758"/>
    <w:link w:val="754"/>
    <w:uiPriority w:val="9"/>
    <w:pPr>
      <w:pBdr/>
      <w:spacing/>
      <w:ind/>
    </w:pPr>
    <w:rPr>
      <w:rFonts w:ascii="Arial" w:hAnsi="Arial" w:eastAsia="Arial" w:cs="Arial"/>
      <w:i/>
      <w:iCs/>
      <w:color w:val="595959" w:themeColor="text1" w:themeTint="A6"/>
    </w:rPr>
  </w:style>
  <w:style w:type="character" w:styleId="892" w:customStyle="1">
    <w:name w:val="Heading 7 Char"/>
    <w:basedOn w:val="758"/>
    <w:link w:val="755"/>
    <w:uiPriority w:val="9"/>
    <w:pPr>
      <w:pBdr/>
      <w:spacing/>
      <w:ind/>
    </w:pPr>
    <w:rPr>
      <w:rFonts w:ascii="Arial" w:hAnsi="Arial" w:eastAsia="Arial" w:cs="Arial"/>
      <w:color w:val="595959" w:themeColor="text1" w:themeTint="A6"/>
    </w:rPr>
  </w:style>
  <w:style w:type="character" w:styleId="893" w:customStyle="1">
    <w:name w:val="Heading 8 Char"/>
    <w:basedOn w:val="758"/>
    <w:link w:val="756"/>
    <w:uiPriority w:val="9"/>
    <w:pPr>
      <w:pBdr/>
      <w:spacing/>
      <w:ind/>
    </w:pPr>
    <w:rPr>
      <w:rFonts w:ascii="Arial" w:hAnsi="Arial" w:eastAsia="Arial" w:cs="Arial"/>
      <w:i/>
      <w:iCs/>
      <w:color w:val="272727" w:themeColor="text1" w:themeTint="D8"/>
    </w:rPr>
  </w:style>
  <w:style w:type="character" w:styleId="894" w:customStyle="1">
    <w:name w:val="Heading 9 Char"/>
    <w:basedOn w:val="758"/>
    <w:link w:val="757"/>
    <w:uiPriority w:val="9"/>
    <w:pPr>
      <w:pBdr/>
      <w:spacing/>
      <w:ind/>
    </w:pPr>
    <w:rPr>
      <w:rFonts w:ascii="Arial" w:hAnsi="Arial" w:eastAsia="Arial" w:cs="Arial"/>
      <w:i/>
      <w:iCs/>
      <w:color w:val="272727" w:themeColor="text1" w:themeTint="D8"/>
    </w:rPr>
  </w:style>
  <w:style w:type="paragraph" w:styleId="895">
    <w:name w:val="Title"/>
    <w:basedOn w:val="748"/>
    <w:next w:val="748"/>
    <w:link w:val="896"/>
    <w:uiPriority w:val="10"/>
    <w:qFormat/>
    <w:pPr>
      <w:pBdr/>
      <w:spacing w:after="80"/>
      <w:ind/>
      <w:contextualSpacing w:val="true"/>
    </w:pPr>
    <w:rPr>
      <w:rFonts w:ascii="Arial" w:hAnsi="Arial" w:eastAsia="Arial" w:cs="Arial"/>
      <w:spacing w:val="-10"/>
      <w:sz w:val="56"/>
      <w:szCs w:val="56"/>
    </w:rPr>
  </w:style>
  <w:style w:type="character" w:styleId="896" w:customStyle="1">
    <w:name w:val="Title Char"/>
    <w:basedOn w:val="758"/>
    <w:link w:val="895"/>
    <w:uiPriority w:val="10"/>
    <w:pPr>
      <w:pBdr/>
      <w:spacing/>
      <w:ind/>
    </w:pPr>
    <w:rPr>
      <w:rFonts w:ascii="Arial" w:hAnsi="Arial" w:eastAsia="Arial" w:cs="Arial"/>
      <w:spacing w:val="-10"/>
      <w:sz w:val="56"/>
      <w:szCs w:val="56"/>
    </w:rPr>
  </w:style>
  <w:style w:type="paragraph" w:styleId="897">
    <w:name w:val="Subtitle"/>
    <w:basedOn w:val="748"/>
    <w:next w:val="748"/>
    <w:link w:val="898"/>
    <w:uiPriority w:val="11"/>
    <w:qFormat/>
    <w:pPr>
      <w:numPr>
        <w:ilvl w:val="1"/>
      </w:numPr>
      <w:pBdr/>
      <w:spacing/>
      <w:ind/>
    </w:pPr>
    <w:rPr>
      <w:color w:val="595959" w:themeColor="text1" w:themeTint="A6"/>
      <w:spacing w:val="15"/>
      <w:sz w:val="28"/>
      <w:szCs w:val="28"/>
    </w:rPr>
  </w:style>
  <w:style w:type="character" w:styleId="898" w:customStyle="1">
    <w:name w:val="Subtitle Char"/>
    <w:basedOn w:val="758"/>
    <w:link w:val="897"/>
    <w:uiPriority w:val="11"/>
    <w:pPr>
      <w:pBdr/>
      <w:spacing/>
      <w:ind/>
    </w:pPr>
    <w:rPr>
      <w:color w:val="595959" w:themeColor="text1" w:themeTint="A6"/>
      <w:spacing w:val="15"/>
      <w:sz w:val="28"/>
      <w:szCs w:val="28"/>
    </w:rPr>
  </w:style>
  <w:style w:type="paragraph" w:styleId="899">
    <w:name w:val="Quote"/>
    <w:basedOn w:val="748"/>
    <w:next w:val="748"/>
    <w:link w:val="900"/>
    <w:uiPriority w:val="29"/>
    <w:qFormat/>
    <w:pPr>
      <w:pBdr/>
      <w:spacing w:before="160"/>
      <w:ind/>
      <w:jc w:val="center"/>
    </w:pPr>
    <w:rPr>
      <w:i/>
      <w:iCs/>
      <w:color w:val="404040" w:themeColor="text1" w:themeTint="BF"/>
    </w:rPr>
  </w:style>
  <w:style w:type="character" w:styleId="900" w:customStyle="1">
    <w:name w:val="Quote Char"/>
    <w:basedOn w:val="758"/>
    <w:link w:val="899"/>
    <w:uiPriority w:val="29"/>
    <w:pPr>
      <w:pBdr/>
      <w:spacing/>
      <w:ind/>
    </w:pPr>
    <w:rPr>
      <w:i/>
      <w:iCs/>
      <w:color w:val="404040" w:themeColor="text1" w:themeTint="BF"/>
    </w:rPr>
  </w:style>
  <w:style w:type="character" w:styleId="901">
    <w:name w:val="Intense Emphasis"/>
    <w:basedOn w:val="758"/>
    <w:uiPriority w:val="21"/>
    <w:qFormat/>
    <w:pPr>
      <w:pBdr/>
      <w:spacing/>
      <w:ind/>
    </w:pPr>
    <w:rPr>
      <w:i/>
      <w:iCs/>
      <w:color w:val="2e74b5" w:themeColor="accent1" w:themeShade="BF"/>
    </w:rPr>
  </w:style>
  <w:style w:type="paragraph" w:styleId="902">
    <w:name w:val="Intense Quote"/>
    <w:basedOn w:val="748"/>
    <w:next w:val="748"/>
    <w:link w:val="903"/>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903" w:customStyle="1">
    <w:name w:val="Intense Quote Char"/>
    <w:basedOn w:val="758"/>
    <w:link w:val="902"/>
    <w:uiPriority w:val="30"/>
    <w:pPr>
      <w:pBdr/>
      <w:spacing/>
      <w:ind/>
    </w:pPr>
    <w:rPr>
      <w:i/>
      <w:iCs/>
      <w:color w:val="2e74b5" w:themeColor="accent1" w:themeShade="BF"/>
    </w:rPr>
  </w:style>
  <w:style w:type="character" w:styleId="904">
    <w:name w:val="Intense Reference"/>
    <w:basedOn w:val="758"/>
    <w:uiPriority w:val="32"/>
    <w:qFormat/>
    <w:pPr>
      <w:pBdr/>
      <w:spacing/>
      <w:ind/>
    </w:pPr>
    <w:rPr>
      <w:b/>
      <w:bCs/>
      <w:smallCaps/>
      <w:color w:val="2e74b5" w:themeColor="accent1" w:themeShade="BF"/>
      <w:spacing w:val="5"/>
    </w:rPr>
  </w:style>
  <w:style w:type="paragraph" w:styleId="905">
    <w:name w:val="No Spacing"/>
    <w:basedOn w:val="748"/>
    <w:uiPriority w:val="1"/>
    <w:qFormat/>
    <w:pPr>
      <w:pBdr/>
      <w:spacing/>
      <w:ind/>
    </w:pPr>
  </w:style>
  <w:style w:type="character" w:styleId="906">
    <w:name w:val="Subtle Emphasis"/>
    <w:basedOn w:val="758"/>
    <w:uiPriority w:val="19"/>
    <w:qFormat/>
    <w:pPr>
      <w:pBdr/>
      <w:spacing/>
      <w:ind/>
    </w:pPr>
    <w:rPr>
      <w:i/>
      <w:iCs/>
      <w:color w:val="404040" w:themeColor="text1" w:themeTint="BF"/>
    </w:rPr>
  </w:style>
  <w:style w:type="character" w:styleId="907">
    <w:name w:val="Emphasis"/>
    <w:basedOn w:val="758"/>
    <w:uiPriority w:val="20"/>
    <w:qFormat/>
    <w:pPr>
      <w:pBdr/>
      <w:spacing/>
      <w:ind/>
    </w:pPr>
    <w:rPr>
      <w:i/>
      <w:iCs/>
    </w:rPr>
  </w:style>
  <w:style w:type="character" w:styleId="908">
    <w:name w:val="Strong"/>
    <w:basedOn w:val="758"/>
    <w:uiPriority w:val="22"/>
    <w:qFormat/>
    <w:pPr>
      <w:pBdr/>
      <w:spacing/>
      <w:ind/>
    </w:pPr>
    <w:rPr>
      <w:b/>
      <w:bCs/>
    </w:rPr>
  </w:style>
  <w:style w:type="character" w:styleId="909">
    <w:name w:val="Subtle Reference"/>
    <w:basedOn w:val="758"/>
    <w:uiPriority w:val="31"/>
    <w:qFormat/>
    <w:pPr>
      <w:pBdr/>
      <w:spacing/>
      <w:ind/>
    </w:pPr>
    <w:rPr>
      <w:smallCaps/>
      <w:color w:val="5a5a5a" w:themeColor="text1" w:themeTint="A5"/>
    </w:rPr>
  </w:style>
  <w:style w:type="character" w:styleId="910">
    <w:name w:val="Book Title"/>
    <w:basedOn w:val="758"/>
    <w:uiPriority w:val="33"/>
    <w:qFormat/>
    <w:pPr>
      <w:pBdr/>
      <w:spacing/>
      <w:ind/>
    </w:pPr>
    <w:rPr>
      <w:b/>
      <w:bCs/>
      <w:i/>
      <w:iCs/>
      <w:spacing w:val="5"/>
    </w:rPr>
  </w:style>
  <w:style w:type="character" w:styleId="911" w:customStyle="1">
    <w:name w:val="Footer Char"/>
    <w:basedOn w:val="758"/>
    <w:link w:val="936"/>
    <w:uiPriority w:val="99"/>
    <w:pPr>
      <w:pBdr/>
      <w:spacing/>
      <w:ind/>
    </w:pPr>
  </w:style>
  <w:style w:type="paragraph" w:styleId="912">
    <w:name w:val="Caption"/>
    <w:basedOn w:val="748"/>
    <w:next w:val="748"/>
    <w:uiPriority w:val="35"/>
    <w:unhideWhenUsed/>
    <w:qFormat/>
    <w:pPr>
      <w:pBdr/>
      <w:spacing w:after="200"/>
      <w:ind/>
    </w:pPr>
    <w:rPr>
      <w:i/>
      <w:iCs/>
      <w:color w:val="44546a" w:themeColor="text2"/>
      <w:sz w:val="18"/>
      <w:szCs w:val="18"/>
    </w:rPr>
  </w:style>
  <w:style w:type="paragraph" w:styleId="913">
    <w:name w:val="footnote text"/>
    <w:basedOn w:val="748"/>
    <w:link w:val="914"/>
    <w:uiPriority w:val="99"/>
    <w:semiHidden/>
    <w:unhideWhenUsed/>
    <w:pPr>
      <w:pBdr/>
      <w:spacing/>
      <w:ind/>
    </w:pPr>
    <w:rPr>
      <w:sz w:val="20"/>
      <w:szCs w:val="20"/>
    </w:rPr>
  </w:style>
  <w:style w:type="character" w:styleId="914" w:customStyle="1">
    <w:name w:val="Footnote Text Char"/>
    <w:basedOn w:val="758"/>
    <w:link w:val="913"/>
    <w:uiPriority w:val="99"/>
    <w:semiHidden/>
    <w:pPr>
      <w:pBdr/>
      <w:spacing/>
      <w:ind/>
    </w:pPr>
    <w:rPr>
      <w:sz w:val="20"/>
      <w:szCs w:val="20"/>
    </w:rPr>
  </w:style>
  <w:style w:type="character" w:styleId="915">
    <w:name w:val="footnote reference"/>
    <w:basedOn w:val="758"/>
    <w:uiPriority w:val="99"/>
    <w:semiHidden/>
    <w:unhideWhenUsed/>
    <w:pPr>
      <w:pBdr/>
      <w:spacing/>
      <w:ind/>
    </w:pPr>
    <w:rPr>
      <w:vertAlign w:val="superscript"/>
    </w:rPr>
  </w:style>
  <w:style w:type="paragraph" w:styleId="916">
    <w:name w:val="endnote text"/>
    <w:basedOn w:val="748"/>
    <w:link w:val="917"/>
    <w:uiPriority w:val="99"/>
    <w:semiHidden/>
    <w:unhideWhenUsed/>
    <w:pPr>
      <w:pBdr/>
      <w:spacing/>
      <w:ind/>
    </w:pPr>
    <w:rPr>
      <w:sz w:val="20"/>
      <w:szCs w:val="20"/>
    </w:rPr>
  </w:style>
  <w:style w:type="character" w:styleId="917" w:customStyle="1">
    <w:name w:val="Endnote Text Char"/>
    <w:basedOn w:val="758"/>
    <w:link w:val="916"/>
    <w:uiPriority w:val="99"/>
    <w:semiHidden/>
    <w:pPr>
      <w:pBdr/>
      <w:spacing/>
      <w:ind/>
    </w:pPr>
    <w:rPr>
      <w:sz w:val="20"/>
      <w:szCs w:val="20"/>
    </w:rPr>
  </w:style>
  <w:style w:type="character" w:styleId="918">
    <w:name w:val="endnote reference"/>
    <w:basedOn w:val="758"/>
    <w:uiPriority w:val="99"/>
    <w:semiHidden/>
    <w:unhideWhenUsed/>
    <w:pPr>
      <w:pBdr/>
      <w:spacing/>
      <w:ind/>
    </w:pPr>
    <w:rPr>
      <w:vertAlign w:val="superscript"/>
    </w:rPr>
  </w:style>
  <w:style w:type="character" w:styleId="919">
    <w:name w:val="FollowedHyperlink"/>
    <w:basedOn w:val="758"/>
    <w:uiPriority w:val="99"/>
    <w:semiHidden/>
    <w:unhideWhenUsed/>
    <w:pPr>
      <w:pBdr/>
      <w:spacing/>
      <w:ind/>
    </w:pPr>
    <w:rPr>
      <w:color w:val="954f72" w:themeColor="followedHyperlink"/>
      <w:u w:val="single"/>
    </w:rPr>
  </w:style>
  <w:style w:type="paragraph" w:styleId="920">
    <w:name w:val="toc 1"/>
    <w:basedOn w:val="748"/>
    <w:next w:val="748"/>
    <w:uiPriority w:val="39"/>
    <w:unhideWhenUsed/>
    <w:pPr>
      <w:pBdr/>
      <w:spacing w:after="100"/>
      <w:ind/>
    </w:pPr>
  </w:style>
  <w:style w:type="paragraph" w:styleId="921">
    <w:name w:val="toc 2"/>
    <w:basedOn w:val="748"/>
    <w:next w:val="748"/>
    <w:uiPriority w:val="39"/>
    <w:unhideWhenUsed/>
    <w:pPr>
      <w:pBdr/>
      <w:spacing w:after="100"/>
      <w:ind w:left="220"/>
    </w:pPr>
  </w:style>
  <w:style w:type="paragraph" w:styleId="922">
    <w:name w:val="toc 3"/>
    <w:basedOn w:val="748"/>
    <w:next w:val="748"/>
    <w:uiPriority w:val="39"/>
    <w:unhideWhenUsed/>
    <w:pPr>
      <w:pBdr/>
      <w:spacing w:after="100"/>
      <w:ind w:left="440"/>
    </w:pPr>
  </w:style>
  <w:style w:type="paragraph" w:styleId="923">
    <w:name w:val="toc 4"/>
    <w:basedOn w:val="748"/>
    <w:next w:val="748"/>
    <w:uiPriority w:val="39"/>
    <w:unhideWhenUsed/>
    <w:pPr>
      <w:pBdr/>
      <w:spacing w:after="100"/>
      <w:ind w:left="660"/>
    </w:pPr>
  </w:style>
  <w:style w:type="paragraph" w:styleId="924">
    <w:name w:val="toc 5"/>
    <w:basedOn w:val="748"/>
    <w:next w:val="748"/>
    <w:uiPriority w:val="39"/>
    <w:unhideWhenUsed/>
    <w:pPr>
      <w:pBdr/>
      <w:spacing w:after="100"/>
      <w:ind w:left="880"/>
    </w:pPr>
  </w:style>
  <w:style w:type="paragraph" w:styleId="925">
    <w:name w:val="toc 6"/>
    <w:basedOn w:val="748"/>
    <w:next w:val="748"/>
    <w:uiPriority w:val="39"/>
    <w:unhideWhenUsed/>
    <w:pPr>
      <w:pBdr/>
      <w:spacing w:after="100"/>
      <w:ind w:left="1100"/>
    </w:pPr>
  </w:style>
  <w:style w:type="paragraph" w:styleId="926">
    <w:name w:val="toc 7"/>
    <w:basedOn w:val="748"/>
    <w:next w:val="748"/>
    <w:uiPriority w:val="39"/>
    <w:unhideWhenUsed/>
    <w:pPr>
      <w:pBdr/>
      <w:spacing w:after="100"/>
      <w:ind w:left="1320"/>
    </w:pPr>
  </w:style>
  <w:style w:type="paragraph" w:styleId="927">
    <w:name w:val="toc 8"/>
    <w:basedOn w:val="748"/>
    <w:next w:val="748"/>
    <w:uiPriority w:val="39"/>
    <w:unhideWhenUsed/>
    <w:pPr>
      <w:pBdr/>
      <w:spacing w:after="100"/>
      <w:ind w:left="1540"/>
    </w:pPr>
  </w:style>
  <w:style w:type="paragraph" w:styleId="928">
    <w:name w:val="toc 9"/>
    <w:basedOn w:val="748"/>
    <w:next w:val="748"/>
    <w:uiPriority w:val="39"/>
    <w:unhideWhenUsed/>
    <w:pPr>
      <w:pBdr/>
      <w:spacing w:after="100"/>
      <w:ind w:left="1760"/>
    </w:pPr>
  </w:style>
  <w:style w:type="character" w:styleId="929">
    <w:name w:val="Placeholder Text"/>
    <w:basedOn w:val="758"/>
    <w:uiPriority w:val="99"/>
    <w:semiHidden/>
    <w:pPr>
      <w:pBdr/>
      <w:spacing/>
      <w:ind/>
    </w:pPr>
    <w:rPr>
      <w:color w:val="666666"/>
    </w:rPr>
  </w:style>
  <w:style w:type="paragraph" w:styleId="930">
    <w:name w:val="TOC Heading"/>
    <w:uiPriority w:val="39"/>
    <w:unhideWhenUsed/>
    <w:pPr>
      <w:pBdr/>
      <w:spacing/>
      <w:ind/>
    </w:pPr>
  </w:style>
  <w:style w:type="paragraph" w:styleId="931">
    <w:name w:val="table of figures"/>
    <w:basedOn w:val="748"/>
    <w:next w:val="748"/>
    <w:uiPriority w:val="99"/>
    <w:unhideWhenUsed/>
    <w:pPr>
      <w:pBdr/>
      <w:spacing/>
      <w:ind/>
    </w:pPr>
  </w:style>
  <w:style w:type="paragraph" w:styleId="932">
    <w:name w:val="Body Text"/>
    <w:basedOn w:val="748"/>
    <w:link w:val="939"/>
    <w:pPr>
      <w:pBdr/>
      <w:spacing/>
      <w:ind/>
      <w:jc w:val="both"/>
    </w:pPr>
    <w:rPr>
      <w:sz w:val="28"/>
    </w:rPr>
  </w:style>
  <w:style w:type="paragraph" w:styleId="933">
    <w:name w:val="Body Text 2"/>
    <w:basedOn w:val="748"/>
    <w:pPr>
      <w:pBdr/>
      <w:spacing/>
      <w:ind/>
      <w:jc w:val="center"/>
    </w:pPr>
    <w:rPr>
      <w:rFonts w:ascii=".VnTime" w:hAnsi=".VnTime"/>
      <w:color w:val="000000"/>
      <w:sz w:val="28"/>
      <w:szCs w:val="20"/>
    </w:rPr>
  </w:style>
  <w:style w:type="table" w:styleId="934">
    <w:name w:val="Table Grid"/>
    <w:basedOn w:val="7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5" w:customStyle="1">
    <w:name w:val="Char"/>
    <w:pPr>
      <w:pBdr/>
      <w:tabs>
        <w:tab w:val="left" w:leader="none" w:pos="1152"/>
      </w:tabs>
      <w:spacing w:after="120" w:before="120" w:line="312" w:lineRule="auto"/>
      <w:ind/>
    </w:pPr>
    <w:rPr>
      <w:rFonts w:ascii="Arial" w:hAnsi="Arial" w:cs="Arial"/>
      <w:sz w:val="26"/>
      <w:szCs w:val="26"/>
    </w:rPr>
  </w:style>
  <w:style w:type="paragraph" w:styleId="936">
    <w:name w:val="Footer"/>
    <w:basedOn w:val="748"/>
    <w:link w:val="911"/>
    <w:pPr>
      <w:pBdr/>
      <w:tabs>
        <w:tab w:val="center" w:leader="none" w:pos="4320"/>
        <w:tab w:val="right" w:leader="none" w:pos="8640"/>
      </w:tabs>
      <w:spacing/>
      <w:ind/>
    </w:pPr>
  </w:style>
  <w:style w:type="character" w:styleId="937">
    <w:name w:val="page number"/>
    <w:basedOn w:val="758"/>
    <w:pPr>
      <w:pBdr/>
      <w:spacing/>
      <w:ind/>
    </w:pPr>
  </w:style>
  <w:style w:type="paragraph" w:styleId="938">
    <w:name w:val="Header"/>
    <w:basedOn w:val="748"/>
    <w:link w:val="940"/>
    <w:uiPriority w:val="99"/>
    <w:pPr>
      <w:pBdr/>
      <w:tabs>
        <w:tab w:val="center" w:leader="none" w:pos="4320"/>
        <w:tab w:val="right" w:leader="none" w:pos="8640"/>
      </w:tabs>
      <w:spacing/>
      <w:ind/>
    </w:pPr>
  </w:style>
  <w:style w:type="character" w:styleId="939" w:customStyle="1">
    <w:name w:val="Body Text Char"/>
    <w:link w:val="932"/>
    <w:pPr>
      <w:pBdr/>
      <w:spacing/>
      <w:ind/>
    </w:pPr>
    <w:rPr>
      <w:sz w:val="28"/>
      <w:szCs w:val="24"/>
    </w:rPr>
  </w:style>
  <w:style w:type="character" w:styleId="940" w:customStyle="1">
    <w:name w:val="Header Char"/>
    <w:link w:val="938"/>
    <w:uiPriority w:val="99"/>
    <w:pPr>
      <w:pBdr/>
      <w:spacing/>
      <w:ind/>
    </w:pPr>
    <w:rPr>
      <w:sz w:val="24"/>
      <w:szCs w:val="24"/>
    </w:rPr>
  </w:style>
  <w:style w:type="paragraph" w:styleId="941">
    <w:name w:val="Balloon Text"/>
    <w:basedOn w:val="748"/>
    <w:link w:val="942"/>
    <w:pPr>
      <w:pBdr/>
      <w:spacing/>
      <w:ind/>
    </w:pPr>
    <w:rPr>
      <w:rFonts w:ascii="Segoe UI" w:hAnsi="Segoe UI" w:cs="Segoe UI"/>
      <w:sz w:val="18"/>
      <w:szCs w:val="18"/>
    </w:rPr>
  </w:style>
  <w:style w:type="character" w:styleId="942" w:customStyle="1">
    <w:name w:val="Balloon Text Char"/>
    <w:link w:val="941"/>
    <w:pPr>
      <w:pBdr/>
      <w:spacing/>
      <w:ind/>
    </w:pPr>
    <w:rPr>
      <w:rFonts w:ascii="Segoe UI" w:hAnsi="Segoe UI" w:cs="Segoe UI"/>
      <w:sz w:val="18"/>
      <w:szCs w:val="18"/>
    </w:rPr>
  </w:style>
  <w:style w:type="character" w:styleId="943">
    <w:name w:val="Hyperlink"/>
    <w:uiPriority w:val="99"/>
    <w:unhideWhenUsed/>
    <w:pPr>
      <w:pBdr/>
      <w:spacing/>
      <w:ind/>
    </w:pPr>
    <w:rPr>
      <w:color w:val="0000ff"/>
      <w:u w:val="single"/>
    </w:rPr>
  </w:style>
  <w:style w:type="paragraph" w:styleId="944">
    <w:name w:val="List Paragraph"/>
    <w:basedOn w:val="748"/>
    <w:uiPriority w:val="34"/>
    <w:qFormat/>
    <w:pPr>
      <w:pBdr/>
      <w:spacing/>
      <w:ind w:left="720"/>
      <w:contextualSpacing w:val="true"/>
    </w:pPr>
  </w:style>
  <w:style w:type="paragraph" w:styleId="945" w:customStyle="1">
    <w:name w:val="Char"/>
    <w:basedOn w:val="748"/>
    <w:pPr>
      <w:pBdr/>
      <w:spacing w:after="160" w:line="240" w:lineRule="exact"/>
      <w:ind/>
    </w:pPr>
    <w:rPr>
      <w:rFonts w:ascii="Verdana" w:hAnsi="Verdana" w:cs="Verdana"/>
      <w:sz w:val="20"/>
      <w:szCs w:val="20"/>
    </w:rPr>
  </w:style>
  <w:style w:type="paragraph" w:styleId="946">
    <w:name w:val="Normal (Web)"/>
    <w:basedOn w:val="748"/>
    <w:uiPriority w:val="99"/>
    <w:unhideWhenUsed/>
    <w:pPr>
      <w:pBdr/>
      <w:spacing w:after="100" w:afterAutospacing="1" w:before="100" w:beforeAutospacing="1"/>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6725C3-6FE3-4849-940D-2F9C1D30EF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onlyoffice/9.0.0.168</Application>
  <DocSecurity>0</DocSecurity>
  <ScaleCrop>0</ScaleCrop>
  <HeadingPairs>
    <vt:vector size="0" baseType="variant"/>
  </HeadingPairs>
  <TitlesOfParts>
    <vt:vector size="0" baseType="lpstr"/>
  </TitlesOfParts>
  <Company>stckhh</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nkngan</dc:creator>
  <cp:lastModifiedBy> nphuy*504008cf-63c6-4fa8-8794-fbdef00fbd85</cp:lastModifiedBy>
  <cp:revision>3</cp:revision>
  <dcterms:created xsi:type="dcterms:W3CDTF">2026-07-16T04:25:00Z</dcterms:created>
  <dcterms:modified xsi:type="dcterms:W3CDTF">2026-07-16T07:18:48Z</dcterms:modified>
</cp:coreProperties>
</file>