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20"/>
        <w:gridCol w:w="5956"/>
      </w:tblGrid>
      <w:tr w:rsidR="00580215" w:rsidTr="00580215">
        <w:tc>
          <w:tcPr>
            <w:tcW w:w="3348" w:type="dxa"/>
            <w:hideMark/>
          </w:tcPr>
          <w:p w:rsidR="00580215" w:rsidRDefault="00580215">
            <w:pPr>
              <w:spacing w:before="120"/>
              <w:jc w:val="center"/>
              <w:rPr>
                <w:rFonts w:ascii="Arial" w:hAnsi="Arial" w:cs="Arial"/>
                <w:b/>
                <w:sz w:val="20"/>
                <w:szCs w:val="20"/>
              </w:rPr>
            </w:pPr>
            <w:r>
              <w:rPr>
                <w:rFonts w:ascii="Arial" w:hAnsi="Arial" w:cs="Arial"/>
                <w:b/>
                <w:bCs/>
                <w:sz w:val="20"/>
                <w:szCs w:val="26"/>
              </w:rPr>
              <w:t xml:space="preserve">ỦY BAN NHÂN DÂN </w:t>
            </w:r>
            <w:r>
              <w:rPr>
                <w:rFonts w:ascii="Arial" w:hAnsi="Arial" w:cs="Arial"/>
                <w:b/>
                <w:bCs/>
                <w:sz w:val="20"/>
                <w:szCs w:val="26"/>
              </w:rPr>
              <w:br/>
              <w:t>TỈNH BÌNH PHƯỚC</w:t>
            </w:r>
            <w:r>
              <w:rPr>
                <w:rFonts w:ascii="Arial" w:hAnsi="Arial" w:cs="Arial"/>
                <w:b/>
                <w:sz w:val="20"/>
                <w:szCs w:val="20"/>
              </w:rPr>
              <w:br/>
              <w:t>-------</w:t>
            </w:r>
          </w:p>
        </w:tc>
        <w:tc>
          <w:tcPr>
            <w:tcW w:w="5508" w:type="dxa"/>
            <w:hideMark/>
          </w:tcPr>
          <w:p w:rsidR="00580215" w:rsidRDefault="00580215">
            <w:pPr>
              <w:spacing w:before="120"/>
              <w:jc w:val="center"/>
              <w:rPr>
                <w:rFonts w:ascii="Arial" w:hAnsi="Arial" w:cs="Arial"/>
                <w:sz w:val="20"/>
                <w:szCs w:val="20"/>
              </w:rPr>
            </w:pPr>
            <w:r>
              <w:rPr>
                <w:rFonts w:ascii="Arial" w:hAnsi="Arial" w:cs="Arial"/>
                <w:b/>
                <w:sz w:val="20"/>
                <w:szCs w:val="20"/>
              </w:rPr>
              <w:t>CỘNG HÒA XÃ HỘI CHỦ NGHĨA VIỆT NAM</w:t>
            </w:r>
            <w:r>
              <w:rPr>
                <w:rFonts w:ascii="Arial" w:hAnsi="Arial" w:cs="Arial"/>
                <w:b/>
                <w:sz w:val="20"/>
                <w:szCs w:val="20"/>
              </w:rPr>
              <w:br/>
              <w:t xml:space="preserve">Độc lập - Tự do - Hạnh phúc </w:t>
            </w:r>
            <w:r>
              <w:rPr>
                <w:rFonts w:ascii="Arial" w:hAnsi="Arial" w:cs="Arial"/>
                <w:b/>
                <w:sz w:val="20"/>
                <w:szCs w:val="20"/>
              </w:rPr>
              <w:br/>
              <w:t>---------------</w:t>
            </w:r>
          </w:p>
        </w:tc>
      </w:tr>
      <w:tr w:rsidR="00580215" w:rsidTr="00580215">
        <w:tc>
          <w:tcPr>
            <w:tcW w:w="3348" w:type="dxa"/>
            <w:hideMark/>
          </w:tcPr>
          <w:p w:rsidR="00580215" w:rsidRDefault="00580215">
            <w:pPr>
              <w:spacing w:before="120"/>
              <w:jc w:val="center"/>
              <w:rPr>
                <w:rFonts w:ascii="Arial" w:hAnsi="Arial" w:cs="Arial"/>
                <w:sz w:val="20"/>
                <w:szCs w:val="20"/>
              </w:rPr>
            </w:pPr>
            <w:r>
              <w:rPr>
                <w:rFonts w:ascii="Arial" w:hAnsi="Arial" w:cs="Arial"/>
                <w:sz w:val="20"/>
                <w:szCs w:val="20"/>
              </w:rPr>
              <w:t xml:space="preserve">Số: </w:t>
            </w:r>
            <w:r>
              <w:rPr>
                <w:rFonts w:ascii="Arial" w:hAnsi="Arial" w:cs="Arial"/>
                <w:sz w:val="20"/>
                <w:szCs w:val="26"/>
              </w:rPr>
              <w:t xml:space="preserve">47/2024/QĐ-UBND </w:t>
            </w:r>
          </w:p>
        </w:tc>
        <w:tc>
          <w:tcPr>
            <w:tcW w:w="5508" w:type="dxa"/>
            <w:hideMark/>
          </w:tcPr>
          <w:p w:rsidR="00580215" w:rsidRDefault="00580215">
            <w:pPr>
              <w:spacing w:before="120"/>
              <w:jc w:val="right"/>
              <w:rPr>
                <w:rFonts w:ascii="Arial" w:hAnsi="Arial" w:cs="Arial"/>
                <w:i/>
                <w:sz w:val="20"/>
                <w:szCs w:val="20"/>
              </w:rPr>
            </w:pPr>
            <w:r>
              <w:rPr>
                <w:rFonts w:ascii="Arial" w:hAnsi="Arial" w:cs="Arial"/>
                <w:i/>
                <w:iCs/>
                <w:sz w:val="20"/>
                <w:szCs w:val="26"/>
              </w:rPr>
              <w:t>Bình Phước, ngày 18 tháng 12 năm 2024</w:t>
            </w:r>
            <w:r>
              <w:rPr>
                <w:rFonts w:ascii="Arial" w:hAnsi="Arial" w:cs="Arial"/>
                <w:i/>
                <w:sz w:val="20"/>
                <w:szCs w:val="20"/>
              </w:rPr>
              <w:t xml:space="preserve"> </w:t>
            </w:r>
          </w:p>
        </w:tc>
      </w:tr>
    </w:tbl>
    <w:p w:rsidR="00580215" w:rsidRDefault="00580215" w:rsidP="00580215">
      <w:pPr>
        <w:widowControl w:val="0"/>
        <w:autoSpaceDE w:val="0"/>
        <w:autoSpaceDN w:val="0"/>
        <w:adjustRightInd w:val="0"/>
        <w:spacing w:before="120"/>
        <w:rPr>
          <w:rFonts w:ascii="Arial" w:hAnsi="Arial" w:cs="Arial"/>
          <w:b/>
          <w:bCs/>
          <w:sz w:val="20"/>
          <w:szCs w:val="26"/>
        </w:rPr>
      </w:pPr>
    </w:p>
    <w:p w:rsidR="00580215" w:rsidRDefault="00580215" w:rsidP="00580215">
      <w:pPr>
        <w:widowControl w:val="0"/>
        <w:autoSpaceDE w:val="0"/>
        <w:autoSpaceDN w:val="0"/>
        <w:adjustRightInd w:val="0"/>
        <w:spacing w:before="120"/>
        <w:jc w:val="center"/>
        <w:rPr>
          <w:rFonts w:ascii="Arial" w:hAnsi="Arial" w:cs="Arial"/>
          <w:b/>
          <w:szCs w:val="28"/>
        </w:rPr>
      </w:pPr>
      <w:r>
        <w:rPr>
          <w:rFonts w:ascii="Arial" w:hAnsi="Arial" w:cs="Arial"/>
          <w:b/>
          <w:bCs/>
          <w:szCs w:val="28"/>
        </w:rPr>
        <w:t>QUYẾT ĐỊNH</w:t>
      </w:r>
    </w:p>
    <w:p w:rsidR="00580215" w:rsidRDefault="00580215" w:rsidP="00580215">
      <w:pPr>
        <w:widowControl w:val="0"/>
        <w:autoSpaceDE w:val="0"/>
        <w:autoSpaceDN w:val="0"/>
        <w:adjustRightInd w:val="0"/>
        <w:spacing w:before="120"/>
        <w:jc w:val="center"/>
        <w:rPr>
          <w:rFonts w:ascii="Arial" w:hAnsi="Arial" w:cs="Arial"/>
          <w:sz w:val="20"/>
          <w:szCs w:val="28"/>
        </w:rPr>
      </w:pPr>
      <w:r>
        <w:rPr>
          <w:rFonts w:ascii="Arial" w:hAnsi="Arial" w:cs="Arial"/>
          <w:bCs/>
          <w:sz w:val="20"/>
          <w:szCs w:val="28"/>
        </w:rPr>
        <w:t>QUY ĐỊNH ĐỊNH MỨC KINH TẾ - KỸ THUẬT DỊCH VỤ SỰ NGHIỆP CÔNG SỬ DỤNG NGÂN SÁCH NHÀ NƯỚC THUỘC LĨNH VỰC KHOA HỌC VÀ CÔNG NGHỆ TRÊN ĐỊA BÀN TỈNH BÌNH PHƯỚC</w:t>
      </w:r>
    </w:p>
    <w:p w:rsidR="00580215" w:rsidRDefault="00580215" w:rsidP="00580215">
      <w:pPr>
        <w:widowControl w:val="0"/>
        <w:autoSpaceDE w:val="0"/>
        <w:autoSpaceDN w:val="0"/>
        <w:adjustRightInd w:val="0"/>
        <w:spacing w:before="120"/>
        <w:jc w:val="center"/>
        <w:rPr>
          <w:rFonts w:ascii="Arial" w:hAnsi="Arial" w:cs="Arial"/>
          <w:b/>
          <w:szCs w:val="28"/>
        </w:rPr>
      </w:pPr>
      <w:r>
        <w:rPr>
          <w:rFonts w:ascii="Arial" w:hAnsi="Arial" w:cs="Arial"/>
          <w:b/>
          <w:bCs/>
          <w:szCs w:val="28"/>
        </w:rPr>
        <w:t>ỦY BAN NHÂN DÂN TỈNH BÌNH PHƯỚC</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Luật Tổ chức chính quyền địa phương ngày 19 tháng 6 năm 2015;</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Luật sửa đổi, bổ sung một số điều của Luật Tổ chức Chính phủ và Luật Tổ chức chính quyền địa phương ngày 22 tháng 11 năm 2019;</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Luật Ban hành văn bản quy phạm pháp luật ngày 22 tháng 6 năm 2015;</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Luật sửa đổi, bổ sung một số điều của Luật Ban hành văn bản quy phạm pháp luật ngày 18 tháng 6 năm 2020;</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Nghị định số 60/2021/NĐ-CP ngày 21 tháng 6 năm 2021 của Chính phủ quy định cơ chế tự chủ tài chính của đơn vị sự nghiệp công lập;</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Thông tư số 06/2022/TT-BKHCN ngày 31 tháng 5 năm 2022 của Bộ trưởng Bộ Khoa học và Công nghệ ban hành định mức kinh tế - kỹ thuật các dịch vụ công sử dụng ngân sách nhà nước trong lĩnh vực thông tin, thống kê, thư viện khoa học và công nghệ;</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Thông tư số 07/2022/TT-BKHCN ngày 31 tháng 5 năm 2022 của Bộ trưởng Bộ Khoa học và Công nghệ về Quy định định mức kinh tế - kỹ thuật dịch vụ sự nghiệp công sử dụng ngân sách nhà nước về tư vấn xây dựng, áp dụng Hệ thống quản lý chất lượng theo Tiêu chuẩn quốc gia TCVN ISO 9001:2015 vào hoạt động của các cơ quan, tổ chức thuộc hệ thống hành chính nhà nước;</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Thông tư số 08/2022/TT-BKHCN ngày 06 tháng 6 năm 2022 của Bộ trưởng Bộ Khoa học và Công nghệ về Quy định một số định mức kinh tế - kỹ thuật dịch vụ sự nghiệp công sử dụng ngân sách nhà nước về ứng phó và xử lý sự cố bức xạ, sự cố hạt nhân; đo liều chiếu xạ cá nhân; kiểm định, hiệu chuẩn thiết bị ghi đo bức xạ;</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Thông tư số 21/2023/TT-BKHCN ngày 21 tháng 11 năm 2023 của Bộ trưởng Bộ Khoa học và Công nghệ ban hành định mức kinh tế - kỹ thuật các dịch vụ sự nghiệp công sử dụng ngân sách nhà nước đối với dịch vụ đánh giá trình độ và năng lực công nghệ; dịch vụ hỗ trợ xây dựng lộ trình đổi mới công nghệ; dịch vụ hỗ trợ đổi mới công nghệ; dịch vụ hỗ trợ chuyển giao công nghệ;</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Căn cứ Nghị quyết số 27/2023/NQ-HĐND ngày 08 tháng 12 năm 2023 của Hội đồng nhân dân tỉnh Bình Phước về việc bổ sung các danh mục sự nghiệp công sử dụng ngân sách Nhà nước kèm theo Nghị quyết 08/2022/NQ-HĐND ngày 12/7/2022 của Hội đồng nhân dân tỉnh Bình Phước;</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i/>
          <w:iCs/>
          <w:sz w:val="20"/>
          <w:szCs w:val="28"/>
        </w:rPr>
        <w:t xml:space="preserve">Theo đề nghị của Giám đốc Sở Khoa học và Công nghệ tại Tờ trình số 2478/TTr-SKHCN ngày 17 tháng 11 năm 2024. </w:t>
      </w:r>
    </w:p>
    <w:p w:rsidR="00580215" w:rsidRDefault="00580215" w:rsidP="00580215">
      <w:pPr>
        <w:widowControl w:val="0"/>
        <w:autoSpaceDE w:val="0"/>
        <w:autoSpaceDN w:val="0"/>
        <w:adjustRightInd w:val="0"/>
        <w:spacing w:before="120"/>
        <w:jc w:val="center"/>
        <w:rPr>
          <w:rFonts w:ascii="Arial" w:hAnsi="Arial" w:cs="Arial"/>
          <w:b/>
          <w:bCs/>
          <w:szCs w:val="28"/>
        </w:rPr>
      </w:pPr>
      <w:r>
        <w:rPr>
          <w:rFonts w:ascii="Arial" w:hAnsi="Arial" w:cs="Arial"/>
          <w:b/>
          <w:bCs/>
          <w:szCs w:val="28"/>
        </w:rPr>
        <w:t xml:space="preserve">QUYẾT ĐỊNH: </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b/>
          <w:bCs/>
          <w:sz w:val="20"/>
          <w:szCs w:val="28"/>
        </w:rPr>
        <w:t>Điều 1. Phạm vi điều chỉnh</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Quyết định này Quy định định mức kinh tế - kỹ thuật dịch vụ sự nghiệp công sử dụng ngân sách nhà nước thuộc lĩnh vực Khoa học và Công nghệ trên địa bàn tỉnh Bình Phước, cụ thể:</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 xml:space="preserve">1. Các định mức kinh tế - kỹ thuật dịch vụ công sử dụng ngân sách nhà nước trong lĩnh vực hoạt động khoa học và công nghệ (dịch vụ thông tin khoa học và công nghệ; xây dựng và cập nhật cơ sở dữ liệu hồ sơ công nghệ, chuyên gia công nghệ; xây dựng và vận hành sàn giao dịch công nghệ và thiết bị; tổ chức </w:t>
      </w:r>
      <w:r>
        <w:rPr>
          <w:rFonts w:ascii="Arial" w:hAnsi="Arial" w:cs="Arial"/>
          <w:sz w:val="20"/>
          <w:szCs w:val="28"/>
        </w:rPr>
        <w:lastRenderedPageBreak/>
        <w:t>triển lãm, hội chợ khoa học, công nghệ và thiết bị; xây dựng và quản trị hạ tầng thông tin khoa học và công nghệ; xây dựng và vận hành hệ thống thông tin khoa học và công nghệ, cổng thông tin khoa học và công nghệ; xây dựng và vận hành cơ sở dữ liệu của tỉnh về khoa học và công nghệ; dịch vụ thống kê khoa học và công nghệ; tra cứu và cung cấp thông tin khoa học và công nghệ; xử lý thông tin, cập nhật mục lục tài liệu khoa học và công nghệ; lưu giữ, bảo quản tài liệu khoa học và công nghệ; dịch vụ đánh giá trình độ và năng lực công nghệ; dịch vụ hỗ trợ xây dựng lộ trình đổi mới công nghệ; dịch vụ hỗ trợ đổi mới công nghệ; dịch vụ hỗ trợ chuyển giao công nghệ): 38 định mức (chi tiết từ Phụ lục I đến Phụ lục XV).</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2. Các định mức kinh tế - kỹ thuật dịch vụ sự nghiệp công sử dụng ngân sách nhà nước về tư vấn xây dựng, áp dụng hệ thống quản lý chất lượng theo tiêu chuẩn quốc gia TCVN ISO 9001:2015 vào hoạt động của các cơ quan tổ chức thuộc hệ thống Hành chính Nhà nước (UBND cấp tỉnh; cấp Chi cục hoặc tương đương trực thuộc cơ quan cấp sở, cấp cục trên địa bàn tỉnh, cơ quan chuyên môn trực thuộc UBND cấp huyện; UBND cấp xã): 09 định mức (chi tiết từ Phụ lục XVI đến Phụ lục XVIII).</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3. Các định mức kinh tế - kỹ thuật dịch vụ sự nghiệp công sử dụng ngân sách nhà nước trong lĩnh vực năng lượng nguyên tử, an toàn bức xạ và hạt nhân (ứng phó và xử lý sự cố bức xạ, sự cố hạt nhân; đo liều chiếu xạ cá nhân; kiểm định hiệu chuẩn thiết bị ghi đo bức xạ): 31 định mức (chi tiết từ Phụ lục XIX đến Phụ lục XXI).</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b/>
          <w:bCs/>
          <w:sz w:val="20"/>
          <w:szCs w:val="28"/>
        </w:rPr>
        <w:t>Điều 2. Đối tượng áp dụng</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1. Tổ chức cung cấp dịch vụ sự nghiệp công sử dụng ngân sách nhà nước đối với 78 định mức kinh tế - kỹ thuật quy định tại Điều 1 Quyết định này.</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2. Cơ quan nhà nước, tổ chức và cá nhân liên quan đến việc xác định và quản lý chi phí dịch vụ sự nghiệp công sử dụng ngân sách nhà nước; cơ quan, tổ chức, cá nhân khác liên quan đến việc đặt hàng, đấu thầu, giao nhiệm vụ dịch vụ sự nghiệp công sử dụng ngân sách nhà nước đối với 78 (Bảy mươi tám) định mức kinh tế - kỹ thuật quy định tại Điều 1 Quyết định này.</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3. Khuyến khích cơ quan, tổ chức có hoạt động trong lĩnh vực khoa học và công nghệ trên địa bàn tỉnh không sử dụng ngân sách nhà nước áp dụng định mức kinh tế - kỹ thuật ban hành kèm theo Quyết định này.</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b/>
          <w:bCs/>
          <w:sz w:val="20"/>
          <w:szCs w:val="28"/>
        </w:rPr>
        <w:t>Điều 3. Áp dụng định mức kinh tế - kỹ thuật</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Định mức kinh tế - kỹ thuật quy định tại Quyết định này là cơ sở để xác định đơn giá dịch vụ sự nghiệp công trong lĩnh vực khoa học và công nghệ có sử dụng ngân sách nhà nước trên địa bàn tỉnh Bình Phước theo phương thức đặt hàng, đấu thầu, giao nhiệm vụ.</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b/>
          <w:bCs/>
          <w:sz w:val="20"/>
          <w:szCs w:val="28"/>
        </w:rPr>
        <w:t>Điều 4. Tổ chức thực hiện</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Chánh văn phòng Ủy ban nhân dân tỉnh; Giám đốc Sở Tài chính, Giám đốc Sở Khoa học và Công nghệ; Thủ trưởng các sở, ban, ngành; Chủ tịch Ủy ban nhân dân các huyện, thị xã, thành phố và các tổ chức, cá nhân có liên quan chịu trách nhiệm thi hành Quyết định này.</w:t>
      </w:r>
    </w:p>
    <w:p w:rsidR="00580215" w:rsidRDefault="00580215" w:rsidP="00580215">
      <w:pPr>
        <w:widowControl w:val="0"/>
        <w:autoSpaceDE w:val="0"/>
        <w:autoSpaceDN w:val="0"/>
        <w:adjustRightInd w:val="0"/>
        <w:spacing w:before="120"/>
        <w:rPr>
          <w:rFonts w:ascii="Arial" w:hAnsi="Arial" w:cs="Arial"/>
          <w:sz w:val="20"/>
          <w:szCs w:val="28"/>
        </w:rPr>
      </w:pPr>
      <w:r>
        <w:rPr>
          <w:rFonts w:ascii="Arial" w:hAnsi="Arial" w:cs="Arial"/>
          <w:sz w:val="20"/>
          <w:szCs w:val="28"/>
        </w:rPr>
        <w:t>Quyết định này có hiệu lực thi hành từ ngày 01 tháng 01 năm 2025./.</w:t>
      </w:r>
    </w:p>
    <w:p w:rsidR="00580215" w:rsidRDefault="00580215" w:rsidP="00580215">
      <w:pPr>
        <w:widowControl w:val="0"/>
        <w:autoSpaceDE w:val="0"/>
        <w:autoSpaceDN w:val="0"/>
        <w:adjustRightInd w:val="0"/>
        <w:spacing w:before="120"/>
        <w:rPr>
          <w:rFonts w:ascii="Arial" w:hAnsi="Arial" w:cs="Arial"/>
          <w:sz w:val="20"/>
          <w:szCs w:val="28"/>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580215" w:rsidTr="00580215">
        <w:tc>
          <w:tcPr>
            <w:tcW w:w="4428" w:type="dxa"/>
            <w:hideMark/>
          </w:tcPr>
          <w:p w:rsidR="00580215" w:rsidRDefault="00580215">
            <w:pPr>
              <w:spacing w:before="120"/>
              <w:rPr>
                <w:rFonts w:ascii="Arial" w:hAnsi="Arial" w:cs="Arial"/>
                <w:sz w:val="20"/>
                <w:szCs w:val="20"/>
              </w:rPr>
            </w:pPr>
            <w:r>
              <w:rPr>
                <w:rFonts w:ascii="Arial" w:hAnsi="Arial" w:cs="Arial"/>
                <w:b/>
                <w:i/>
                <w:sz w:val="20"/>
                <w:szCs w:val="20"/>
              </w:rPr>
              <w:br/>
              <w:t>Nơi nhận:</w:t>
            </w:r>
            <w:r>
              <w:rPr>
                <w:rFonts w:ascii="Arial" w:hAnsi="Arial" w:cs="Arial"/>
                <w:b/>
                <w:i/>
                <w:sz w:val="20"/>
                <w:szCs w:val="20"/>
              </w:rPr>
              <w:br/>
            </w:r>
            <w:r>
              <w:rPr>
                <w:rFonts w:ascii="Arial" w:hAnsi="Arial" w:cs="Arial"/>
                <w:bCs/>
                <w:sz w:val="16"/>
                <w:szCs w:val="22"/>
              </w:rPr>
              <w:t xml:space="preserve">- </w:t>
            </w:r>
            <w:r>
              <w:rPr>
                <w:rFonts w:ascii="Arial" w:hAnsi="Arial" w:cs="Arial"/>
                <w:sz w:val="16"/>
                <w:szCs w:val="22"/>
              </w:rPr>
              <w:t>Văn phòng Chính phủ;</w:t>
            </w:r>
            <w:r>
              <w:rPr>
                <w:rFonts w:ascii="Arial" w:hAnsi="Arial" w:cs="Arial"/>
                <w:sz w:val="16"/>
                <w:szCs w:val="22"/>
              </w:rPr>
              <w:br/>
              <w:t>- Các Bộ: KH&amp;CN, Tài chính;</w:t>
            </w:r>
            <w:r>
              <w:rPr>
                <w:rFonts w:ascii="Arial" w:hAnsi="Arial" w:cs="Arial"/>
                <w:sz w:val="16"/>
                <w:szCs w:val="22"/>
              </w:rPr>
              <w:br/>
              <w:t>- Cục kiểm tra VB QPPL, Bộ Tư pháp;</w:t>
            </w:r>
            <w:r>
              <w:rPr>
                <w:rFonts w:ascii="Arial" w:hAnsi="Arial" w:cs="Arial"/>
                <w:sz w:val="16"/>
                <w:szCs w:val="22"/>
              </w:rPr>
              <w:br/>
              <w:t>- TTTU, TT HĐND tỉnh, BTT UBMTTQVN tỉnh;</w:t>
            </w:r>
            <w:r>
              <w:rPr>
                <w:rFonts w:ascii="Arial" w:hAnsi="Arial" w:cs="Arial"/>
                <w:sz w:val="16"/>
                <w:szCs w:val="22"/>
              </w:rPr>
              <w:br/>
              <w:t>- Đoàn Đại biểu Quốc hội tỉnh;</w:t>
            </w:r>
            <w:r>
              <w:rPr>
                <w:rFonts w:ascii="Arial" w:hAnsi="Arial" w:cs="Arial"/>
                <w:sz w:val="16"/>
                <w:szCs w:val="22"/>
              </w:rPr>
              <w:br/>
              <w:t>- Chủ tịch, các Phó chủ tịch UBND tỉnh;</w:t>
            </w:r>
            <w:r>
              <w:rPr>
                <w:rFonts w:ascii="Arial" w:hAnsi="Arial" w:cs="Arial"/>
                <w:sz w:val="16"/>
                <w:szCs w:val="22"/>
              </w:rPr>
              <w:br/>
              <w:t>- Như Điều 4;</w:t>
            </w:r>
            <w:r>
              <w:rPr>
                <w:rFonts w:ascii="Arial" w:hAnsi="Arial" w:cs="Arial"/>
                <w:sz w:val="16"/>
                <w:szCs w:val="22"/>
              </w:rPr>
              <w:br/>
              <w:t>- Trung tâm phục vụ HCC (đăng công báo);</w:t>
            </w:r>
            <w:r>
              <w:rPr>
                <w:rFonts w:ascii="Arial" w:hAnsi="Arial" w:cs="Arial"/>
                <w:sz w:val="16"/>
                <w:szCs w:val="22"/>
              </w:rPr>
              <w:br/>
              <w:t>- VPUBND: LĐVP, các phòng;</w:t>
            </w:r>
            <w:r>
              <w:rPr>
                <w:rFonts w:ascii="Arial" w:hAnsi="Arial" w:cs="Arial"/>
                <w:sz w:val="16"/>
                <w:szCs w:val="22"/>
              </w:rPr>
              <w:br/>
              <w:t xml:space="preserve">- Lưu: VT, PVX </w:t>
            </w:r>
            <w:r>
              <w:rPr>
                <w:rFonts w:ascii="Arial" w:hAnsi="Arial" w:cs="Arial"/>
                <w:sz w:val="16"/>
                <w:szCs w:val="16"/>
              </w:rPr>
              <w:t xml:space="preserve">(Thắng QĐ03). </w:t>
            </w:r>
          </w:p>
        </w:tc>
        <w:tc>
          <w:tcPr>
            <w:tcW w:w="4428" w:type="dxa"/>
            <w:hideMark/>
          </w:tcPr>
          <w:p w:rsidR="00580215" w:rsidRDefault="00580215">
            <w:pPr>
              <w:spacing w:before="120"/>
              <w:jc w:val="center"/>
              <w:rPr>
                <w:rFonts w:ascii="Arial" w:hAnsi="Arial" w:cs="Arial"/>
                <w:b/>
                <w:sz w:val="20"/>
                <w:szCs w:val="20"/>
              </w:rPr>
            </w:pPr>
            <w:r>
              <w:rPr>
                <w:rFonts w:ascii="Arial" w:hAnsi="Arial" w:cs="Arial"/>
                <w:b/>
                <w:bCs/>
                <w:sz w:val="20"/>
                <w:szCs w:val="28"/>
              </w:rPr>
              <w:t xml:space="preserve">TM. ỦY BAN NHÂN DÂN </w:t>
            </w:r>
            <w:r>
              <w:rPr>
                <w:rFonts w:ascii="Arial" w:hAnsi="Arial" w:cs="Arial"/>
                <w:b/>
                <w:bCs/>
                <w:sz w:val="20"/>
                <w:szCs w:val="28"/>
              </w:rPr>
              <w:br/>
              <w:t>KT. CHỦ TỊCH</w:t>
            </w:r>
            <w:r>
              <w:rPr>
                <w:rFonts w:ascii="Arial" w:hAnsi="Arial" w:cs="Arial"/>
                <w:b/>
                <w:bCs/>
                <w:sz w:val="20"/>
                <w:szCs w:val="28"/>
              </w:rPr>
              <w:br/>
              <w:t>PHÓ CHỦ TỊCH</w:t>
            </w:r>
            <w:r>
              <w:rPr>
                <w:rFonts w:ascii="Arial" w:hAnsi="Arial" w:cs="Arial"/>
                <w:b/>
                <w:bCs/>
                <w:sz w:val="20"/>
                <w:szCs w:val="28"/>
              </w:rPr>
              <w:br/>
            </w:r>
            <w:r>
              <w:rPr>
                <w:rFonts w:ascii="Arial" w:hAnsi="Arial" w:cs="Arial"/>
                <w:b/>
                <w:bCs/>
                <w:sz w:val="20"/>
                <w:szCs w:val="28"/>
              </w:rPr>
              <w:br/>
            </w:r>
            <w:r>
              <w:rPr>
                <w:rFonts w:ascii="Arial" w:hAnsi="Arial" w:cs="Arial"/>
                <w:b/>
                <w:bCs/>
                <w:sz w:val="20"/>
                <w:szCs w:val="28"/>
              </w:rPr>
              <w:br/>
            </w:r>
            <w:r>
              <w:rPr>
                <w:rFonts w:ascii="Arial" w:hAnsi="Arial" w:cs="Arial"/>
                <w:b/>
                <w:bCs/>
                <w:sz w:val="20"/>
                <w:szCs w:val="28"/>
              </w:rPr>
              <w:br/>
            </w:r>
            <w:r>
              <w:rPr>
                <w:rFonts w:ascii="Arial" w:hAnsi="Arial" w:cs="Arial"/>
                <w:b/>
                <w:bCs/>
                <w:sz w:val="20"/>
                <w:szCs w:val="28"/>
              </w:rPr>
              <w:br/>
              <w:t>Trần Tuyết Minh</w:t>
            </w:r>
          </w:p>
        </w:tc>
      </w:tr>
    </w:tbl>
    <w:p w:rsidR="00580215" w:rsidRDefault="00580215" w:rsidP="00580215">
      <w:pPr>
        <w:widowControl w:val="0"/>
        <w:autoSpaceDE w:val="0"/>
        <w:autoSpaceDN w:val="0"/>
        <w:adjustRightInd w:val="0"/>
        <w:spacing w:before="120"/>
        <w:rPr>
          <w:rFonts w:ascii="Arial" w:hAnsi="Arial" w:cs="Arial"/>
          <w:sz w:val="20"/>
          <w:szCs w:val="16"/>
        </w:rPr>
      </w:pPr>
    </w:p>
    <w:tbl>
      <w:tblPr>
        <w:tblStyle w:val="TableGrid"/>
        <w:tblW w:w="0" w:type="auto"/>
        <w:jc w:val="center"/>
        <w:tblInd w:w="0" w:type="dxa"/>
        <w:tblLook w:val="01E0" w:firstRow="1" w:lastRow="1" w:firstColumn="1" w:lastColumn="1" w:noHBand="0" w:noVBand="0"/>
      </w:tblPr>
      <w:tblGrid>
        <w:gridCol w:w="5868"/>
      </w:tblGrid>
      <w:tr w:rsidR="00580215" w:rsidTr="00580215">
        <w:trPr>
          <w:jc w:val="center"/>
        </w:trPr>
        <w:tc>
          <w:tcPr>
            <w:tcW w:w="5868" w:type="dxa"/>
            <w:tcBorders>
              <w:top w:val="single" w:sz="4" w:space="0" w:color="auto"/>
              <w:left w:val="single" w:sz="4" w:space="0" w:color="auto"/>
              <w:bottom w:val="single" w:sz="4" w:space="0" w:color="auto"/>
              <w:right w:val="single" w:sz="4" w:space="0" w:color="auto"/>
            </w:tcBorders>
          </w:tcPr>
          <w:p w:rsidR="00580215" w:rsidRDefault="00580215">
            <w:pPr>
              <w:spacing w:before="120"/>
              <w:jc w:val="center"/>
              <w:rPr>
                <w:rFonts w:ascii="Arial" w:hAnsi="Arial" w:cs="Arial" w:hint="eastAsia"/>
                <w:b/>
                <w:color w:val="FF0000"/>
                <w:sz w:val="20"/>
                <w:szCs w:val="20"/>
                <w:lang w:val="nb-NO"/>
              </w:rPr>
            </w:pPr>
          </w:p>
          <w:p w:rsidR="00580215" w:rsidRDefault="00580215">
            <w:pPr>
              <w:spacing w:before="120"/>
              <w:jc w:val="center"/>
              <w:rPr>
                <w:rFonts w:ascii="Arial" w:hAnsi="Arial" w:cs="Arial"/>
                <w:b/>
                <w:color w:val="FF0000"/>
                <w:sz w:val="20"/>
                <w:szCs w:val="20"/>
                <w:lang w:val="nb-NO"/>
              </w:rPr>
            </w:pPr>
            <w:r>
              <w:rPr>
                <w:rFonts w:ascii="Arial" w:hAnsi="Arial" w:cs="Arial"/>
                <w:b/>
                <w:color w:val="FF0000"/>
                <w:sz w:val="20"/>
                <w:szCs w:val="20"/>
                <w:lang w:val="nb-NO"/>
              </w:rPr>
              <w:t>FILE ĐƯỢC ĐÍNH KÈM THEO VĂN BẢN</w:t>
            </w:r>
          </w:p>
          <w:p w:rsidR="00580215" w:rsidRDefault="00580215">
            <w:pPr>
              <w:spacing w:before="120"/>
              <w:jc w:val="center"/>
              <w:rPr>
                <w:rFonts w:ascii="Arial" w:hAnsi="Arial" w:cs="Arial"/>
                <w:b/>
                <w:color w:val="FF0000"/>
                <w:sz w:val="20"/>
                <w:szCs w:val="20"/>
                <w:lang w:val="nb-NO"/>
              </w:rPr>
            </w:pPr>
            <w:r>
              <w:rPr>
                <w:rFonts w:ascii="Arial" w:eastAsia="Arial Unicode MS" w:hAnsi="Arial" w:cs="Arial"/>
                <w:b/>
                <w:color w:val="FF0000"/>
                <w:sz w:val="20"/>
                <w:szCs w:val="20"/>
                <w:lang w:val="nb-NO"/>
              </w:rPr>
              <w:object w:dxaOrig="1515"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pt" o:ole="">
                  <v:imagedata r:id="rId5" o:title=""/>
                </v:shape>
                <o:OLEObject Type="Embed" ProgID="Package" ShapeID="_x0000_i1025" DrawAspect="Icon" ObjectID="_1796801075" r:id="rId6"/>
              </w:object>
            </w:r>
          </w:p>
        </w:tc>
      </w:tr>
    </w:tbl>
    <w:p w:rsidR="00140E6F" w:rsidRDefault="00140E6F">
      <w:bookmarkStart w:id="0" w:name="_GoBack"/>
      <w:bookmarkEnd w:id="0"/>
    </w:p>
    <w:sectPr w:rsidR="00140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215"/>
    <w:rsid w:val="00140E6F"/>
    <w:rsid w:val="0058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2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80215"/>
    <w:pPr>
      <w:spacing w:after="0" w:line="240" w:lineRule="auto"/>
    </w:pPr>
    <w:rPr>
      <w:rFonts w:ascii="Arial Unicode MS" w:eastAsia="Arial Unicode MS" w:hAnsi="Arial Unicode M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2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80215"/>
    <w:pPr>
      <w:spacing w:after="0" w:line="240" w:lineRule="auto"/>
    </w:pPr>
    <w:rPr>
      <w:rFonts w:ascii="Arial Unicode MS" w:eastAsia="Arial Unicode MS" w:hAnsi="Arial Unicode M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15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customXml" Target="../customXml/item3.xml"/><Relationship Id="rId5" Type="http://schemas.openxmlformats.org/officeDocument/2006/relationships/image" Target="media/image1.emf"/><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48D65E-15BC-4420-A834-87B7D9D3C9B3}"/>
</file>

<file path=customXml/itemProps2.xml><?xml version="1.0" encoding="utf-8"?>
<ds:datastoreItem xmlns:ds="http://schemas.openxmlformats.org/officeDocument/2006/customXml" ds:itemID="{4840FB22-809F-4C61-90EC-6882C939FC8A}"/>
</file>

<file path=customXml/itemProps3.xml><?xml version="1.0" encoding="utf-8"?>
<ds:datastoreItem xmlns:ds="http://schemas.openxmlformats.org/officeDocument/2006/customXml" ds:itemID="{90F12E35-4C67-4B4E-BBB8-D49435C71787}"/>
</file>

<file path=docProps/app.xml><?xml version="1.0" encoding="utf-8"?>
<Properties xmlns="http://schemas.openxmlformats.org/officeDocument/2006/extended-properties" xmlns:vt="http://schemas.openxmlformats.org/officeDocument/2006/docPropsVTypes">
  <Template>Normal</Template>
  <TotalTime>0</TotalTime>
  <Pages>3</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2024-12-27T03:38:00Z</dcterms:created>
  <dcterms:modified xsi:type="dcterms:W3CDTF">2024-12-27T03:38:00Z</dcterms:modified>
</cp:coreProperties>
</file>