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74FF" w:rsidRDefault="00C23B67">
      <w:pPr>
        <w:widowControl w:val="0"/>
        <w:tabs>
          <w:tab w:val="center" w:pos="1260"/>
          <w:tab w:val="center" w:pos="5940"/>
        </w:tabs>
        <w:spacing w:after="0"/>
        <w:ind w:left="-284" w:firstLine="284"/>
        <w:rPr>
          <w:b/>
          <w:color w:val="auto"/>
          <w:sz w:val="26"/>
          <w:szCs w:val="26"/>
        </w:rPr>
      </w:pPr>
      <w:r>
        <w:rPr>
          <w:b/>
          <w:bCs/>
          <w:color w:val="auto"/>
          <w:sz w:val="26"/>
          <w:szCs w:val="26"/>
        </w:rPr>
        <w:t>HỘI ĐỒNG NHÂN DÂN</w:t>
      </w:r>
      <w:r>
        <w:rPr>
          <w:b/>
          <w:bCs/>
          <w:color w:val="auto"/>
          <w:sz w:val="26"/>
          <w:szCs w:val="26"/>
        </w:rPr>
        <w:tab/>
      </w:r>
      <w:r>
        <w:rPr>
          <w:b/>
          <w:color w:val="auto"/>
          <w:sz w:val="26"/>
          <w:szCs w:val="26"/>
        </w:rPr>
        <w:t>CỘNG HÒA XÃ HỘI CHỦ NGHĨA VIỆT NAM</w:t>
      </w:r>
    </w:p>
    <w:p w:rsidR="004974FF" w:rsidRDefault="00C23B67">
      <w:pPr>
        <w:widowControl w:val="0"/>
        <w:tabs>
          <w:tab w:val="center" w:pos="1260"/>
          <w:tab w:val="center" w:pos="5940"/>
        </w:tabs>
        <w:spacing w:after="0"/>
        <w:ind w:left="-426" w:firstLine="0"/>
        <w:rPr>
          <w:b/>
          <w:i/>
          <w:color w:val="auto"/>
          <w:sz w:val="26"/>
          <w:szCs w:val="26"/>
        </w:rPr>
      </w:pPr>
      <w:r>
        <w:rPr>
          <w:b/>
          <w:color w:val="auto"/>
          <w:sz w:val="26"/>
          <w:szCs w:val="26"/>
        </w:rPr>
        <w:tab/>
        <w:t xml:space="preserve">   TỈNH LONG AN</w:t>
      </w:r>
      <w:r>
        <w:rPr>
          <w:b/>
          <w:color w:val="auto"/>
          <w:sz w:val="26"/>
          <w:szCs w:val="26"/>
        </w:rPr>
        <w:tab/>
      </w:r>
      <w:r>
        <w:rPr>
          <w:rFonts w:hint="eastAsia"/>
          <w:b/>
          <w:color w:val="auto"/>
          <w:sz w:val="28"/>
          <w:szCs w:val="28"/>
        </w:rPr>
        <w:t>Đ</w:t>
      </w:r>
      <w:r>
        <w:rPr>
          <w:b/>
          <w:color w:val="auto"/>
          <w:sz w:val="28"/>
          <w:szCs w:val="28"/>
        </w:rPr>
        <w:t>ộc lập - Tự do - Hạnh phúc</w:t>
      </w:r>
    </w:p>
    <w:p w:rsidR="004974FF" w:rsidRDefault="00C23B67">
      <w:pPr>
        <w:widowControl w:val="0"/>
        <w:tabs>
          <w:tab w:val="center" w:pos="1260"/>
          <w:tab w:val="center" w:pos="5940"/>
        </w:tabs>
        <w:spacing w:line="200" w:lineRule="exact"/>
        <w:rPr>
          <w:b/>
          <w:color w:val="auto"/>
          <w:sz w:val="27"/>
          <w:szCs w:val="27"/>
          <w:vertAlign w:val="superscript"/>
        </w:rPr>
      </w:pPr>
      <w:r>
        <w:rPr>
          <w:b/>
          <w:i/>
          <w:color w:val="auto"/>
          <w:sz w:val="27"/>
          <w:szCs w:val="27"/>
        </w:rPr>
        <w:tab/>
      </w:r>
      <w:r>
        <w:rPr>
          <w:b/>
          <w:i/>
          <w:color w:val="auto"/>
          <w:sz w:val="27"/>
          <w:szCs w:val="27"/>
          <w:vertAlign w:val="superscript"/>
        </w:rPr>
        <w:t>________________</w:t>
      </w:r>
      <w:r>
        <w:rPr>
          <w:b/>
          <w:i/>
          <w:color w:val="auto"/>
          <w:sz w:val="27"/>
          <w:szCs w:val="27"/>
          <w:vertAlign w:val="superscript"/>
        </w:rPr>
        <w:tab/>
        <w:t>______________________________________</w:t>
      </w:r>
    </w:p>
    <w:p w:rsidR="004974FF" w:rsidRDefault="00C23B67">
      <w:pPr>
        <w:spacing w:after="0"/>
        <w:ind w:firstLine="0"/>
        <w:rPr>
          <w:b/>
          <w:color w:val="auto"/>
          <w:sz w:val="28"/>
          <w:szCs w:val="28"/>
        </w:rPr>
      </w:pPr>
      <w:r>
        <w:rPr>
          <w:color w:val="auto"/>
          <w:sz w:val="27"/>
          <w:szCs w:val="27"/>
        </w:rPr>
        <w:t xml:space="preserve">                               </w:t>
      </w:r>
      <w:r w:rsidR="00F45C2C">
        <w:rPr>
          <w:color w:val="auto"/>
          <w:sz w:val="27"/>
          <w:szCs w:val="27"/>
        </w:rPr>
        <w:t xml:space="preserve">        </w:t>
      </w:r>
      <w:r w:rsidR="00F45C2C">
        <w:rPr>
          <w:color w:val="auto"/>
          <w:sz w:val="27"/>
          <w:szCs w:val="27"/>
        </w:rPr>
        <w:tab/>
      </w:r>
      <w:r w:rsidR="00F45C2C">
        <w:rPr>
          <w:color w:val="auto"/>
          <w:sz w:val="27"/>
          <w:szCs w:val="27"/>
        </w:rPr>
        <w:tab/>
        <w:t xml:space="preserve">   </w:t>
      </w:r>
      <w:r>
        <w:rPr>
          <w:i/>
          <w:color w:val="auto"/>
          <w:sz w:val="27"/>
          <w:szCs w:val="27"/>
        </w:rPr>
        <w:t xml:space="preserve">Long An, ngày </w:t>
      </w:r>
      <w:r w:rsidR="00067761">
        <w:rPr>
          <w:i/>
          <w:color w:val="auto"/>
          <w:sz w:val="27"/>
          <w:szCs w:val="27"/>
        </w:rPr>
        <w:t>08</w:t>
      </w:r>
      <w:r>
        <w:rPr>
          <w:i/>
          <w:color w:val="auto"/>
          <w:sz w:val="27"/>
          <w:szCs w:val="27"/>
        </w:rPr>
        <w:t xml:space="preserve"> tháng 12 n</w:t>
      </w:r>
      <w:r>
        <w:rPr>
          <w:rFonts w:hint="eastAsia"/>
          <w:i/>
          <w:color w:val="auto"/>
          <w:sz w:val="27"/>
          <w:szCs w:val="27"/>
        </w:rPr>
        <w:t>ă</w:t>
      </w:r>
      <w:r>
        <w:rPr>
          <w:i/>
          <w:color w:val="auto"/>
          <w:sz w:val="27"/>
          <w:szCs w:val="27"/>
        </w:rPr>
        <w:t>m 2020</w:t>
      </w:r>
    </w:p>
    <w:p w:rsidR="004974FF" w:rsidRDefault="004974FF">
      <w:pPr>
        <w:spacing w:after="0"/>
        <w:ind w:firstLine="0"/>
        <w:jc w:val="center"/>
        <w:rPr>
          <w:b/>
          <w:color w:val="auto"/>
          <w:sz w:val="28"/>
          <w:szCs w:val="28"/>
        </w:rPr>
      </w:pPr>
    </w:p>
    <w:p w:rsidR="004974FF" w:rsidRDefault="004974FF">
      <w:pPr>
        <w:spacing w:after="0"/>
        <w:ind w:firstLine="0"/>
        <w:jc w:val="center"/>
        <w:rPr>
          <w:b/>
          <w:color w:val="auto"/>
          <w:sz w:val="28"/>
          <w:szCs w:val="28"/>
        </w:rPr>
      </w:pPr>
    </w:p>
    <w:p w:rsidR="0011765B" w:rsidRDefault="00C23B67" w:rsidP="00B900BD">
      <w:pPr>
        <w:spacing w:after="0"/>
        <w:ind w:firstLine="0"/>
        <w:jc w:val="center"/>
        <w:rPr>
          <w:b/>
          <w:color w:val="auto"/>
          <w:sz w:val="28"/>
          <w:szCs w:val="28"/>
        </w:rPr>
      </w:pPr>
      <w:r>
        <w:rPr>
          <w:b/>
          <w:color w:val="auto"/>
          <w:sz w:val="28"/>
          <w:szCs w:val="28"/>
        </w:rPr>
        <w:t>QUY ĐỊNH VỀ CÁC NGUYÊN TẮC, TIÊU CHÍ VÀ ĐỊNH MỨC PHÂN BỔ VỐN ĐẦU TƯ CÔNG NGUỒN NGÂN SÁCH NHÀ NƯỚC CHO</w:t>
      </w:r>
    </w:p>
    <w:p w:rsidR="004974FF" w:rsidRDefault="00C23B67" w:rsidP="00B900BD">
      <w:pPr>
        <w:spacing w:after="0"/>
        <w:ind w:firstLine="0"/>
        <w:jc w:val="center"/>
        <w:rPr>
          <w:color w:val="auto"/>
          <w:sz w:val="28"/>
          <w:szCs w:val="28"/>
          <w:lang w:val="vi-VN"/>
        </w:rPr>
      </w:pPr>
      <w:r>
        <w:rPr>
          <w:b/>
          <w:color w:val="auto"/>
          <w:sz w:val="28"/>
          <w:szCs w:val="28"/>
        </w:rPr>
        <w:t xml:space="preserve"> CÁC HUYỆN, THỊ XÃ, THÀNH PHỐ GIAI ĐOẠN 2021 - 2025</w:t>
      </w:r>
    </w:p>
    <w:p w:rsidR="004974FF" w:rsidRDefault="00C23B67">
      <w:pPr>
        <w:spacing w:after="0"/>
        <w:ind w:firstLine="0"/>
        <w:jc w:val="center"/>
        <w:rPr>
          <w:i/>
          <w:color w:val="auto"/>
          <w:sz w:val="26"/>
          <w:szCs w:val="26"/>
          <w:lang w:val="vi-VN"/>
        </w:rPr>
      </w:pPr>
      <w:r>
        <w:rPr>
          <w:i/>
          <w:color w:val="auto"/>
          <w:sz w:val="26"/>
          <w:szCs w:val="26"/>
          <w:lang w:val="vi-VN"/>
        </w:rPr>
        <w:t>(</w:t>
      </w:r>
      <w:r w:rsidR="00B900BD">
        <w:rPr>
          <w:i/>
          <w:color w:val="auto"/>
          <w:sz w:val="26"/>
          <w:szCs w:val="26"/>
        </w:rPr>
        <w:t>K</w:t>
      </w:r>
      <w:r>
        <w:rPr>
          <w:i/>
          <w:color w:val="auto"/>
          <w:sz w:val="26"/>
          <w:szCs w:val="26"/>
          <w:lang w:val="vi-VN"/>
        </w:rPr>
        <w:t xml:space="preserve">èm theo </w:t>
      </w:r>
      <w:r>
        <w:rPr>
          <w:i/>
          <w:color w:val="auto"/>
          <w:sz w:val="26"/>
          <w:szCs w:val="26"/>
        </w:rPr>
        <w:t xml:space="preserve">Nghị quyết </w:t>
      </w:r>
      <w:r>
        <w:rPr>
          <w:i/>
          <w:color w:val="auto"/>
          <w:sz w:val="26"/>
          <w:szCs w:val="26"/>
          <w:lang w:val="vi-VN"/>
        </w:rPr>
        <w:t xml:space="preserve">số </w:t>
      </w:r>
      <w:r w:rsidR="00067761">
        <w:rPr>
          <w:i/>
          <w:color w:val="auto"/>
          <w:sz w:val="26"/>
          <w:szCs w:val="26"/>
        </w:rPr>
        <w:t>28</w:t>
      </w:r>
      <w:bookmarkStart w:id="0" w:name="_GoBack"/>
      <w:bookmarkEnd w:id="0"/>
      <w:r>
        <w:rPr>
          <w:i/>
          <w:color w:val="auto"/>
          <w:sz w:val="26"/>
          <w:szCs w:val="26"/>
        </w:rPr>
        <w:t xml:space="preserve"> </w:t>
      </w:r>
      <w:r>
        <w:rPr>
          <w:i/>
          <w:color w:val="auto"/>
          <w:sz w:val="26"/>
          <w:szCs w:val="26"/>
          <w:lang w:val="vi-VN"/>
        </w:rPr>
        <w:t>/20</w:t>
      </w:r>
      <w:r>
        <w:rPr>
          <w:i/>
          <w:color w:val="auto"/>
          <w:sz w:val="26"/>
          <w:szCs w:val="26"/>
        </w:rPr>
        <w:t>20</w:t>
      </w:r>
      <w:r>
        <w:rPr>
          <w:i/>
          <w:color w:val="auto"/>
          <w:sz w:val="26"/>
          <w:szCs w:val="26"/>
          <w:lang w:val="vi-VN"/>
        </w:rPr>
        <w:t>/</w:t>
      </w:r>
      <w:r>
        <w:rPr>
          <w:i/>
          <w:color w:val="auto"/>
          <w:sz w:val="26"/>
          <w:szCs w:val="26"/>
        </w:rPr>
        <w:t>NQ</w:t>
      </w:r>
      <w:r>
        <w:rPr>
          <w:i/>
          <w:color w:val="auto"/>
          <w:sz w:val="26"/>
          <w:szCs w:val="26"/>
          <w:lang w:val="vi-VN"/>
        </w:rPr>
        <w:t>-</w:t>
      </w:r>
      <w:r>
        <w:rPr>
          <w:i/>
          <w:color w:val="auto"/>
          <w:sz w:val="26"/>
          <w:szCs w:val="26"/>
        </w:rPr>
        <w:t>HĐND</w:t>
      </w:r>
      <w:r w:rsidR="00B900BD">
        <w:rPr>
          <w:i/>
          <w:color w:val="auto"/>
          <w:sz w:val="26"/>
          <w:szCs w:val="26"/>
        </w:rPr>
        <w:t xml:space="preserve">  </w:t>
      </w:r>
      <w:r>
        <w:rPr>
          <w:i/>
          <w:color w:val="auto"/>
          <w:sz w:val="26"/>
          <w:szCs w:val="26"/>
          <w:lang w:val="vi-VN"/>
        </w:rPr>
        <w:t>ngày</w:t>
      </w:r>
      <w:r w:rsidR="00B900BD">
        <w:rPr>
          <w:i/>
          <w:color w:val="auto"/>
          <w:sz w:val="26"/>
          <w:szCs w:val="26"/>
        </w:rPr>
        <w:t xml:space="preserve"> 08/12/2020</w:t>
      </w:r>
      <w:r>
        <w:rPr>
          <w:i/>
          <w:color w:val="auto"/>
          <w:sz w:val="26"/>
          <w:szCs w:val="26"/>
          <w:lang w:val="vi-VN"/>
        </w:rPr>
        <w:t xml:space="preserve"> của </w:t>
      </w:r>
      <w:r>
        <w:rPr>
          <w:i/>
          <w:color w:val="auto"/>
          <w:sz w:val="26"/>
          <w:szCs w:val="26"/>
        </w:rPr>
        <w:t>HĐND tỉnh</w:t>
      </w:r>
      <w:r>
        <w:rPr>
          <w:i/>
          <w:color w:val="auto"/>
          <w:sz w:val="26"/>
          <w:szCs w:val="26"/>
          <w:lang w:val="vi-VN"/>
        </w:rPr>
        <w:t>)</w:t>
      </w:r>
    </w:p>
    <w:p w:rsidR="004974FF" w:rsidRDefault="00C23B67">
      <w:pPr>
        <w:spacing w:after="0"/>
        <w:ind w:firstLine="0"/>
        <w:jc w:val="center"/>
        <w:rPr>
          <w:color w:val="auto"/>
          <w:sz w:val="28"/>
          <w:szCs w:val="28"/>
        </w:rPr>
      </w:pPr>
      <w:r>
        <w:rPr>
          <w:i/>
          <w:color w:val="auto"/>
          <w:sz w:val="28"/>
          <w:szCs w:val="28"/>
        </w:rPr>
        <w:t>_______</w:t>
      </w:r>
    </w:p>
    <w:p w:rsidR="004974FF" w:rsidRDefault="004974FF">
      <w:pPr>
        <w:rPr>
          <w:color w:val="auto"/>
          <w:sz w:val="28"/>
          <w:szCs w:val="28"/>
          <w:lang w:val="vi-VN"/>
        </w:rPr>
      </w:pPr>
    </w:p>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I. CÁC NGÀNH, LĨNH VỰC SỬ DỤNG VỐN ĐẦU CÔNG NGUỒN NGÂN SÁCH NHÀ NƯỚC GIAI ĐOẠN 2021 - 2025</w:t>
      </w:r>
    </w:p>
    <w:p w:rsidR="006D545C" w:rsidRPr="00B51B10" w:rsidRDefault="006D545C" w:rsidP="00B51B10">
      <w:pPr>
        <w:tabs>
          <w:tab w:val="left" w:pos="6661"/>
        </w:tabs>
        <w:spacing w:after="144"/>
        <w:rPr>
          <w:color w:val="auto"/>
          <w:sz w:val="28"/>
          <w:szCs w:val="28"/>
          <w:lang w:val="en-GB" w:eastAsia="en-GB"/>
        </w:rPr>
      </w:pPr>
      <w:r w:rsidRPr="00B51B10">
        <w:rPr>
          <w:color w:val="auto"/>
          <w:sz w:val="28"/>
          <w:szCs w:val="28"/>
        </w:rPr>
        <w:t>Thực hiện theo Điều 3, Quyết</w:t>
      </w:r>
      <w:r w:rsidRPr="00B51B10">
        <w:rPr>
          <w:color w:val="auto"/>
          <w:sz w:val="28"/>
        </w:rPr>
        <w:t xml:space="preserve"> định số 26/2020/QĐ-TTg ngày 14/9/2020 của Thủ tướng Chính phủ ban hành các nguyên tắc, tiêu chí và định mức phân bổ vốn đầu tư công nguồn ngân sách nhà nước giai đoạn 2021-2025</w:t>
      </w:r>
      <w:r w:rsidR="00637BB0" w:rsidRPr="00B51B10">
        <w:rPr>
          <w:color w:val="auto"/>
          <w:sz w:val="28"/>
        </w:rPr>
        <w:t>.</w:t>
      </w:r>
    </w:p>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 xml:space="preserve">II. NGUYÊN TẮC, TIÊU CHÍ VÀ ĐỊNH MỨC PHÂN BỔ VỐN ĐẦU TƯ PHÁT TRIỂN TRONG CÂN ĐỐI DO ĐỊA PHƯƠNG QUẢN LÝ </w:t>
      </w:r>
    </w:p>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1. Nguyên tắc phân bổ vốn </w:t>
      </w:r>
    </w:p>
    <w:p w:rsidR="004974FF" w:rsidRDefault="00C23B67" w:rsidP="00B51B10">
      <w:pPr>
        <w:spacing w:after="144"/>
        <w:rPr>
          <w:color w:val="auto"/>
          <w:sz w:val="28"/>
          <w:szCs w:val="28"/>
          <w:lang w:val="en-GB" w:eastAsia="en-GB"/>
        </w:rPr>
      </w:pPr>
      <w:r>
        <w:rPr>
          <w:color w:val="auto"/>
          <w:sz w:val="28"/>
          <w:szCs w:val="28"/>
          <w:lang w:val="en-GB" w:eastAsia="en-GB"/>
        </w:rPr>
        <w:t>- Việc phân bổ vốn đầu tư công nguồn ngân sách nhà nước giai đoạn 2021-2025 phải tuân thủ các quy định của Luật Đầu tư công, Luật Ngân sách nhà nước và các văn bản pháp luật có liên quan; các tiêu chí và định mức phân bổ vốn đầu tư phát triển là cơ sở để xác định tỷ lệ điều tiết và số bổ sung cân đối của ngân sách tỉnh cho ngân sách huyện, thị xã, thành phố được ổn định trong 05 năm của giai đoạn 2021 – 2025.</w:t>
      </w:r>
    </w:p>
    <w:p w:rsidR="004974FF" w:rsidRDefault="00C23B67" w:rsidP="00B51B10">
      <w:pPr>
        <w:spacing w:after="144"/>
        <w:rPr>
          <w:color w:val="auto"/>
          <w:sz w:val="28"/>
          <w:szCs w:val="28"/>
          <w:lang w:val="en-GB" w:eastAsia="en-GB"/>
        </w:rPr>
      </w:pPr>
      <w:r>
        <w:rPr>
          <w:color w:val="auto"/>
          <w:sz w:val="28"/>
          <w:szCs w:val="28"/>
          <w:lang w:val="en-GB" w:eastAsia="en-GB"/>
        </w:rPr>
        <w:t>- Bảo đảm tương quan hợp lý giữa việc phát triển kinh tế xã hội của các huyện, thị xã, thành phố trọng điểm, có số thu lớn, có tỷ lệ điều tiết cao về ngân sách tỉnh, với việc ưu tiên hỗ trợ các huyện khó khăn khác để góp phần thu hẹp dần khoảng cách về trình độ phát triển kinh tế, thu nhập và mức sống của dân cư giữa các huyện, thị xã, thành phố trong tỉnh. </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ml:space="preserve">- Phân bổ vốn tập trung, không phân tán, dàn trải, bảo đảm sử dụng có hiệu quả vốn đầu tư của ngân sách nhà nước, tạo điều kiện để thu hút tối đa các nguồn vốn khác cho đầu tư phát triển. </w:t>
      </w:r>
    </w:p>
    <w:p w:rsidR="004974FF" w:rsidRDefault="00C23B67" w:rsidP="00B51B10">
      <w:pPr>
        <w:spacing w:after="144"/>
        <w:rPr>
          <w:color w:val="auto"/>
          <w:sz w:val="28"/>
          <w:szCs w:val="28"/>
          <w:lang w:val="en-GB" w:eastAsia="en-GB"/>
        </w:rPr>
      </w:pPr>
      <w:r>
        <w:rPr>
          <w:color w:val="auto"/>
          <w:sz w:val="28"/>
          <w:szCs w:val="28"/>
          <w:lang w:val="en-GB" w:eastAsia="en-GB"/>
        </w:rPr>
        <w:t xml:space="preserve">- Các Chương trình, dự án được giao kế hoạch vốn đầu tư công phải đảm bảo đầy đủ thủ tục đầu tư theo quy định của Luật đầu tư công, đảm bảo thời gian bố trí vốn thực hiện (dự án nhóm A không quá 6 năm, nhóm B không quá 4 năm và nhóm C không quá 3 năm). </w:t>
      </w:r>
    </w:p>
    <w:p w:rsidR="004974FF" w:rsidRDefault="00C23B67" w:rsidP="00B51B10">
      <w:pPr>
        <w:spacing w:after="144"/>
        <w:rPr>
          <w:color w:val="auto"/>
          <w:sz w:val="28"/>
          <w:szCs w:val="28"/>
          <w:lang w:val="en-GB" w:eastAsia="en-GB"/>
        </w:rPr>
      </w:pPr>
      <w:r>
        <w:rPr>
          <w:color w:val="auto"/>
          <w:sz w:val="28"/>
          <w:szCs w:val="28"/>
          <w:lang w:val="en-GB" w:eastAsia="en-GB"/>
        </w:rPr>
        <w:t xml:space="preserve">- Tập trung ưu tiên bố trí vốn để thực hiện, đẩy nhanh tiến độ, sớm hoàn thành và phát huy hiệu quả các dự án thuộc chương trình, dự án kết nối, có tác động liên vùng, có ý nghĩa thúc đẩy phát triển kinh tế - xã hội nhanh, bền vững, bảo vệ chăm sóc sức khỏe nhân dân, phòng, chống thiên tai, ứng phó với biến </w:t>
      </w:r>
      <w:r>
        <w:rPr>
          <w:color w:val="auto"/>
          <w:sz w:val="28"/>
          <w:szCs w:val="28"/>
          <w:lang w:val="en-GB" w:eastAsia="en-GB"/>
        </w:rPr>
        <w:lastRenderedPageBreak/>
        <w:t>đổi khí hậu (sạt lở bờ sông, bờ biển, xâm nhập mặn, nước biển dâng,…), bảo đảm an ninh nguồn nước, giáo dục và đào tạo.</w:t>
      </w:r>
    </w:p>
    <w:p w:rsidR="004974FF" w:rsidRDefault="00C23B67" w:rsidP="00B51B10">
      <w:pPr>
        <w:spacing w:after="144"/>
        <w:rPr>
          <w:color w:val="auto"/>
          <w:sz w:val="28"/>
          <w:szCs w:val="28"/>
          <w:shd w:val="clear" w:color="auto" w:fill="FFFFFF"/>
        </w:rPr>
      </w:pPr>
      <w:r>
        <w:rPr>
          <w:color w:val="auto"/>
          <w:sz w:val="28"/>
          <w:szCs w:val="28"/>
          <w:shd w:val="clear" w:color="auto" w:fill="FFFFFF"/>
        </w:rPr>
        <w:t>- Thứ tự ưu tiên phân bổ vốn đầu tư công nguồn ngân sách nhà nước giai đoạn 2021 – 2025 do địa phương quản lý được thực hiện như sau:</w:t>
      </w:r>
    </w:p>
    <w:p w:rsidR="004974FF" w:rsidRDefault="00C23B67" w:rsidP="00B51B10">
      <w:pPr>
        <w:spacing w:after="144"/>
        <w:rPr>
          <w:color w:val="auto"/>
          <w:sz w:val="28"/>
          <w:szCs w:val="28"/>
          <w:shd w:val="clear" w:color="auto" w:fill="FFFFFF"/>
        </w:rPr>
      </w:pPr>
      <w:r>
        <w:rPr>
          <w:color w:val="auto"/>
          <w:sz w:val="28"/>
          <w:szCs w:val="28"/>
          <w:shd w:val="clear" w:color="auto" w:fill="FFFFFF"/>
        </w:rPr>
        <w:t>+  Phân bổ đủ vốn để thanh toán nợ đọng xây dựng cơ bản theo quy định tại khoản 4 Điều 101 của Luật Đầu tư công (nếu có). Ưu tiên bố trí vốn cho các dự án đã hoàn thành nhưng còn thiếu vốn, các dự án chuyển tiếp trong giai đoạn 2016-2020.</w:t>
      </w:r>
    </w:p>
    <w:p w:rsidR="004974FF" w:rsidRDefault="00C23B67" w:rsidP="00B51B10">
      <w:pPr>
        <w:spacing w:after="144"/>
        <w:rPr>
          <w:color w:val="auto"/>
          <w:sz w:val="28"/>
          <w:szCs w:val="28"/>
          <w:shd w:val="clear" w:color="auto" w:fill="FFFFFF"/>
        </w:rPr>
      </w:pPr>
      <w:r>
        <w:rPr>
          <w:color w:val="auto"/>
          <w:sz w:val="28"/>
          <w:szCs w:val="28"/>
          <w:shd w:val="clear" w:color="auto" w:fill="FFFFFF"/>
        </w:rPr>
        <w:t>+ Phân bổ đủ vốn để hoàn trả vốn ứng trước kế hoạch nhưng chưa có nguồn để hoàn trả trong kế hoạch đầu tư công trung hạn giai đoạn trước (nếu còn).</w:t>
      </w:r>
    </w:p>
    <w:p w:rsidR="004974FF" w:rsidRDefault="00C23B67" w:rsidP="00B51B10">
      <w:pPr>
        <w:spacing w:after="144"/>
        <w:rPr>
          <w:color w:val="auto"/>
          <w:sz w:val="28"/>
          <w:szCs w:val="28"/>
          <w:shd w:val="clear" w:color="auto" w:fill="FFFFFF"/>
        </w:rPr>
      </w:pPr>
      <w:r>
        <w:rPr>
          <w:color w:val="auto"/>
          <w:sz w:val="28"/>
          <w:szCs w:val="28"/>
          <w:shd w:val="clear" w:color="auto" w:fill="FFFFFF"/>
        </w:rPr>
        <w:t>+ Phân bổ vốn cho dự án đã hoàn thành và bàn giao đưa vào sử dụng nhưng chưa bố trí đủ vốn; vốn cho dự án sử dụng vốn ODA và vốn vay ưu đãi của các nhà tài trợ nước ngoài (bao gồm vốn đối ứng); vốn đầu tư của Nhà nước tham gia thực hiện dự án theo phương thức đối tác công tư; dự án chuyển tiếp thực hiện theo tiến độ được phê duyệt; dự án dự kiến hoàn thành trong kỳ kế hoạch.</w:t>
      </w:r>
    </w:p>
    <w:p w:rsidR="004974FF" w:rsidRDefault="00C23B67" w:rsidP="00B51B10">
      <w:pPr>
        <w:spacing w:after="144"/>
        <w:rPr>
          <w:color w:val="auto"/>
          <w:sz w:val="28"/>
          <w:szCs w:val="28"/>
          <w:shd w:val="clear" w:color="auto" w:fill="FFFFFF"/>
        </w:rPr>
      </w:pPr>
      <w:r>
        <w:rPr>
          <w:color w:val="auto"/>
          <w:sz w:val="28"/>
          <w:szCs w:val="28"/>
          <w:shd w:val="clear" w:color="auto" w:fill="FFFFFF"/>
        </w:rPr>
        <w:t>+ Phân bổ vốn để thực hiện nhiệm vụ quy hoạch.</w:t>
      </w:r>
    </w:p>
    <w:p w:rsidR="004974FF" w:rsidRDefault="00C23B67" w:rsidP="00B51B10">
      <w:pPr>
        <w:spacing w:after="144"/>
        <w:rPr>
          <w:color w:val="auto"/>
          <w:sz w:val="28"/>
          <w:szCs w:val="28"/>
          <w:shd w:val="clear" w:color="auto" w:fill="FFFFFF"/>
        </w:rPr>
      </w:pPr>
      <w:r>
        <w:rPr>
          <w:color w:val="auto"/>
          <w:sz w:val="28"/>
          <w:szCs w:val="28"/>
          <w:shd w:val="clear" w:color="auto" w:fill="FFFFFF"/>
        </w:rPr>
        <w:t xml:space="preserve">+ Phân bổ vốn chuẩn bị đầu tư để lập, thẩm định, quyết định chủ trương đầu tư và lập, thẩm định, quyết </w:t>
      </w:r>
      <w:r w:rsidR="00E6528E">
        <w:rPr>
          <w:color w:val="auto"/>
          <w:sz w:val="28"/>
          <w:szCs w:val="28"/>
          <w:shd w:val="clear" w:color="auto" w:fill="FFFFFF"/>
        </w:rPr>
        <w:t>định đầu tư chương trình, dự án, đảm bảo các dự án triển khai ngay khi bố trí vốn thực hiện.</w:t>
      </w:r>
    </w:p>
    <w:p w:rsidR="004974FF" w:rsidRDefault="00C23B67" w:rsidP="00B51B10">
      <w:pPr>
        <w:spacing w:after="144"/>
        <w:rPr>
          <w:color w:val="auto"/>
          <w:sz w:val="28"/>
          <w:szCs w:val="28"/>
          <w:shd w:val="clear" w:color="auto" w:fill="FFFFFF"/>
        </w:rPr>
      </w:pPr>
      <w:r>
        <w:rPr>
          <w:color w:val="auto"/>
          <w:sz w:val="28"/>
          <w:szCs w:val="28"/>
          <w:shd w:val="clear" w:color="auto" w:fill="FFFFFF"/>
        </w:rPr>
        <w:t>+ Phân bổ vốn cho dự án khởi công mới đáp ứng yêu cầu quy định tại khoản 5 Điều 51 của Luật Đầu tư công.</w:t>
      </w:r>
    </w:p>
    <w:p w:rsidR="00EA7E3A" w:rsidRDefault="00EA7E3A" w:rsidP="00B51B10">
      <w:pPr>
        <w:spacing w:after="144"/>
        <w:rPr>
          <w:color w:val="auto"/>
          <w:sz w:val="28"/>
          <w:szCs w:val="28"/>
          <w:shd w:val="clear" w:color="auto" w:fill="FFFFFF"/>
        </w:rPr>
      </w:pPr>
      <w:r>
        <w:rPr>
          <w:color w:val="auto"/>
          <w:sz w:val="28"/>
          <w:szCs w:val="28"/>
          <w:shd w:val="clear" w:color="auto" w:fill="FFFFFF"/>
        </w:rPr>
        <w:t>+ Phân bổ vốn để thực hiện công tác chuẩn bị đầu tư.</w:t>
      </w:r>
    </w:p>
    <w:p w:rsidR="004974FF" w:rsidRDefault="00C23B67" w:rsidP="00B51B10">
      <w:pPr>
        <w:spacing w:after="144"/>
        <w:rPr>
          <w:color w:val="auto"/>
          <w:sz w:val="28"/>
          <w:szCs w:val="28"/>
          <w:lang w:val="en-GB" w:eastAsia="en-GB"/>
        </w:rPr>
      </w:pPr>
      <w:r>
        <w:rPr>
          <w:color w:val="auto"/>
          <w:sz w:val="28"/>
          <w:szCs w:val="28"/>
          <w:lang w:val="en-GB" w:eastAsia="en-GB"/>
        </w:rPr>
        <w:t>- Bảo đảm công khai, minh bạch, công bằng trong việc phân bổ vốn kế hoạch đầu tư công, góp phần đẩy mạnh cải cách hành chính và tăng cường công tác phòng, chống tham nhũng, thực hành tiết kiệm, chống lãng phí.</w:t>
      </w:r>
    </w:p>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 xml:space="preserve">2. Các tiêu chí, định mức phân bổ vốn </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Các tiêu chí phân bổ vốn đầu tư công trong cân đối (không bao gồm vốn từ nguồn sử dụng đất, xổ số kiến thiết) cho các huyện, thị xã, thành phố gồm 4 nhóm sau đây:</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a) Tiêu chí dân số: số dân trung bình.</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ml:space="preserve">b) Tiêu chí về trình độ phát triển, gồm: tỷ lệ hộ nghèo, số thu nội địa (không bao gồm vốn từ nguồn sử dụng đất, xổ số kiến thiết). </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c) Tiêu chí diện tích, gồm: diện tích đất tự nhiên của các huyện, thị xã, thành phố và tỷ lệ diện tích đất trồng lúa trên tổng diện tích đất tự nhiên.</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d) Tiêu chí về đơn vị hành chính cấp xã: bao gồm tiêu chí số đơn vị hành chính cấp xã; số xã biên giới của huyện, thị xã, thành phố. </w:t>
      </w:r>
    </w:p>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3. Xác định số điểm của từng tiêu chí cụ thể  </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lastRenderedPageBreak/>
        <w:t>a) Tiêu chí dân số: cách tính cụ thể như sau:</w:t>
      </w:r>
    </w:p>
    <w:tbl>
      <w:tblPr>
        <w:tblW w:w="0" w:type="auto"/>
        <w:tblCellSpacing w:w="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33"/>
        <w:gridCol w:w="1701"/>
      </w:tblGrid>
      <w:tr w:rsidR="004974FF">
        <w:trPr>
          <w:trHeight w:val="473"/>
          <w:tblCellSpacing w:w="0" w:type="dxa"/>
        </w:trPr>
        <w:tc>
          <w:tcPr>
            <w:tcW w:w="683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Số dân trung bình</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b/>
                <w:bCs/>
                <w:color w:val="auto"/>
                <w:sz w:val="28"/>
                <w:szCs w:val="28"/>
                <w:lang w:val="en-GB" w:eastAsia="en-GB"/>
              </w:rPr>
              <w:t>Điểm</w:t>
            </w:r>
          </w:p>
        </w:tc>
      </w:tr>
      <w:tr w:rsidR="004974FF">
        <w:trPr>
          <w:trHeight w:val="410"/>
          <w:tblCellSpacing w:w="0" w:type="dxa"/>
        </w:trPr>
        <w:tc>
          <w:tcPr>
            <w:tcW w:w="683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Đến 30.000 người</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color w:val="auto"/>
                <w:sz w:val="28"/>
                <w:szCs w:val="28"/>
                <w:lang w:val="en-GB" w:eastAsia="en-GB"/>
              </w:rPr>
              <w:t>10</w:t>
            </w:r>
          </w:p>
        </w:tc>
      </w:tr>
      <w:tr w:rsidR="004974FF">
        <w:trPr>
          <w:trHeight w:val="410"/>
          <w:tblCellSpacing w:w="0" w:type="dxa"/>
        </w:trPr>
        <w:tc>
          <w:tcPr>
            <w:tcW w:w="683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Trên 30.000, cứ tăng thêm 10.000 người được thêm</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color w:val="auto"/>
                <w:sz w:val="28"/>
                <w:szCs w:val="28"/>
                <w:lang w:val="en-GB" w:eastAsia="en-GB"/>
              </w:rPr>
              <w:t>1</w:t>
            </w:r>
          </w:p>
        </w:tc>
      </w:tr>
    </w:tbl>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ml:space="preserve">Dân số trung bình của các huyện, thành phố để tính toán điểm được xác định căn cứ vào số liệu công bố của Cục Thống kê tỉnh năm 2019. </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b) Tiêu chí về trình độ phát triển,</w:t>
      </w:r>
      <w:r>
        <w:rPr>
          <w:b/>
          <w:bCs/>
          <w:i/>
          <w:iCs/>
          <w:color w:val="auto"/>
          <w:sz w:val="28"/>
          <w:szCs w:val="28"/>
          <w:lang w:val="en-GB" w:eastAsia="en-GB"/>
        </w:rPr>
        <w:t> </w:t>
      </w:r>
      <w:r>
        <w:rPr>
          <w:color w:val="auto"/>
          <w:sz w:val="28"/>
          <w:szCs w:val="28"/>
          <w:lang w:val="en-GB" w:eastAsia="en-GB"/>
        </w:rPr>
        <w:t>bao gồm 2 tiêu chí: tỷ lệ hộ nghèo, thu nội địa (theo chuẩn của tỉnh, không bao gồm vốn từ nguồn sử dụng đất, xổ số kiến thiết).</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b.1) Điểm của tiêu chí tỷ lệ hộ nghèo:</w:t>
      </w:r>
    </w:p>
    <w:tbl>
      <w:tblPr>
        <w:tblW w:w="0" w:type="auto"/>
        <w:tblCellSpacing w:w="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33"/>
        <w:gridCol w:w="1701"/>
      </w:tblGrid>
      <w:tr w:rsidR="004974FF">
        <w:trPr>
          <w:trHeight w:val="473"/>
          <w:tblCellSpacing w:w="0" w:type="dxa"/>
        </w:trPr>
        <w:tc>
          <w:tcPr>
            <w:tcW w:w="683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Tỷ lệ hộ nghèo</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b/>
                <w:bCs/>
                <w:color w:val="auto"/>
                <w:sz w:val="28"/>
                <w:szCs w:val="28"/>
                <w:lang w:val="en-GB" w:eastAsia="en-GB"/>
              </w:rPr>
              <w:t>Điểm</w:t>
            </w:r>
          </w:p>
        </w:tc>
      </w:tr>
      <w:tr w:rsidR="004974FF">
        <w:trPr>
          <w:trHeight w:val="410"/>
          <w:tblCellSpacing w:w="0" w:type="dxa"/>
        </w:trPr>
        <w:tc>
          <w:tcPr>
            <w:tcW w:w="683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Đến 1% hộ nghèo</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color w:val="auto"/>
                <w:sz w:val="28"/>
                <w:szCs w:val="28"/>
                <w:lang w:val="en-GB" w:eastAsia="en-GB"/>
              </w:rPr>
              <w:t>0.1</w:t>
            </w:r>
          </w:p>
        </w:tc>
      </w:tr>
      <w:tr w:rsidR="004974FF">
        <w:trPr>
          <w:trHeight w:val="410"/>
          <w:tblCellSpacing w:w="0" w:type="dxa"/>
        </w:trPr>
        <w:tc>
          <w:tcPr>
            <w:tcW w:w="683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Trên 1% hộ nghèo, cứ tăng 1% hộ nghèo được tính thêm</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color w:val="auto"/>
                <w:sz w:val="28"/>
                <w:szCs w:val="28"/>
                <w:lang w:val="en-GB" w:eastAsia="en-GB"/>
              </w:rPr>
              <w:t>1</w:t>
            </w:r>
          </w:p>
        </w:tc>
      </w:tr>
    </w:tbl>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Tỷ lệ hộ nghèo (theo chuẩn của tỉnh) được xác định căn cứ số liệu công bố của Sở Lao động, Thương binh và Xã hội năm 2019.</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b.2) Điểm của tiêu chí thu nội địa (không bao gồm vốn từ nguồn sử dụng đất, xổ số kiến thiết).</w:t>
      </w:r>
    </w:p>
    <w:tbl>
      <w:tblPr>
        <w:tblW w:w="0" w:type="auto"/>
        <w:tblCellSpacing w:w="0" w:type="dxa"/>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13"/>
        <w:gridCol w:w="1701"/>
      </w:tblGrid>
      <w:tr w:rsidR="004974FF">
        <w:trPr>
          <w:trHeight w:val="473"/>
          <w:tblCellSpacing w:w="0" w:type="dxa"/>
        </w:trPr>
        <w:tc>
          <w:tcPr>
            <w:tcW w:w="671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Thu nội địa</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b/>
                <w:bCs/>
                <w:color w:val="auto"/>
                <w:sz w:val="28"/>
                <w:szCs w:val="28"/>
                <w:lang w:val="en-GB" w:eastAsia="en-GB"/>
              </w:rPr>
              <w:t>Điểm</w:t>
            </w:r>
          </w:p>
        </w:tc>
      </w:tr>
      <w:tr w:rsidR="004974FF">
        <w:trPr>
          <w:trHeight w:val="410"/>
          <w:tblCellSpacing w:w="0" w:type="dxa"/>
        </w:trPr>
        <w:tc>
          <w:tcPr>
            <w:tcW w:w="671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Đến 30 tỷ đồng</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color w:val="auto"/>
                <w:sz w:val="28"/>
                <w:szCs w:val="28"/>
                <w:lang w:val="en-GB" w:eastAsia="en-GB"/>
              </w:rPr>
              <w:t>4</w:t>
            </w:r>
          </w:p>
        </w:tc>
      </w:tr>
      <w:tr w:rsidR="004974FF">
        <w:trPr>
          <w:trHeight w:val="410"/>
          <w:tblCellSpacing w:w="0" w:type="dxa"/>
        </w:trPr>
        <w:tc>
          <w:tcPr>
            <w:tcW w:w="6713" w:type="dxa"/>
            <w:tcBorders>
              <w:top w:val="single" w:sz="4" w:space="0" w:color="000000"/>
              <w:left w:val="single" w:sz="4" w:space="0" w:color="000000"/>
              <w:bottom w:val="single" w:sz="4" w:space="0" w:color="000000"/>
              <w:right w:val="single" w:sz="4" w:space="0" w:color="000000"/>
            </w:tcBorders>
            <w:vAlign w:val="center"/>
          </w:tcPr>
          <w:p w:rsidR="004974FF" w:rsidRPr="0011765B" w:rsidRDefault="00C23B67" w:rsidP="0011765B">
            <w:pPr>
              <w:tabs>
                <w:tab w:val="left" w:pos="6661"/>
              </w:tabs>
              <w:spacing w:after="144"/>
              <w:rPr>
                <w:color w:val="auto"/>
                <w:sz w:val="28"/>
                <w:szCs w:val="28"/>
                <w:lang w:val="en-GB" w:eastAsia="en-GB"/>
              </w:rPr>
            </w:pPr>
            <w:r w:rsidRPr="0011765B">
              <w:rPr>
                <w:color w:val="auto"/>
                <w:sz w:val="28"/>
                <w:szCs w:val="28"/>
                <w:lang w:val="en-GB" w:eastAsia="en-GB"/>
              </w:rPr>
              <w:t>T</w:t>
            </w:r>
            <w:r w:rsidR="0011765B" w:rsidRPr="0011765B">
              <w:rPr>
                <w:color w:val="auto"/>
                <w:sz w:val="28"/>
                <w:szCs w:val="28"/>
                <w:lang w:val="en-GB" w:eastAsia="en-GB"/>
              </w:rPr>
              <w:t xml:space="preserve">rên </w:t>
            </w:r>
            <w:r w:rsidRPr="0011765B">
              <w:rPr>
                <w:color w:val="auto"/>
                <w:sz w:val="28"/>
                <w:szCs w:val="28"/>
                <w:lang w:val="en-GB" w:eastAsia="en-GB"/>
              </w:rPr>
              <w:t>30 tỷ đồng đến 60 tỷ đồng</w:t>
            </w:r>
            <w:r w:rsidR="0011765B" w:rsidRPr="0011765B">
              <w:rPr>
                <w:color w:val="auto"/>
                <w:sz w:val="28"/>
                <w:szCs w:val="28"/>
                <w:lang w:val="en-GB" w:eastAsia="en-GB"/>
              </w:rPr>
              <w:t xml:space="preserve"> được tính thêm</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Pr="0011765B" w:rsidRDefault="00C23B67" w:rsidP="00B51B10">
            <w:pPr>
              <w:tabs>
                <w:tab w:val="left" w:pos="6661"/>
              </w:tabs>
              <w:spacing w:after="144"/>
              <w:jc w:val="center"/>
              <w:rPr>
                <w:color w:val="auto"/>
                <w:sz w:val="28"/>
                <w:szCs w:val="28"/>
                <w:lang w:val="en-GB" w:eastAsia="en-GB"/>
              </w:rPr>
            </w:pPr>
            <w:r w:rsidRPr="0011765B">
              <w:rPr>
                <w:color w:val="auto"/>
                <w:sz w:val="28"/>
                <w:szCs w:val="28"/>
                <w:lang w:val="en-GB" w:eastAsia="en-GB"/>
              </w:rPr>
              <w:t>3</w:t>
            </w:r>
          </w:p>
        </w:tc>
      </w:tr>
      <w:tr w:rsidR="004974FF">
        <w:trPr>
          <w:trHeight w:val="410"/>
          <w:tblCellSpacing w:w="0" w:type="dxa"/>
        </w:trPr>
        <w:tc>
          <w:tcPr>
            <w:tcW w:w="6713" w:type="dxa"/>
            <w:tcBorders>
              <w:top w:val="single" w:sz="4" w:space="0" w:color="000000"/>
              <w:left w:val="single" w:sz="4" w:space="0" w:color="000000"/>
              <w:bottom w:val="single" w:sz="4" w:space="0" w:color="000000"/>
              <w:right w:val="single" w:sz="4" w:space="0" w:color="000000"/>
            </w:tcBorders>
            <w:vAlign w:val="center"/>
          </w:tcPr>
          <w:p w:rsidR="004974FF" w:rsidRPr="0011765B" w:rsidRDefault="00C23B67" w:rsidP="00B51B10">
            <w:pPr>
              <w:tabs>
                <w:tab w:val="left" w:pos="6661"/>
              </w:tabs>
              <w:spacing w:after="144"/>
              <w:rPr>
                <w:color w:val="auto"/>
                <w:sz w:val="28"/>
                <w:szCs w:val="28"/>
                <w:lang w:val="en-GB" w:eastAsia="en-GB"/>
              </w:rPr>
            </w:pPr>
            <w:r w:rsidRPr="0011765B">
              <w:rPr>
                <w:color w:val="auto"/>
                <w:sz w:val="28"/>
                <w:szCs w:val="28"/>
                <w:lang w:val="en-GB" w:eastAsia="en-GB"/>
              </w:rPr>
              <w:t>Trên 60 tỷ đồng đến 90 tỷ đồng</w:t>
            </w:r>
            <w:r w:rsidR="0011765B" w:rsidRPr="0011765B">
              <w:rPr>
                <w:color w:val="auto"/>
                <w:sz w:val="28"/>
                <w:szCs w:val="28"/>
                <w:lang w:val="en-GB" w:eastAsia="en-GB"/>
              </w:rPr>
              <w:t xml:space="preserve"> được tính thêm</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Pr="0011765B" w:rsidRDefault="00C23B67" w:rsidP="00B51B10">
            <w:pPr>
              <w:tabs>
                <w:tab w:val="left" w:pos="6661"/>
              </w:tabs>
              <w:spacing w:after="144"/>
              <w:jc w:val="center"/>
              <w:rPr>
                <w:color w:val="auto"/>
                <w:sz w:val="28"/>
                <w:szCs w:val="28"/>
                <w:lang w:val="en-GB" w:eastAsia="en-GB"/>
              </w:rPr>
            </w:pPr>
            <w:r w:rsidRPr="0011765B">
              <w:rPr>
                <w:color w:val="auto"/>
                <w:sz w:val="28"/>
                <w:szCs w:val="28"/>
                <w:lang w:val="en-GB" w:eastAsia="en-GB"/>
              </w:rPr>
              <w:t>2</w:t>
            </w:r>
          </w:p>
        </w:tc>
      </w:tr>
      <w:tr w:rsidR="004974FF">
        <w:trPr>
          <w:trHeight w:val="410"/>
          <w:tblCellSpacing w:w="0" w:type="dxa"/>
        </w:trPr>
        <w:tc>
          <w:tcPr>
            <w:tcW w:w="6713" w:type="dxa"/>
            <w:tcBorders>
              <w:top w:val="single" w:sz="4" w:space="0" w:color="000000"/>
              <w:left w:val="single" w:sz="4" w:space="0" w:color="000000"/>
              <w:bottom w:val="single" w:sz="4" w:space="0" w:color="000000"/>
              <w:right w:val="single" w:sz="4" w:space="0" w:color="000000"/>
            </w:tcBorders>
            <w:vAlign w:val="center"/>
          </w:tcPr>
          <w:p w:rsidR="004974FF" w:rsidRPr="0011765B" w:rsidRDefault="00C23B67" w:rsidP="00B51B10">
            <w:pPr>
              <w:tabs>
                <w:tab w:val="left" w:pos="6661"/>
              </w:tabs>
              <w:spacing w:after="144"/>
              <w:rPr>
                <w:color w:val="auto"/>
                <w:sz w:val="28"/>
                <w:szCs w:val="28"/>
                <w:lang w:val="en-GB" w:eastAsia="en-GB"/>
              </w:rPr>
            </w:pPr>
            <w:r w:rsidRPr="0011765B">
              <w:rPr>
                <w:color w:val="auto"/>
                <w:sz w:val="28"/>
                <w:szCs w:val="28"/>
                <w:lang w:val="en-GB" w:eastAsia="en-GB"/>
              </w:rPr>
              <w:t>Trên 90 tỷ đồng đến 120 tỷ đồng</w:t>
            </w:r>
            <w:r w:rsidR="0011765B" w:rsidRPr="0011765B">
              <w:rPr>
                <w:color w:val="auto"/>
                <w:sz w:val="28"/>
                <w:szCs w:val="28"/>
                <w:lang w:val="en-GB" w:eastAsia="en-GB"/>
              </w:rPr>
              <w:t xml:space="preserve"> được tính thêm</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Pr="0011765B" w:rsidRDefault="00C23B67" w:rsidP="00B51B10">
            <w:pPr>
              <w:tabs>
                <w:tab w:val="left" w:pos="6661"/>
              </w:tabs>
              <w:spacing w:after="144"/>
              <w:jc w:val="center"/>
              <w:rPr>
                <w:color w:val="auto"/>
                <w:sz w:val="28"/>
                <w:szCs w:val="28"/>
                <w:lang w:val="en-GB" w:eastAsia="en-GB"/>
              </w:rPr>
            </w:pPr>
            <w:r w:rsidRPr="0011765B">
              <w:rPr>
                <w:color w:val="auto"/>
                <w:sz w:val="28"/>
                <w:szCs w:val="28"/>
                <w:lang w:val="en-GB" w:eastAsia="en-GB"/>
              </w:rPr>
              <w:t>1</w:t>
            </w:r>
          </w:p>
        </w:tc>
      </w:tr>
      <w:tr w:rsidR="004974FF">
        <w:trPr>
          <w:trHeight w:val="410"/>
          <w:tblCellSpacing w:w="0" w:type="dxa"/>
        </w:trPr>
        <w:tc>
          <w:tcPr>
            <w:tcW w:w="6713" w:type="dxa"/>
            <w:tcBorders>
              <w:top w:val="single" w:sz="4" w:space="0" w:color="000000"/>
              <w:left w:val="single" w:sz="4" w:space="0" w:color="000000"/>
              <w:bottom w:val="single" w:sz="4" w:space="0" w:color="000000"/>
              <w:right w:val="single" w:sz="4" w:space="0" w:color="000000"/>
            </w:tcBorders>
            <w:vAlign w:val="center"/>
          </w:tcPr>
          <w:p w:rsidR="004974FF" w:rsidRPr="0011765B" w:rsidRDefault="00C23B67" w:rsidP="00B51B10">
            <w:pPr>
              <w:tabs>
                <w:tab w:val="left" w:pos="6661"/>
              </w:tabs>
              <w:spacing w:after="144"/>
              <w:rPr>
                <w:color w:val="auto"/>
                <w:sz w:val="28"/>
                <w:szCs w:val="28"/>
                <w:lang w:val="en-GB" w:eastAsia="en-GB"/>
              </w:rPr>
            </w:pPr>
            <w:r w:rsidRPr="0011765B">
              <w:rPr>
                <w:color w:val="auto"/>
                <w:sz w:val="28"/>
                <w:szCs w:val="28"/>
                <w:lang w:val="en-GB" w:eastAsia="en-GB"/>
              </w:rPr>
              <w:t>Trên 120 tỷ đồng</w:t>
            </w:r>
            <w:r w:rsidR="0011765B" w:rsidRPr="0011765B">
              <w:rPr>
                <w:color w:val="auto"/>
                <w:sz w:val="28"/>
                <w:szCs w:val="28"/>
                <w:lang w:val="en-GB" w:eastAsia="en-GB"/>
              </w:rPr>
              <w:t xml:space="preserve"> được tính thêm</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Pr="0011765B" w:rsidRDefault="00C23B67" w:rsidP="00B51B10">
            <w:pPr>
              <w:tabs>
                <w:tab w:val="left" w:pos="6661"/>
              </w:tabs>
              <w:spacing w:after="144"/>
              <w:jc w:val="center"/>
              <w:rPr>
                <w:color w:val="auto"/>
                <w:sz w:val="28"/>
                <w:szCs w:val="28"/>
                <w:lang w:val="en-GB" w:eastAsia="en-GB"/>
              </w:rPr>
            </w:pPr>
            <w:r w:rsidRPr="0011765B">
              <w:rPr>
                <w:color w:val="auto"/>
                <w:sz w:val="28"/>
                <w:szCs w:val="28"/>
                <w:lang w:val="en-GB" w:eastAsia="en-GB"/>
              </w:rPr>
              <w:t>0,5</w:t>
            </w:r>
          </w:p>
        </w:tc>
      </w:tr>
    </w:tbl>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Số thu nội địa (không bao gồm vốn từ nguồn sử dụng đất, xổ số kiến thiết) được tính điểm theo dự toán thu ngân sách năm 2020 do UBND tỉnh giao.</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c) Tiêu chí diện tích,</w:t>
      </w:r>
      <w:r>
        <w:rPr>
          <w:b/>
          <w:bCs/>
          <w:color w:val="auto"/>
          <w:sz w:val="28"/>
          <w:szCs w:val="28"/>
          <w:lang w:val="en-GB" w:eastAsia="en-GB"/>
        </w:rPr>
        <w:t> </w:t>
      </w:r>
      <w:r>
        <w:rPr>
          <w:color w:val="auto"/>
          <w:sz w:val="28"/>
          <w:szCs w:val="28"/>
          <w:lang w:val="en-GB" w:eastAsia="en-GB"/>
        </w:rPr>
        <w:t>bao gồm 2 tiêu chí: diện tích đất tự nhiên và tỷ lệ diện tích đất trồng lúa trên tổng diện tích đất tự nhiên.</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(1) Diện tích đất tự nhiên</w:t>
      </w:r>
    </w:p>
    <w:tbl>
      <w:tblPr>
        <w:tblW w:w="0" w:type="auto"/>
        <w:tblCellSpacing w:w="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33"/>
        <w:gridCol w:w="1701"/>
      </w:tblGrid>
      <w:tr w:rsidR="004974FF">
        <w:trPr>
          <w:trHeight w:val="473"/>
          <w:tblCellSpacing w:w="0" w:type="dxa"/>
        </w:trPr>
        <w:tc>
          <w:tcPr>
            <w:tcW w:w="683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Diện tích đất tự nhiên</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b/>
                <w:bCs/>
                <w:color w:val="auto"/>
                <w:sz w:val="28"/>
                <w:szCs w:val="28"/>
                <w:lang w:val="en-GB" w:eastAsia="en-GB"/>
              </w:rPr>
              <w:t>Điểm</w:t>
            </w:r>
          </w:p>
        </w:tc>
      </w:tr>
      <w:tr w:rsidR="004974FF">
        <w:trPr>
          <w:trHeight w:val="410"/>
          <w:tblCellSpacing w:w="0" w:type="dxa"/>
        </w:trPr>
        <w:tc>
          <w:tcPr>
            <w:tcW w:w="683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Các huyện, thị xã thành phố có diện tích đất tự nhiên đến 100 km</w:t>
            </w:r>
            <w:r>
              <w:rPr>
                <w:color w:val="auto"/>
                <w:sz w:val="28"/>
                <w:szCs w:val="28"/>
                <w:vertAlign w:val="superscript"/>
                <w:lang w:val="en-GB" w:eastAsia="en-GB"/>
              </w:rPr>
              <w:t>2</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color w:val="auto"/>
                <w:sz w:val="28"/>
                <w:szCs w:val="28"/>
                <w:lang w:val="en-GB" w:eastAsia="en-GB"/>
              </w:rPr>
              <w:t>8</w:t>
            </w:r>
          </w:p>
        </w:tc>
      </w:tr>
      <w:tr w:rsidR="004974FF">
        <w:trPr>
          <w:trHeight w:val="410"/>
          <w:tblCellSpacing w:w="0" w:type="dxa"/>
        </w:trPr>
        <w:tc>
          <w:tcPr>
            <w:tcW w:w="683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Trên 100 km</w:t>
            </w:r>
            <w:r>
              <w:rPr>
                <w:color w:val="auto"/>
                <w:sz w:val="28"/>
                <w:szCs w:val="28"/>
                <w:vertAlign w:val="superscript"/>
                <w:lang w:val="en-GB" w:eastAsia="en-GB"/>
              </w:rPr>
              <w:t>2</w:t>
            </w:r>
            <w:r>
              <w:rPr>
                <w:color w:val="auto"/>
                <w:sz w:val="28"/>
                <w:szCs w:val="28"/>
                <w:lang w:val="en-GB" w:eastAsia="en-GB"/>
              </w:rPr>
              <w:t xml:space="preserve"> đến 250 km</w:t>
            </w:r>
            <w:r>
              <w:rPr>
                <w:color w:val="auto"/>
                <w:sz w:val="28"/>
                <w:szCs w:val="28"/>
                <w:vertAlign w:val="superscript"/>
                <w:lang w:val="en-GB" w:eastAsia="en-GB"/>
              </w:rPr>
              <w:t>2</w:t>
            </w:r>
            <w:r>
              <w:rPr>
                <w:color w:val="auto"/>
                <w:sz w:val="28"/>
                <w:szCs w:val="28"/>
                <w:lang w:val="en-GB" w:eastAsia="en-GB"/>
              </w:rPr>
              <w:t>, địa phương có diện tích là 100 km</w:t>
            </w:r>
            <w:r>
              <w:rPr>
                <w:color w:val="auto"/>
                <w:sz w:val="28"/>
                <w:szCs w:val="28"/>
                <w:vertAlign w:val="superscript"/>
                <w:lang w:val="en-GB" w:eastAsia="en-GB"/>
              </w:rPr>
              <w:t xml:space="preserve">2 </w:t>
            </w:r>
            <w:r>
              <w:rPr>
                <w:color w:val="auto"/>
                <w:sz w:val="28"/>
                <w:szCs w:val="28"/>
                <w:lang w:val="en-GB" w:eastAsia="en-GB"/>
              </w:rPr>
              <w:t>được tính là 8 điểm, cứ 50 km</w:t>
            </w:r>
            <w:r>
              <w:rPr>
                <w:color w:val="auto"/>
                <w:sz w:val="28"/>
                <w:szCs w:val="28"/>
                <w:vertAlign w:val="superscript"/>
                <w:lang w:val="en-GB" w:eastAsia="en-GB"/>
              </w:rPr>
              <w:t>2</w:t>
            </w:r>
            <w:r>
              <w:rPr>
                <w:color w:val="auto"/>
                <w:sz w:val="28"/>
                <w:szCs w:val="28"/>
                <w:lang w:val="en-GB" w:eastAsia="en-GB"/>
              </w:rPr>
              <w:t xml:space="preserve"> tăng thêm được </w:t>
            </w:r>
            <w:r>
              <w:rPr>
                <w:color w:val="auto"/>
                <w:sz w:val="28"/>
                <w:szCs w:val="28"/>
                <w:lang w:val="en-GB" w:eastAsia="en-GB"/>
              </w:rPr>
              <w:lastRenderedPageBreak/>
              <w:t>tính thêm</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color w:val="auto"/>
                <w:sz w:val="28"/>
                <w:szCs w:val="28"/>
                <w:lang w:val="en-GB" w:eastAsia="en-GB"/>
              </w:rPr>
              <w:lastRenderedPageBreak/>
              <w:t>4</w:t>
            </w:r>
          </w:p>
        </w:tc>
      </w:tr>
      <w:tr w:rsidR="004974FF">
        <w:trPr>
          <w:trHeight w:val="410"/>
          <w:tblCellSpacing w:w="0" w:type="dxa"/>
        </w:trPr>
        <w:tc>
          <w:tcPr>
            <w:tcW w:w="683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lastRenderedPageBreak/>
              <w:t>Trên 250 km</w:t>
            </w:r>
            <w:r>
              <w:rPr>
                <w:color w:val="auto"/>
                <w:sz w:val="28"/>
                <w:szCs w:val="28"/>
                <w:vertAlign w:val="superscript"/>
                <w:lang w:val="en-GB" w:eastAsia="en-GB"/>
              </w:rPr>
              <w:t>2</w:t>
            </w:r>
            <w:r>
              <w:rPr>
                <w:color w:val="auto"/>
                <w:sz w:val="28"/>
                <w:szCs w:val="28"/>
                <w:lang w:val="en-GB" w:eastAsia="en-GB"/>
              </w:rPr>
              <w:t xml:space="preserve"> đến 400 km</w:t>
            </w:r>
            <w:r>
              <w:rPr>
                <w:color w:val="auto"/>
                <w:sz w:val="28"/>
                <w:szCs w:val="28"/>
                <w:vertAlign w:val="superscript"/>
                <w:lang w:val="en-GB" w:eastAsia="en-GB"/>
              </w:rPr>
              <w:t>2</w:t>
            </w:r>
            <w:r>
              <w:rPr>
                <w:color w:val="auto"/>
                <w:sz w:val="28"/>
                <w:szCs w:val="28"/>
                <w:lang w:val="en-GB" w:eastAsia="en-GB"/>
              </w:rPr>
              <w:t>, địa phương có diện tích là 250 km</w:t>
            </w:r>
            <w:r>
              <w:rPr>
                <w:color w:val="auto"/>
                <w:sz w:val="28"/>
                <w:szCs w:val="28"/>
                <w:vertAlign w:val="superscript"/>
                <w:lang w:val="en-GB" w:eastAsia="en-GB"/>
              </w:rPr>
              <w:t xml:space="preserve">2 </w:t>
            </w:r>
            <w:r>
              <w:rPr>
                <w:color w:val="auto"/>
                <w:sz w:val="28"/>
                <w:szCs w:val="28"/>
                <w:lang w:val="en-GB" w:eastAsia="en-GB"/>
              </w:rPr>
              <w:t>được tính là 20 điểm, cứ 50 km</w:t>
            </w:r>
            <w:r>
              <w:rPr>
                <w:color w:val="auto"/>
                <w:sz w:val="28"/>
                <w:szCs w:val="28"/>
                <w:vertAlign w:val="superscript"/>
                <w:lang w:val="en-GB" w:eastAsia="en-GB"/>
              </w:rPr>
              <w:t>2</w:t>
            </w:r>
            <w:r>
              <w:rPr>
                <w:color w:val="auto"/>
                <w:sz w:val="28"/>
                <w:szCs w:val="28"/>
                <w:lang w:val="en-GB" w:eastAsia="en-GB"/>
              </w:rPr>
              <w:t xml:space="preserve"> tăng thêm được tính thêm</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color w:val="auto"/>
                <w:sz w:val="28"/>
                <w:szCs w:val="28"/>
                <w:lang w:val="en-GB" w:eastAsia="en-GB"/>
              </w:rPr>
              <w:t>2</w:t>
            </w:r>
          </w:p>
        </w:tc>
      </w:tr>
      <w:tr w:rsidR="004974FF" w:rsidTr="00B85E0B">
        <w:trPr>
          <w:trHeight w:val="795"/>
          <w:tblCellSpacing w:w="0" w:type="dxa"/>
        </w:trPr>
        <w:tc>
          <w:tcPr>
            <w:tcW w:w="683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Trên 400 km</w:t>
            </w:r>
            <w:r>
              <w:rPr>
                <w:color w:val="auto"/>
                <w:sz w:val="28"/>
                <w:szCs w:val="28"/>
                <w:vertAlign w:val="superscript"/>
                <w:lang w:val="en-GB" w:eastAsia="en-GB"/>
              </w:rPr>
              <w:t>2</w:t>
            </w:r>
            <w:r>
              <w:rPr>
                <w:color w:val="auto"/>
                <w:sz w:val="28"/>
                <w:szCs w:val="28"/>
                <w:lang w:val="en-GB" w:eastAsia="en-GB"/>
              </w:rPr>
              <w:t>, địa phương có diện tích là 400 km</w:t>
            </w:r>
            <w:r>
              <w:rPr>
                <w:color w:val="auto"/>
                <w:sz w:val="28"/>
                <w:szCs w:val="28"/>
                <w:vertAlign w:val="superscript"/>
                <w:lang w:val="en-GB" w:eastAsia="en-GB"/>
              </w:rPr>
              <w:t xml:space="preserve">2 </w:t>
            </w:r>
            <w:r>
              <w:rPr>
                <w:color w:val="auto"/>
                <w:sz w:val="28"/>
                <w:szCs w:val="28"/>
                <w:lang w:val="en-GB" w:eastAsia="en-GB"/>
              </w:rPr>
              <w:t>được tính là 30 điểm cứ 50 km</w:t>
            </w:r>
            <w:r>
              <w:rPr>
                <w:color w:val="auto"/>
                <w:sz w:val="28"/>
                <w:szCs w:val="28"/>
                <w:vertAlign w:val="superscript"/>
                <w:lang w:val="en-GB" w:eastAsia="en-GB"/>
              </w:rPr>
              <w:t>2</w:t>
            </w:r>
            <w:r>
              <w:rPr>
                <w:color w:val="auto"/>
                <w:sz w:val="28"/>
                <w:szCs w:val="28"/>
                <w:lang w:val="en-GB" w:eastAsia="en-GB"/>
              </w:rPr>
              <w:t xml:space="preserve"> tăng thêm được tính thêm</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color w:val="auto"/>
                <w:sz w:val="28"/>
                <w:szCs w:val="28"/>
                <w:lang w:val="en-GB" w:eastAsia="en-GB"/>
              </w:rPr>
              <w:t>0,5</w:t>
            </w:r>
          </w:p>
        </w:tc>
      </w:tr>
    </w:tbl>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Diện tích đất tự nhiên để tính điểm căn cứ theo số liệu diện tích đất tự nhiên theo công bố của Cục Thống kê tỉnh năm 2019.</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(2) Tỷ lệ diện tích đất trồng lúa trên tổng diện tích đất tự nhiên</w:t>
      </w:r>
    </w:p>
    <w:tbl>
      <w:tblPr>
        <w:tblW w:w="0" w:type="auto"/>
        <w:tblCellSpacing w:w="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33"/>
        <w:gridCol w:w="1701"/>
      </w:tblGrid>
      <w:tr w:rsidR="004974FF">
        <w:trPr>
          <w:trHeight w:val="473"/>
          <w:tblCellSpacing w:w="0" w:type="dxa"/>
        </w:trPr>
        <w:tc>
          <w:tcPr>
            <w:tcW w:w="683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Tỷ lệ diện tích đất trồng lúa trên tổng diện tích đất tự nhiên</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b/>
                <w:bCs/>
                <w:color w:val="auto"/>
                <w:sz w:val="28"/>
                <w:szCs w:val="28"/>
                <w:lang w:val="en-GB" w:eastAsia="en-GB"/>
              </w:rPr>
              <w:t>Điểm</w:t>
            </w:r>
          </w:p>
        </w:tc>
      </w:tr>
      <w:tr w:rsidR="004974FF">
        <w:trPr>
          <w:trHeight w:val="410"/>
          <w:tblCellSpacing w:w="0" w:type="dxa"/>
        </w:trPr>
        <w:tc>
          <w:tcPr>
            <w:tcW w:w="683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Các địa phương có tỷ lệ đất trồng lúa đến 10%</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color w:val="auto"/>
                <w:sz w:val="28"/>
                <w:szCs w:val="28"/>
                <w:lang w:val="en-GB" w:eastAsia="en-GB"/>
              </w:rPr>
              <w:t>0,5</w:t>
            </w:r>
          </w:p>
        </w:tc>
      </w:tr>
      <w:tr w:rsidR="004974FF">
        <w:trPr>
          <w:trHeight w:val="410"/>
          <w:tblCellSpacing w:w="0" w:type="dxa"/>
        </w:trPr>
        <w:tc>
          <w:tcPr>
            <w:tcW w:w="683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Trên 10% đến 50%</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color w:val="auto"/>
                <w:sz w:val="28"/>
                <w:szCs w:val="28"/>
                <w:lang w:val="en-GB" w:eastAsia="en-GB"/>
              </w:rPr>
              <w:t>1</w:t>
            </w:r>
          </w:p>
        </w:tc>
      </w:tr>
      <w:tr w:rsidR="004974FF">
        <w:trPr>
          <w:trHeight w:val="410"/>
          <w:tblCellSpacing w:w="0" w:type="dxa"/>
        </w:trPr>
        <w:tc>
          <w:tcPr>
            <w:tcW w:w="683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Trên 50% trở lên</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color w:val="auto"/>
                <w:sz w:val="28"/>
                <w:szCs w:val="28"/>
                <w:lang w:val="en-GB" w:eastAsia="en-GB"/>
              </w:rPr>
              <w:t>2</w:t>
            </w:r>
          </w:p>
        </w:tc>
      </w:tr>
    </w:tbl>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Diện tích đất trồng lúa để tính điểm căn cứ trên diện tích đất trồng lúa theo số liệu công bố của Sở Tài Nguyên và Môi trường năm 2019.</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d) Tiêu chí đơn vị hành chính cấp xã,</w:t>
      </w:r>
      <w:r>
        <w:rPr>
          <w:b/>
          <w:bCs/>
          <w:color w:val="auto"/>
          <w:sz w:val="28"/>
          <w:szCs w:val="28"/>
          <w:lang w:val="en-GB" w:eastAsia="en-GB"/>
        </w:rPr>
        <w:t> </w:t>
      </w:r>
      <w:r>
        <w:rPr>
          <w:color w:val="auto"/>
          <w:sz w:val="28"/>
          <w:szCs w:val="28"/>
          <w:lang w:val="en-GB" w:eastAsia="en-GB"/>
        </w:rPr>
        <w:t>bao gồm: tiêu chí đơn vị hành chính cấp xã và xã biên giới.</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ml:space="preserve">(1) Điểm của tiêu chí đơn vị hành chính cấp xã: </w:t>
      </w:r>
    </w:p>
    <w:tbl>
      <w:tblPr>
        <w:tblW w:w="8534" w:type="dxa"/>
        <w:tblCellSpacing w:w="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33"/>
        <w:gridCol w:w="1701"/>
      </w:tblGrid>
      <w:tr w:rsidR="004974FF">
        <w:trPr>
          <w:trHeight w:val="473"/>
          <w:tblCellSpacing w:w="0" w:type="dxa"/>
        </w:trPr>
        <w:tc>
          <w:tcPr>
            <w:tcW w:w="683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Đơn vị hành chính cấp xã</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b/>
                <w:bCs/>
                <w:color w:val="auto"/>
                <w:sz w:val="28"/>
                <w:szCs w:val="28"/>
                <w:lang w:val="en-GB" w:eastAsia="en-GB"/>
              </w:rPr>
              <w:t>Điểm</w:t>
            </w:r>
          </w:p>
        </w:tc>
      </w:tr>
      <w:tr w:rsidR="004974FF">
        <w:trPr>
          <w:trHeight w:val="410"/>
          <w:tblCellSpacing w:w="0" w:type="dxa"/>
        </w:trPr>
        <w:tc>
          <w:tcPr>
            <w:tcW w:w="6833"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Mỗi xã, phường, thị trấn được tính</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color w:val="auto"/>
                <w:sz w:val="28"/>
                <w:szCs w:val="28"/>
                <w:lang w:val="en-GB" w:eastAsia="en-GB"/>
              </w:rPr>
              <w:t>0,5</w:t>
            </w:r>
          </w:p>
        </w:tc>
      </w:tr>
    </w:tbl>
    <w:p w:rsidR="004974FF" w:rsidRDefault="00C23B67" w:rsidP="00B51B10">
      <w:pPr>
        <w:tabs>
          <w:tab w:val="left" w:pos="6661"/>
        </w:tabs>
        <w:spacing w:after="144"/>
        <w:rPr>
          <w:color w:val="auto"/>
          <w:sz w:val="28"/>
          <w:szCs w:val="28"/>
          <w:shd w:val="clear" w:color="auto" w:fill="FFFFFF"/>
        </w:rPr>
      </w:pPr>
      <w:r>
        <w:rPr>
          <w:color w:val="auto"/>
          <w:sz w:val="28"/>
          <w:szCs w:val="28"/>
          <w:shd w:val="clear" w:color="auto" w:fill="FFFFFF"/>
        </w:rPr>
        <w:t>Số đơn vị hành chính cấp xã để tính toán điểm căn cứ vào số liệu của Sở Nội vụ cung cấp về số đơn vị hành chính cấp xã hàng năm.</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ml:space="preserve"> (2) Điểm của tiêu chí đơn vị hành chính cấp xã biên giới </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41"/>
        <w:gridCol w:w="1701"/>
      </w:tblGrid>
      <w:tr w:rsidR="004974FF">
        <w:trPr>
          <w:trHeight w:val="473"/>
          <w:tblCellSpacing w:w="0" w:type="dxa"/>
        </w:trPr>
        <w:tc>
          <w:tcPr>
            <w:tcW w:w="694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 xml:space="preserve">Đơn vị hành chính cấp xã biên giới </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b/>
                <w:bCs/>
                <w:color w:val="auto"/>
                <w:sz w:val="28"/>
                <w:szCs w:val="28"/>
                <w:lang w:val="en-GB" w:eastAsia="en-GB"/>
              </w:rPr>
              <w:t>Điểm</w:t>
            </w:r>
          </w:p>
        </w:tc>
      </w:tr>
      <w:tr w:rsidR="004974FF">
        <w:trPr>
          <w:trHeight w:val="410"/>
          <w:tblCellSpacing w:w="0" w:type="dxa"/>
        </w:trPr>
        <w:tc>
          <w:tcPr>
            <w:tcW w:w="694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Mỗi xã được tính</w:t>
            </w:r>
          </w:p>
        </w:tc>
        <w:tc>
          <w:tcPr>
            <w:tcW w:w="1701" w:type="dxa"/>
            <w:tcBorders>
              <w:top w:val="single" w:sz="4" w:space="0" w:color="000000"/>
              <w:left w:val="single" w:sz="4" w:space="0" w:color="000000"/>
              <w:bottom w:val="single" w:sz="4" w:space="0" w:color="000000"/>
              <w:right w:val="single" w:sz="4" w:space="0" w:color="000000"/>
            </w:tcBorders>
            <w:vAlign w:val="center"/>
          </w:tcPr>
          <w:p w:rsidR="004974FF" w:rsidRDefault="00C23B67" w:rsidP="00B51B10">
            <w:pPr>
              <w:tabs>
                <w:tab w:val="left" w:pos="6661"/>
              </w:tabs>
              <w:spacing w:after="144"/>
              <w:jc w:val="center"/>
              <w:rPr>
                <w:color w:val="auto"/>
                <w:sz w:val="28"/>
                <w:szCs w:val="28"/>
                <w:lang w:val="en-GB" w:eastAsia="en-GB"/>
              </w:rPr>
            </w:pPr>
            <w:r>
              <w:rPr>
                <w:color w:val="auto"/>
                <w:sz w:val="28"/>
                <w:szCs w:val="28"/>
                <w:lang w:val="en-GB" w:eastAsia="en-GB"/>
              </w:rPr>
              <w:t>0,2</w:t>
            </w:r>
          </w:p>
        </w:tc>
      </w:tr>
    </w:tbl>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ml:space="preserve">Số xã biên giới đất liền để tính toán điểm căn cứ vào Nghị định số </w:t>
      </w:r>
      <w:r>
        <w:rPr>
          <w:color w:val="auto"/>
          <w:sz w:val="28"/>
          <w:szCs w:val="28"/>
          <w:shd w:val="clear" w:color="auto" w:fill="FFFFFF"/>
          <w:lang w:val="en-GB" w:eastAsia="en-GB"/>
        </w:rPr>
        <w:t>34/2014/NĐ-CP</w:t>
      </w:r>
      <w:r>
        <w:rPr>
          <w:color w:val="auto"/>
          <w:sz w:val="28"/>
          <w:szCs w:val="28"/>
          <w:lang w:val="en-GB" w:eastAsia="en-GB"/>
        </w:rPr>
        <w:t xml:space="preserve"> ngày 29/4/2014 của Chính phủ </w:t>
      </w:r>
      <w:r>
        <w:rPr>
          <w:color w:val="auto"/>
          <w:sz w:val="28"/>
          <w:szCs w:val="28"/>
          <w:shd w:val="clear" w:color="auto" w:fill="FFFFFF"/>
          <w:lang w:val="en-GB" w:eastAsia="en-GB"/>
        </w:rPr>
        <w:t>về quy chế khu vực biên giới đất liền nước Cộng hòa Xã hội Chủ nghĩa Việt Nam</w:t>
      </w:r>
      <w:r>
        <w:rPr>
          <w:color w:val="auto"/>
          <w:sz w:val="28"/>
          <w:szCs w:val="28"/>
          <w:lang w:val="en-GB" w:eastAsia="en-GB"/>
        </w:rPr>
        <w:t>.</w:t>
      </w:r>
    </w:p>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 xml:space="preserve">4. Phương pháp tính mức vốn được phân bổ </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a) Căn cứ vào các tiêu chí trên để tính ra số điểm của từng huyện, thị xã, thành phố và tổng số điểm của 15 huyện, thị xã, thành phố làm căn cứ để phân bổ vốn đầu tư trong cân đối, theo các công thức sau:</w:t>
      </w:r>
    </w:p>
    <w:p w:rsidR="004974FF" w:rsidRDefault="00C23B67" w:rsidP="00B51B10">
      <w:pPr>
        <w:spacing w:after="144"/>
        <w:rPr>
          <w:color w:val="auto"/>
          <w:sz w:val="28"/>
          <w:szCs w:val="28"/>
          <w:lang w:val="en-GB" w:eastAsia="en-GB"/>
        </w:rPr>
      </w:pPr>
      <w:r>
        <w:rPr>
          <w:color w:val="auto"/>
          <w:sz w:val="28"/>
          <w:szCs w:val="28"/>
          <w:lang w:val="en-GB" w:eastAsia="en-GB"/>
        </w:rPr>
        <w:t>- Điểm của tiêu chí dân số của huyện thứ i là A</w:t>
      </w:r>
      <w:r>
        <w:rPr>
          <w:color w:val="auto"/>
          <w:sz w:val="28"/>
          <w:szCs w:val="28"/>
          <w:vertAlign w:val="subscript"/>
          <w:lang w:val="en-GB" w:eastAsia="en-GB"/>
        </w:rPr>
        <w:t>i</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lastRenderedPageBreak/>
        <w:t xml:space="preserve">- Điểm của tiêu chí trình độ phát triển   </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Gọi tổng số điểm tiêu chí trình độ phát triển của huyện thứ i là B</w:t>
      </w:r>
      <w:r>
        <w:rPr>
          <w:color w:val="auto"/>
          <w:sz w:val="28"/>
          <w:szCs w:val="28"/>
          <w:vertAlign w:val="subscript"/>
          <w:lang w:val="en-GB" w:eastAsia="en-GB"/>
        </w:rPr>
        <w:t>i</w:t>
      </w:r>
      <w:r>
        <w:rPr>
          <w:i/>
          <w:iCs/>
          <w:color w:val="auto"/>
          <w:sz w:val="28"/>
          <w:szCs w:val="28"/>
          <w:vertAlign w:val="subscript"/>
          <w:lang w:val="en-GB" w:eastAsia="en-GB"/>
        </w:rPr>
        <w:t> </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Gọi số điểm của tiêu chí tỷ lệ hộ nghèo huyện thứ i là n</w:t>
      </w:r>
      <w:r>
        <w:rPr>
          <w:color w:val="auto"/>
          <w:sz w:val="28"/>
          <w:szCs w:val="28"/>
          <w:vertAlign w:val="subscript"/>
          <w:lang w:val="en-GB" w:eastAsia="en-GB"/>
        </w:rPr>
        <w:t>i.</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Gọi số điểm của tiêu chí thu nội địa (không bao gồm vốn từ nguồn sử dụng đất, xổ số kiến thiết) huyện thứ i là p</w:t>
      </w:r>
      <w:r>
        <w:rPr>
          <w:color w:val="auto"/>
          <w:sz w:val="28"/>
          <w:szCs w:val="28"/>
          <w:vertAlign w:val="subscript"/>
          <w:lang w:val="en-GB" w:eastAsia="en-GB"/>
        </w:rPr>
        <w:t>i.</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Điểm của tiêu chí trình độ phát triển tỉnh thứ i sẽ là:</w:t>
      </w:r>
    </w:p>
    <w:p w:rsidR="004974FF" w:rsidRDefault="00C23B67" w:rsidP="00B51B10">
      <w:pPr>
        <w:tabs>
          <w:tab w:val="left" w:pos="3969"/>
        </w:tabs>
        <w:spacing w:after="144"/>
        <w:rPr>
          <w:color w:val="auto"/>
          <w:sz w:val="28"/>
          <w:szCs w:val="28"/>
          <w:lang w:val="en-GB" w:eastAsia="en-GB"/>
        </w:rPr>
      </w:pPr>
      <w:r>
        <w:rPr>
          <w:b/>
          <w:bCs/>
          <w:i/>
          <w:iCs/>
          <w:color w:val="auto"/>
          <w:sz w:val="28"/>
          <w:szCs w:val="28"/>
          <w:lang w:val="en-GB" w:eastAsia="en-GB"/>
        </w:rPr>
        <w:tab/>
      </w:r>
      <w:r>
        <w:rPr>
          <w:color w:val="auto"/>
          <w:sz w:val="28"/>
          <w:szCs w:val="28"/>
          <w:lang w:val="en-GB" w:eastAsia="en-GB"/>
        </w:rPr>
        <w:t>B</w:t>
      </w:r>
      <w:r>
        <w:rPr>
          <w:color w:val="auto"/>
          <w:sz w:val="28"/>
          <w:szCs w:val="28"/>
          <w:vertAlign w:val="subscript"/>
          <w:lang w:val="en-GB" w:eastAsia="en-GB"/>
        </w:rPr>
        <w:t xml:space="preserve">i </w:t>
      </w:r>
      <w:r>
        <w:rPr>
          <w:color w:val="auto"/>
          <w:sz w:val="28"/>
          <w:szCs w:val="28"/>
          <w:lang w:val="en-GB" w:eastAsia="en-GB"/>
        </w:rPr>
        <w:t>= n</w:t>
      </w:r>
      <w:r>
        <w:rPr>
          <w:color w:val="auto"/>
          <w:sz w:val="28"/>
          <w:szCs w:val="28"/>
          <w:vertAlign w:val="subscript"/>
          <w:lang w:val="en-GB" w:eastAsia="en-GB"/>
        </w:rPr>
        <w:t xml:space="preserve">i </w:t>
      </w:r>
      <w:r>
        <w:rPr>
          <w:color w:val="auto"/>
          <w:sz w:val="28"/>
          <w:szCs w:val="28"/>
          <w:lang w:val="en-GB" w:eastAsia="en-GB"/>
        </w:rPr>
        <w:t>+ p</w:t>
      </w:r>
      <w:r>
        <w:rPr>
          <w:color w:val="auto"/>
          <w:sz w:val="28"/>
          <w:szCs w:val="28"/>
          <w:vertAlign w:val="subscript"/>
          <w:lang w:val="en-GB" w:eastAsia="en-GB"/>
        </w:rPr>
        <w:t>i</w:t>
      </w:r>
      <w:r>
        <w:rPr>
          <w:color w:val="auto"/>
          <w:sz w:val="28"/>
          <w:szCs w:val="28"/>
          <w:lang w:val="en-GB" w:eastAsia="en-GB"/>
        </w:rPr>
        <w:t xml:space="preserve"> </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Điểm của tiêu chí diện tích</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Gọi tổng số điểm tiêu chí diện tích của huyện thứ i là C</w:t>
      </w:r>
      <w:r>
        <w:rPr>
          <w:color w:val="auto"/>
          <w:sz w:val="28"/>
          <w:szCs w:val="28"/>
          <w:vertAlign w:val="subscript"/>
          <w:lang w:val="en-GB" w:eastAsia="en-GB"/>
        </w:rPr>
        <w:t>i.</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Gọi số điểm diện tích tự nhiên là m</w:t>
      </w:r>
      <w:r>
        <w:rPr>
          <w:color w:val="auto"/>
          <w:sz w:val="28"/>
          <w:szCs w:val="28"/>
          <w:vertAlign w:val="subscript"/>
          <w:lang w:val="en-GB" w:eastAsia="en-GB"/>
        </w:rPr>
        <w:t>i.</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Gọi số điểm của tỷ lệ diện tích đất trồng lúa trên tổng diện tích là l</w:t>
      </w:r>
      <w:r>
        <w:rPr>
          <w:color w:val="auto"/>
          <w:sz w:val="28"/>
          <w:szCs w:val="28"/>
          <w:vertAlign w:val="subscript"/>
          <w:lang w:val="en-GB" w:eastAsia="en-GB"/>
        </w:rPr>
        <w:t>i.</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Điểm của tiêu chí diện tích là:</w:t>
      </w:r>
    </w:p>
    <w:p w:rsidR="004974FF" w:rsidRDefault="00C23B67" w:rsidP="00B51B10">
      <w:pPr>
        <w:tabs>
          <w:tab w:val="left" w:pos="3969"/>
        </w:tabs>
        <w:spacing w:after="144"/>
        <w:rPr>
          <w:color w:val="auto"/>
          <w:sz w:val="28"/>
          <w:szCs w:val="28"/>
          <w:lang w:val="en-GB" w:eastAsia="en-GB"/>
        </w:rPr>
      </w:pPr>
      <w:r>
        <w:rPr>
          <w:b/>
          <w:bCs/>
          <w:color w:val="auto"/>
          <w:sz w:val="28"/>
          <w:szCs w:val="28"/>
          <w:lang w:val="en-GB" w:eastAsia="en-GB"/>
        </w:rPr>
        <w:tab/>
      </w:r>
      <w:r>
        <w:rPr>
          <w:color w:val="auto"/>
          <w:sz w:val="28"/>
          <w:szCs w:val="28"/>
          <w:lang w:val="en-GB" w:eastAsia="en-GB"/>
        </w:rPr>
        <w:t>C</w:t>
      </w:r>
      <w:r>
        <w:rPr>
          <w:color w:val="auto"/>
          <w:sz w:val="28"/>
          <w:szCs w:val="28"/>
          <w:vertAlign w:val="subscript"/>
          <w:lang w:val="en-GB" w:eastAsia="en-GB"/>
        </w:rPr>
        <w:t>i</w:t>
      </w:r>
      <w:r>
        <w:rPr>
          <w:color w:val="auto"/>
          <w:sz w:val="28"/>
          <w:szCs w:val="28"/>
          <w:lang w:val="en-GB" w:eastAsia="en-GB"/>
        </w:rPr>
        <w:t xml:space="preserve"> =</w:t>
      </w:r>
      <w:r>
        <w:rPr>
          <w:color w:val="auto"/>
          <w:sz w:val="28"/>
          <w:szCs w:val="28"/>
          <w:vertAlign w:val="subscript"/>
          <w:lang w:val="en-GB" w:eastAsia="en-GB"/>
        </w:rPr>
        <w:t> </w:t>
      </w:r>
      <w:r>
        <w:rPr>
          <w:color w:val="auto"/>
          <w:sz w:val="28"/>
          <w:szCs w:val="28"/>
          <w:lang w:val="en-GB" w:eastAsia="en-GB"/>
        </w:rPr>
        <w:t>m</w:t>
      </w:r>
      <w:r>
        <w:rPr>
          <w:color w:val="auto"/>
          <w:sz w:val="28"/>
          <w:szCs w:val="28"/>
          <w:vertAlign w:val="subscript"/>
          <w:lang w:val="en-GB" w:eastAsia="en-GB"/>
        </w:rPr>
        <w:t xml:space="preserve">i </w:t>
      </w:r>
      <w:r>
        <w:rPr>
          <w:color w:val="auto"/>
          <w:sz w:val="28"/>
          <w:szCs w:val="28"/>
          <w:lang w:val="en-GB" w:eastAsia="en-GB"/>
        </w:rPr>
        <w:t>+</w:t>
      </w:r>
      <w:r>
        <w:rPr>
          <w:color w:val="auto"/>
          <w:sz w:val="28"/>
          <w:szCs w:val="28"/>
          <w:vertAlign w:val="subscript"/>
          <w:lang w:val="en-GB" w:eastAsia="en-GB"/>
        </w:rPr>
        <w:t> </w:t>
      </w:r>
      <w:r>
        <w:rPr>
          <w:color w:val="auto"/>
          <w:sz w:val="28"/>
          <w:szCs w:val="28"/>
          <w:lang w:val="en-GB" w:eastAsia="en-GB"/>
        </w:rPr>
        <w:t>l</w:t>
      </w:r>
      <w:r>
        <w:rPr>
          <w:color w:val="auto"/>
          <w:sz w:val="28"/>
          <w:szCs w:val="28"/>
          <w:vertAlign w:val="subscript"/>
          <w:lang w:val="en-GB" w:eastAsia="en-GB"/>
        </w:rPr>
        <w:t>i</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Điểm của tiêu chí đơn vị hành chính cấp xã</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Gọi số điểm của tiêu chí đơn vị hành chính cấp xã là D</w:t>
      </w:r>
      <w:r>
        <w:rPr>
          <w:color w:val="auto"/>
          <w:sz w:val="28"/>
          <w:szCs w:val="28"/>
          <w:vertAlign w:val="subscript"/>
          <w:lang w:val="en-GB" w:eastAsia="en-GB"/>
        </w:rPr>
        <w:t>i.</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Gọi số điểm của tiêu chí đơn vị hành chính cấp xã chung huyện thứ i là s</w:t>
      </w:r>
      <w:r>
        <w:rPr>
          <w:color w:val="auto"/>
          <w:sz w:val="28"/>
          <w:szCs w:val="28"/>
          <w:vertAlign w:val="subscript"/>
          <w:lang w:val="en-GB" w:eastAsia="en-GB"/>
        </w:rPr>
        <w:t xml:space="preserve">i. </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Gọi số điểm của tiêu chí đơn vị hành chính cấp xã biên giới huyện thứ i là v</w:t>
      </w:r>
      <w:r>
        <w:rPr>
          <w:color w:val="auto"/>
          <w:sz w:val="28"/>
          <w:szCs w:val="28"/>
          <w:vertAlign w:val="subscript"/>
          <w:lang w:val="en-GB" w:eastAsia="en-GB"/>
        </w:rPr>
        <w:t>i.</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Tổng số điểm của tiêu chí đơn vị hành chính huyện thứ i sẽ là D</w:t>
      </w:r>
      <w:r>
        <w:rPr>
          <w:color w:val="auto"/>
          <w:sz w:val="28"/>
          <w:szCs w:val="28"/>
          <w:vertAlign w:val="subscript"/>
          <w:lang w:val="en-GB" w:eastAsia="en-GB"/>
        </w:rPr>
        <w:t>i</w:t>
      </w:r>
      <w:r>
        <w:rPr>
          <w:color w:val="auto"/>
          <w:sz w:val="28"/>
          <w:szCs w:val="28"/>
          <w:lang w:val="en-GB" w:eastAsia="en-GB"/>
        </w:rPr>
        <w:t>:</w:t>
      </w:r>
    </w:p>
    <w:p w:rsidR="004974FF" w:rsidRDefault="00C23B67" w:rsidP="00B51B10">
      <w:pPr>
        <w:tabs>
          <w:tab w:val="left" w:pos="3969"/>
        </w:tabs>
        <w:spacing w:after="144"/>
        <w:rPr>
          <w:color w:val="auto"/>
          <w:sz w:val="28"/>
          <w:szCs w:val="28"/>
          <w:lang w:val="en-GB" w:eastAsia="en-GB"/>
        </w:rPr>
      </w:pPr>
      <w:r>
        <w:rPr>
          <w:b/>
          <w:bCs/>
          <w:i/>
          <w:iCs/>
          <w:color w:val="auto"/>
          <w:sz w:val="28"/>
          <w:szCs w:val="28"/>
          <w:lang w:val="en-GB" w:eastAsia="en-GB"/>
        </w:rPr>
        <w:tab/>
      </w:r>
      <w:r>
        <w:rPr>
          <w:color w:val="auto"/>
          <w:sz w:val="28"/>
          <w:szCs w:val="28"/>
          <w:lang w:val="en-GB" w:eastAsia="en-GB"/>
        </w:rPr>
        <w:t>D</w:t>
      </w:r>
      <w:r>
        <w:rPr>
          <w:color w:val="auto"/>
          <w:sz w:val="28"/>
          <w:szCs w:val="28"/>
          <w:vertAlign w:val="subscript"/>
          <w:lang w:val="en-GB" w:eastAsia="en-GB"/>
        </w:rPr>
        <w:t xml:space="preserve">i = </w:t>
      </w:r>
      <w:r>
        <w:rPr>
          <w:color w:val="auto"/>
          <w:sz w:val="28"/>
          <w:szCs w:val="28"/>
          <w:lang w:val="en-GB" w:eastAsia="en-GB"/>
        </w:rPr>
        <w:t>s</w:t>
      </w:r>
      <w:r>
        <w:rPr>
          <w:color w:val="auto"/>
          <w:sz w:val="28"/>
          <w:szCs w:val="28"/>
          <w:vertAlign w:val="subscript"/>
          <w:lang w:val="en-GB" w:eastAsia="en-GB"/>
        </w:rPr>
        <w:t>i</w:t>
      </w:r>
      <w:r>
        <w:rPr>
          <w:color w:val="auto"/>
          <w:sz w:val="28"/>
          <w:szCs w:val="28"/>
          <w:lang w:val="en-GB" w:eastAsia="en-GB"/>
        </w:rPr>
        <w:t xml:space="preserve"> + v</w:t>
      </w:r>
      <w:r>
        <w:rPr>
          <w:color w:val="auto"/>
          <w:sz w:val="28"/>
          <w:szCs w:val="28"/>
          <w:vertAlign w:val="subscript"/>
          <w:lang w:val="en-GB" w:eastAsia="en-GB"/>
        </w:rPr>
        <w:t xml:space="preserve"> i </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Gọi tổng số điểm của huyện thứ i là X</w:t>
      </w:r>
      <w:r>
        <w:rPr>
          <w:i/>
          <w:iCs/>
          <w:color w:val="auto"/>
          <w:sz w:val="28"/>
          <w:szCs w:val="28"/>
          <w:vertAlign w:val="subscript"/>
          <w:lang w:val="en-GB" w:eastAsia="en-GB"/>
        </w:rPr>
        <w:t>i</w:t>
      </w:r>
      <w:r>
        <w:rPr>
          <w:color w:val="auto"/>
          <w:sz w:val="28"/>
          <w:szCs w:val="28"/>
          <w:lang w:val="en-GB" w:eastAsia="en-GB"/>
        </w:rPr>
        <w:t xml:space="preserve"> thì:</w:t>
      </w:r>
    </w:p>
    <w:p w:rsidR="004974FF" w:rsidRDefault="00C23B67" w:rsidP="00B51B10">
      <w:pPr>
        <w:tabs>
          <w:tab w:val="left" w:pos="3969"/>
        </w:tabs>
        <w:spacing w:after="144"/>
        <w:rPr>
          <w:color w:val="auto"/>
          <w:sz w:val="28"/>
          <w:szCs w:val="28"/>
          <w:lang w:val="en-GB" w:eastAsia="en-GB"/>
        </w:rPr>
      </w:pPr>
      <w:r>
        <w:rPr>
          <w:b/>
          <w:bCs/>
          <w:i/>
          <w:iCs/>
          <w:color w:val="auto"/>
          <w:sz w:val="28"/>
          <w:szCs w:val="28"/>
          <w:lang w:val="en-GB" w:eastAsia="en-GB"/>
        </w:rPr>
        <w:tab/>
      </w:r>
      <w:r>
        <w:rPr>
          <w:i/>
          <w:iCs/>
          <w:color w:val="auto"/>
          <w:sz w:val="28"/>
          <w:szCs w:val="28"/>
          <w:lang w:val="en-GB" w:eastAsia="en-GB"/>
        </w:rPr>
        <w:t>X</w:t>
      </w:r>
      <w:r>
        <w:rPr>
          <w:i/>
          <w:iCs/>
          <w:color w:val="auto"/>
          <w:sz w:val="28"/>
          <w:szCs w:val="28"/>
          <w:vertAlign w:val="subscript"/>
          <w:lang w:val="en-GB" w:eastAsia="en-GB"/>
        </w:rPr>
        <w:t xml:space="preserve">i  </w:t>
      </w:r>
      <w:r>
        <w:rPr>
          <w:i/>
          <w:iCs/>
          <w:color w:val="auto"/>
          <w:sz w:val="28"/>
          <w:szCs w:val="28"/>
          <w:lang w:val="en-GB" w:eastAsia="en-GB"/>
        </w:rPr>
        <w:t>= A</w:t>
      </w:r>
      <w:r>
        <w:rPr>
          <w:i/>
          <w:iCs/>
          <w:color w:val="auto"/>
          <w:sz w:val="28"/>
          <w:szCs w:val="28"/>
          <w:vertAlign w:val="subscript"/>
          <w:lang w:val="en-GB" w:eastAsia="en-GB"/>
        </w:rPr>
        <w:t>i</w:t>
      </w:r>
      <w:r>
        <w:rPr>
          <w:i/>
          <w:iCs/>
          <w:color w:val="auto"/>
          <w:sz w:val="28"/>
          <w:szCs w:val="28"/>
          <w:lang w:val="en-GB" w:eastAsia="en-GB"/>
        </w:rPr>
        <w:t xml:space="preserve"> + B</w:t>
      </w:r>
      <w:r>
        <w:rPr>
          <w:i/>
          <w:iCs/>
          <w:color w:val="auto"/>
          <w:sz w:val="28"/>
          <w:szCs w:val="28"/>
          <w:vertAlign w:val="subscript"/>
          <w:lang w:val="en-GB" w:eastAsia="en-GB"/>
        </w:rPr>
        <w:t>i</w:t>
      </w:r>
      <w:r>
        <w:rPr>
          <w:i/>
          <w:iCs/>
          <w:color w:val="auto"/>
          <w:sz w:val="28"/>
          <w:szCs w:val="28"/>
          <w:lang w:val="en-GB" w:eastAsia="en-GB"/>
        </w:rPr>
        <w:t xml:space="preserve"> + C</w:t>
      </w:r>
      <w:r>
        <w:rPr>
          <w:i/>
          <w:iCs/>
          <w:color w:val="auto"/>
          <w:sz w:val="28"/>
          <w:szCs w:val="28"/>
          <w:vertAlign w:val="subscript"/>
          <w:lang w:val="en-GB" w:eastAsia="en-GB"/>
        </w:rPr>
        <w:t>i</w:t>
      </w:r>
      <w:r>
        <w:rPr>
          <w:i/>
          <w:iCs/>
          <w:color w:val="auto"/>
          <w:sz w:val="28"/>
          <w:szCs w:val="28"/>
          <w:lang w:val="en-GB" w:eastAsia="en-GB"/>
        </w:rPr>
        <w:t xml:space="preserve"> + D</w:t>
      </w:r>
      <w:r>
        <w:rPr>
          <w:i/>
          <w:iCs/>
          <w:color w:val="auto"/>
          <w:sz w:val="28"/>
          <w:szCs w:val="28"/>
          <w:vertAlign w:val="subscript"/>
          <w:lang w:val="en-GB" w:eastAsia="en-GB"/>
        </w:rPr>
        <w:t>i</w:t>
      </w:r>
      <w:r>
        <w:rPr>
          <w:i/>
          <w:iCs/>
          <w:color w:val="auto"/>
          <w:sz w:val="28"/>
          <w:szCs w:val="28"/>
          <w:lang w:val="en-GB" w:eastAsia="en-GB"/>
        </w:rPr>
        <w:t xml:space="preserve"> </w:t>
      </w:r>
    </w:p>
    <w:p w:rsidR="004974FF" w:rsidRDefault="00C23B67" w:rsidP="00B51B10">
      <w:pPr>
        <w:tabs>
          <w:tab w:val="center" w:pos="6660"/>
        </w:tabs>
        <w:spacing w:after="144"/>
        <w:rPr>
          <w:color w:val="auto"/>
          <w:sz w:val="28"/>
          <w:szCs w:val="28"/>
          <w:lang w:val="it-IT"/>
        </w:rPr>
      </w:pPr>
      <w:r>
        <w:rPr>
          <w:color w:val="auto"/>
          <w:sz w:val="28"/>
          <w:szCs w:val="28"/>
          <w:lang w:val="it-IT"/>
        </w:rPr>
        <w:t>- Tổng số điểm của 15 huyện, thành phố là Y, ta có:</w:t>
      </w:r>
    </w:p>
    <w:p w:rsidR="004974FF" w:rsidRDefault="00C23B67" w:rsidP="00B51B10">
      <w:pPr>
        <w:tabs>
          <w:tab w:val="center" w:pos="3969"/>
        </w:tabs>
        <w:spacing w:after="144"/>
        <w:rPr>
          <w:b/>
          <w:i/>
          <w:color w:val="auto"/>
          <w:sz w:val="28"/>
          <w:szCs w:val="28"/>
          <w:lang w:val="sv-SE"/>
        </w:rPr>
      </w:pPr>
      <w:r>
        <w:rPr>
          <w:b/>
          <w:i/>
          <w:color w:val="auto"/>
          <w:sz w:val="28"/>
          <w:szCs w:val="28"/>
          <w:lang w:val="sv-SE"/>
        </w:rPr>
        <w:tab/>
      </w:r>
      <w:r w:rsidR="008826FE">
        <w:rPr>
          <w:b/>
          <w:i/>
          <w:noProof/>
          <w:color w:val="auto"/>
          <w:sz w:val="28"/>
          <w:szCs w:val="28"/>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635000" cy="635000"/>
                <wp:effectExtent l="19050" t="19050" r="12700" b="12700"/>
                <wp:wrapNone/>
                <wp:docPr id="1" name="AutoShape 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AutoShape 3" o:spid="_x0000_s1026"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">
                <v:stroke joinstyle="round"/>
                <o:lock v:ext="edit" selection="t"/>
              </v:rect>
            </w:pict>
          </mc:Fallback>
        </mc:AlternateContent>
      </w:r>
      <w:r w:rsidRPr="00203070">
        <w:rPr>
          <w:b/>
          <w:i/>
          <w:color w:val="auto"/>
          <w:sz w:val="28"/>
          <w:szCs w:val="28"/>
          <w:lang w:val="sv-SE"/>
        </w:rPr>
        <w:object w:dxaOrig="1500" w:dyaOrig="10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50.7pt;mso-wrap-distance-left:0;mso-wrap-distance-top:0;mso-wrap-distance-right:0;mso-wrap-distance-bottom:0" o:ole="">
            <v:imagedata r:id="rId8" o:title=""/>
            <v:path textboxrect="0,0,0,0"/>
          </v:shape>
          <o:OLEObject Type="Embed" ProgID="Equation.3" ShapeID="_x0000_i1025" DrawAspect="Content" ObjectID="_1670806994" r:id="rId9"/>
        </w:object>
      </w:r>
    </w:p>
    <w:p w:rsidR="004974FF" w:rsidRDefault="00C23B67" w:rsidP="00B51B10">
      <w:pPr>
        <w:tabs>
          <w:tab w:val="center" w:pos="6660"/>
        </w:tabs>
        <w:spacing w:after="144"/>
        <w:rPr>
          <w:color w:val="auto"/>
          <w:sz w:val="28"/>
          <w:szCs w:val="28"/>
          <w:lang w:val="sv-SE"/>
        </w:rPr>
      </w:pPr>
      <w:r>
        <w:rPr>
          <w:color w:val="auto"/>
          <w:sz w:val="28"/>
          <w:szCs w:val="28"/>
          <w:lang w:val="sv-SE"/>
        </w:rPr>
        <w:t>b) Số vốn phân bổ cho 1 điểm được tính theo công thức:</w:t>
      </w:r>
    </w:p>
    <w:p w:rsidR="004974FF" w:rsidRDefault="00C23B67" w:rsidP="00B51B10">
      <w:pPr>
        <w:tabs>
          <w:tab w:val="left" w:pos="6662"/>
        </w:tabs>
        <w:spacing w:after="144"/>
        <w:rPr>
          <w:color w:val="auto"/>
          <w:sz w:val="28"/>
          <w:szCs w:val="28"/>
          <w:lang w:val="en-GB" w:eastAsia="en-GB"/>
        </w:rPr>
      </w:pPr>
      <w:r>
        <w:rPr>
          <w:color w:val="auto"/>
          <w:sz w:val="28"/>
          <w:szCs w:val="28"/>
          <w:lang w:val="en-GB" w:eastAsia="en-GB"/>
        </w:rPr>
        <w:t>Gọi: K là tổng số vốn đầu tư công trong cân đối ngân sách địa phương (không bao gồm vốn từ nguồn sử dụng đất, xổ số kiến thiết).</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Z là số vốn định mức cho một điểm phân bổ vốn đầu tư, ta có:</w:t>
      </w:r>
    </w:p>
    <w:p w:rsidR="004974FF" w:rsidRDefault="00C23B67" w:rsidP="00B51B10">
      <w:pPr>
        <w:tabs>
          <w:tab w:val="left" w:pos="3969"/>
        </w:tabs>
        <w:spacing w:after="144"/>
        <w:rPr>
          <w:color w:val="auto"/>
          <w:sz w:val="28"/>
          <w:szCs w:val="28"/>
          <w:lang w:val="en-GB" w:eastAsia="en-GB"/>
        </w:rPr>
      </w:pPr>
      <w:r>
        <w:rPr>
          <w:color w:val="auto"/>
          <w:sz w:val="28"/>
          <w:szCs w:val="28"/>
          <w:lang w:val="en-GB" w:eastAsia="en-GB"/>
        </w:rPr>
        <w:tab/>
      </w:r>
      <w:r>
        <w:rPr>
          <w:b/>
          <w:noProof/>
          <w:color w:val="auto"/>
          <w:sz w:val="28"/>
          <w:szCs w:val="28"/>
        </w:rPr>
        <w:drawing>
          <wp:inline distT="0" distB="0" distL="0" distR="0">
            <wp:extent cx="685800" cy="60007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10" cstate="print"/>
                    <a:stretch/>
                  </pic:blipFill>
                  <pic:spPr bwMode="auto">
                    <a:xfrm>
                      <a:off x="0" y="0"/>
                      <a:ext cx="685800" cy="600075"/>
                    </a:xfrm>
                    <a:prstGeom prst="rect">
                      <a:avLst/>
                    </a:prstGeom>
                    <a:noFill/>
                    <a:ln>
                      <a:noFill/>
                    </a:ln>
                  </pic:spPr>
                </pic:pic>
              </a:graphicData>
            </a:graphic>
          </wp:inline>
        </w:drawing>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lastRenderedPageBreak/>
        <w:t>c) Tổng số vốn trong cân đối (không bao gồm vốn từ nguồn sử dụng đất, xổ số kiến thiết) của từng địa phương được tính theo công thức:</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Gọi V</w:t>
      </w:r>
      <w:r>
        <w:rPr>
          <w:color w:val="auto"/>
          <w:sz w:val="28"/>
          <w:szCs w:val="28"/>
          <w:vertAlign w:val="subscript"/>
          <w:lang w:val="en-GB" w:eastAsia="en-GB"/>
        </w:rPr>
        <w:t>i</w:t>
      </w:r>
      <w:r>
        <w:rPr>
          <w:color w:val="auto"/>
          <w:sz w:val="28"/>
          <w:szCs w:val="28"/>
          <w:lang w:val="en-GB" w:eastAsia="en-GB"/>
        </w:rPr>
        <w:t xml:space="preserve"> là số vốn trong cân đối (không bao gồm vốn từ nguồn sử dụng đất, xổ số kiến thiết):</w:t>
      </w:r>
    </w:p>
    <w:p w:rsidR="004974FF" w:rsidRDefault="00C23B67" w:rsidP="00B51B10">
      <w:pPr>
        <w:tabs>
          <w:tab w:val="left" w:pos="3969"/>
        </w:tabs>
        <w:spacing w:after="144"/>
        <w:rPr>
          <w:color w:val="auto"/>
          <w:sz w:val="28"/>
          <w:szCs w:val="28"/>
          <w:lang w:val="en-GB" w:eastAsia="en-GB"/>
        </w:rPr>
      </w:pPr>
      <w:r>
        <w:rPr>
          <w:b/>
          <w:bCs/>
          <w:i/>
          <w:iCs/>
          <w:color w:val="auto"/>
          <w:sz w:val="28"/>
          <w:szCs w:val="28"/>
          <w:lang w:val="en-GB" w:eastAsia="en-GB"/>
        </w:rPr>
        <w:tab/>
        <w:t>V</w:t>
      </w:r>
      <w:r>
        <w:rPr>
          <w:b/>
          <w:bCs/>
          <w:i/>
          <w:iCs/>
          <w:color w:val="auto"/>
          <w:sz w:val="28"/>
          <w:szCs w:val="28"/>
          <w:vertAlign w:val="subscript"/>
          <w:lang w:val="en-GB" w:eastAsia="en-GB"/>
        </w:rPr>
        <w:t>i</w:t>
      </w:r>
      <w:r>
        <w:rPr>
          <w:b/>
          <w:bCs/>
          <w:i/>
          <w:iCs/>
          <w:color w:val="auto"/>
          <w:sz w:val="28"/>
          <w:szCs w:val="28"/>
          <w:lang w:val="en-GB" w:eastAsia="en-GB"/>
        </w:rPr>
        <w:t xml:space="preserve"> = Z x X</w:t>
      </w:r>
      <w:r>
        <w:rPr>
          <w:b/>
          <w:bCs/>
          <w:i/>
          <w:iCs/>
          <w:color w:val="auto"/>
          <w:sz w:val="28"/>
          <w:szCs w:val="28"/>
          <w:vertAlign w:val="subscript"/>
          <w:lang w:val="en-GB" w:eastAsia="en-GB"/>
        </w:rPr>
        <w:t>i</w:t>
      </w:r>
    </w:p>
    <w:p w:rsidR="004974FF" w:rsidRDefault="00C23B67" w:rsidP="00B51B10">
      <w:pPr>
        <w:spacing w:after="144"/>
        <w:rPr>
          <w:color w:val="auto"/>
          <w:sz w:val="28"/>
          <w:szCs w:val="28"/>
          <w:lang w:val="en-GB" w:eastAsia="en-GB"/>
        </w:rPr>
      </w:pPr>
      <w:r>
        <w:rPr>
          <w:b/>
          <w:bCs/>
          <w:color w:val="auto"/>
          <w:sz w:val="28"/>
          <w:szCs w:val="28"/>
          <w:lang w:val="en-GB" w:eastAsia="en-GB"/>
        </w:rPr>
        <w:t>5. Vốn đầu tư công trong cân đối nguồn ngân sách địa phương</w:t>
      </w:r>
    </w:p>
    <w:p w:rsidR="004974FF" w:rsidRDefault="00C23B67" w:rsidP="00B51B10">
      <w:pPr>
        <w:spacing w:after="144"/>
        <w:rPr>
          <w:color w:val="auto"/>
          <w:sz w:val="28"/>
          <w:szCs w:val="28"/>
          <w:lang w:val="en-GB" w:eastAsia="en-GB"/>
        </w:rPr>
      </w:pPr>
      <w:r>
        <w:rPr>
          <w:b/>
          <w:bCs/>
          <w:color w:val="auto"/>
          <w:sz w:val="28"/>
          <w:szCs w:val="28"/>
          <w:lang w:val="en-GB" w:eastAsia="en-GB"/>
        </w:rPr>
        <w:t> </w:t>
      </w:r>
      <w:r>
        <w:rPr>
          <w:color w:val="auto"/>
          <w:sz w:val="28"/>
          <w:szCs w:val="28"/>
          <w:lang w:val="en-GB" w:eastAsia="en-GB"/>
        </w:rPr>
        <w:t>- Kế hoạch vốn đầu tư công trong cân đối nguồn ngân sách địa phương (không bao gồm vốn từ nguồn sử dụng đất, xổ số kiến thiết) giai đoạn 2021-2025 được định hướng tính trên tốc độ tăng bình quân chung từ 10%, riêng năm 2021 được xây dựng phù hợp với định hướng mục tiêu kế hoạch phát triển kinh tế - xã hội 5 năm 2021-2025 và mục tiêu, nhiệm vụ cụ thể phát triển kinh tế - xã hội của năm 2021; kết quả thực hiện dự toán ngân sách của địa phương năm 2019, ước thực hiện năm 2020.</w:t>
      </w:r>
    </w:p>
    <w:p w:rsidR="004974FF" w:rsidRDefault="00C23B67" w:rsidP="00B51B10">
      <w:pPr>
        <w:spacing w:after="144"/>
        <w:rPr>
          <w:color w:val="auto"/>
          <w:sz w:val="28"/>
          <w:szCs w:val="28"/>
          <w:lang w:val="en-GB" w:eastAsia="en-GB"/>
        </w:rPr>
      </w:pPr>
      <w:r>
        <w:rPr>
          <w:color w:val="auto"/>
          <w:sz w:val="28"/>
          <w:szCs w:val="28"/>
          <w:lang w:val="en-GB" w:eastAsia="en-GB"/>
        </w:rPr>
        <w:t>- Kế hoạch vốn đầu tư công các năm tiếp theo trong giai đoạn 2021-2025 xác định từng năm trên cơ sở tốc độ tăng trưởng bình quân 5 năm vốn đầu tư công nguồn ngân sách địa phương so với vốn đầu tư công năm 2021 (không bao gồm vốn từ nguồn sử dụng đất, xổ số kiến thiết).</w:t>
      </w:r>
    </w:p>
    <w:p w:rsidR="004974FF" w:rsidRDefault="00C23B67" w:rsidP="00B51B10">
      <w:pPr>
        <w:tabs>
          <w:tab w:val="left" w:pos="6661"/>
        </w:tabs>
        <w:spacing w:after="144"/>
        <w:rPr>
          <w:b/>
          <w:bCs/>
          <w:color w:val="auto"/>
          <w:sz w:val="28"/>
          <w:szCs w:val="28"/>
          <w:lang w:val="en-GB" w:eastAsia="en-GB"/>
        </w:rPr>
      </w:pPr>
      <w:r>
        <w:rPr>
          <w:b/>
          <w:bCs/>
          <w:color w:val="auto"/>
          <w:sz w:val="28"/>
          <w:szCs w:val="28"/>
          <w:lang w:val="en-GB" w:eastAsia="en-GB"/>
        </w:rPr>
        <w:t>III. TỶ LỆ PHÂN BỔ NGÂN SÁCH TRONG NƯỚC CHO NGÂN SÁCH CẤP TỈNH, CẤP HUYỆN</w:t>
      </w:r>
    </w:p>
    <w:p w:rsidR="004974FF" w:rsidRDefault="00C23B67" w:rsidP="00B51B10">
      <w:pPr>
        <w:tabs>
          <w:tab w:val="left" w:pos="6661"/>
        </w:tabs>
        <w:spacing w:after="144"/>
        <w:rPr>
          <w:b/>
          <w:color w:val="auto"/>
          <w:sz w:val="28"/>
          <w:szCs w:val="28"/>
          <w:lang w:val="en-GB" w:eastAsia="en-GB"/>
        </w:rPr>
      </w:pPr>
      <w:r>
        <w:rPr>
          <w:color w:val="000000" w:themeColor="text1"/>
          <w:sz w:val="28"/>
          <w:szCs w:val="28"/>
          <w:lang w:val="en-GB" w:eastAsia="en-GB"/>
        </w:rPr>
        <w:t>Căn cứ mức vốn Trung ương giao chỉ tiêu hàng năm, UBND tỉnh trình HĐND tỉnh phân bổ vốn cho cấp tỉnh và cấp huyện như sau:</w:t>
      </w:r>
    </w:p>
    <w:p w:rsidR="004974FF" w:rsidRDefault="00C23B67" w:rsidP="00B51B10">
      <w:pPr>
        <w:pStyle w:val="ListParagraph"/>
        <w:numPr>
          <w:ilvl w:val="0"/>
          <w:numId w:val="14"/>
        </w:numPr>
        <w:tabs>
          <w:tab w:val="left" w:pos="993"/>
        </w:tabs>
        <w:spacing w:after="144"/>
        <w:ind w:left="0" w:firstLine="567"/>
        <w:jc w:val="both"/>
        <w:rPr>
          <w:rFonts w:ascii="Times New Roman" w:hAnsi="Times New Roman"/>
          <w:b/>
          <w:bCs/>
          <w:sz w:val="28"/>
          <w:szCs w:val="28"/>
          <w:lang w:val="en-GB" w:eastAsia="en-GB"/>
        </w:rPr>
      </w:pPr>
      <w:r>
        <w:rPr>
          <w:rFonts w:ascii="Times New Roman" w:hAnsi="Times New Roman"/>
          <w:sz w:val="28"/>
          <w:szCs w:val="28"/>
          <w:lang w:val="en-GB" w:eastAsia="en-GB"/>
        </w:rPr>
        <w:t>Đối với nguồn vốn</w:t>
      </w:r>
      <w:r>
        <w:rPr>
          <w:rFonts w:ascii="Times New Roman" w:hAnsi="Times New Roman"/>
          <w:b/>
          <w:bCs/>
          <w:sz w:val="28"/>
          <w:szCs w:val="28"/>
          <w:lang w:val="en-GB" w:eastAsia="en-GB"/>
        </w:rPr>
        <w:t xml:space="preserve"> </w:t>
      </w:r>
      <w:r>
        <w:rPr>
          <w:rFonts w:ascii="Times New Roman" w:hAnsi="Times New Roman"/>
          <w:sz w:val="28"/>
          <w:szCs w:val="28"/>
          <w:shd w:val="clear" w:color="auto" w:fill="FFFFFF"/>
        </w:rPr>
        <w:t>chi đầu tư phát triển: Phân bổ 25% mức chi đầu tư phát triển vốn trong nước cho các huyện, thị, thành phố theo số điểm tiêu chí và 75% mức chi đầu tư phát triển vốn trong nước được phân bổ cho cho ngân sách cấp tỉnh để thực hiện hỗ trợ đầu tư trên địa bàn các huyện, thị, thành phố và các nhiệm vụ đầu tư của tỉnh.</w:t>
      </w:r>
    </w:p>
    <w:p w:rsidR="004974FF" w:rsidRDefault="00C23B67" w:rsidP="00B51B10">
      <w:pPr>
        <w:pStyle w:val="ListParagraph"/>
        <w:numPr>
          <w:ilvl w:val="0"/>
          <w:numId w:val="14"/>
        </w:numPr>
        <w:tabs>
          <w:tab w:val="left" w:pos="993"/>
        </w:tabs>
        <w:spacing w:after="144"/>
        <w:ind w:left="0" w:firstLine="567"/>
        <w:jc w:val="both"/>
        <w:rPr>
          <w:rFonts w:ascii="Times New Roman" w:hAnsi="Times New Roman"/>
          <w:b/>
          <w:bCs/>
          <w:sz w:val="28"/>
          <w:szCs w:val="28"/>
          <w:lang w:val="en-GB" w:eastAsia="en-GB"/>
        </w:rPr>
      </w:pPr>
      <w:r>
        <w:rPr>
          <w:rFonts w:ascii="Times New Roman" w:hAnsi="Times New Roman"/>
          <w:sz w:val="28"/>
          <w:szCs w:val="28"/>
          <w:shd w:val="clear" w:color="auto" w:fill="FFFFFF"/>
        </w:rPr>
        <w:t>Đối với nguồn vốn tiền sử dụng đất: Phân bổ 72% số thu từ sử dụng đất cho các huyện, thị xã, thành phố theo số điểm tiêu chí và 28% mức thu từ sử dụng đất được phân bổ cho cho ngân sách cấp tỉnh để thực hiện hỗ trợ đầu tư trên địa bàn các huyện, thị xã, thành phố và các nhiệm vụ đầu tư của tỉnh.</w:t>
      </w:r>
    </w:p>
    <w:p w:rsidR="004974FF" w:rsidRDefault="00C23B67" w:rsidP="00B51B10">
      <w:pPr>
        <w:pStyle w:val="ListParagraph"/>
        <w:numPr>
          <w:ilvl w:val="0"/>
          <w:numId w:val="14"/>
        </w:numPr>
        <w:tabs>
          <w:tab w:val="left" w:pos="993"/>
        </w:tabs>
        <w:spacing w:after="144"/>
        <w:ind w:left="0" w:firstLine="567"/>
        <w:jc w:val="both"/>
        <w:rPr>
          <w:rFonts w:ascii="Times New Roman" w:hAnsi="Times New Roman"/>
          <w:b/>
          <w:bCs/>
          <w:sz w:val="28"/>
          <w:szCs w:val="28"/>
          <w:lang w:val="en-GB" w:eastAsia="en-GB"/>
        </w:rPr>
      </w:pPr>
      <w:r>
        <w:rPr>
          <w:rFonts w:ascii="Times New Roman" w:hAnsi="Times New Roman"/>
          <w:sz w:val="28"/>
          <w:szCs w:val="28"/>
          <w:shd w:val="clear" w:color="auto" w:fill="FFFFFF"/>
        </w:rPr>
        <w:t>Đối với nguồn vốn xổ số kiến thiết: Phân bổ 10% mức thu từ xổ số kiến thiết cho các huyện, thị xã, thành phố theo số điểm tiêu chí và 90% số thu từ xổ số kiến thiết được phân bổ cho ngân sách cấp tỉnh để thực hiện hỗ trợ đầu tư trên địa bàn các huyện, thị xã, thành phố và các nhiệm vụ đầu tư của tỉnh.</w:t>
      </w:r>
    </w:p>
    <w:p w:rsidR="004974FF" w:rsidRDefault="00C23B67" w:rsidP="00B51B10">
      <w:pPr>
        <w:pStyle w:val="ListParagraph"/>
        <w:numPr>
          <w:ilvl w:val="0"/>
          <w:numId w:val="14"/>
        </w:numPr>
        <w:tabs>
          <w:tab w:val="left" w:pos="993"/>
        </w:tabs>
        <w:spacing w:after="144"/>
        <w:ind w:left="0" w:firstLine="567"/>
        <w:jc w:val="both"/>
        <w:rPr>
          <w:rFonts w:ascii="Times New Roman" w:hAnsi="Times New Roman"/>
          <w:b/>
          <w:bCs/>
          <w:sz w:val="28"/>
          <w:szCs w:val="28"/>
          <w:lang w:val="en-GB" w:eastAsia="en-GB"/>
        </w:rPr>
      </w:pPr>
      <w:r>
        <w:rPr>
          <w:rFonts w:ascii="Times New Roman" w:hAnsi="Times New Roman"/>
          <w:sz w:val="28"/>
          <w:szCs w:val="28"/>
          <w:shd w:val="clear" w:color="auto" w:fill="FFFFFF"/>
        </w:rPr>
        <w:t>Ngoài mức vốn phân chia theo tỷ lệ nêu trên, UBND tỉnh có thể trình HĐND tỉnh giao bổ sung nguồn thu và nhiệm vụ chi cho ngân sách cấp tỉnh hoặc ngân sách cấp huyện để phù hợp với khả năng thực hiện của từng cấp, từng đơn vị.</w:t>
      </w:r>
    </w:p>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lastRenderedPageBreak/>
        <w:t xml:space="preserve">IV. CÁC NGUYÊN TẮC, TIÊU CHÍ VÀ ĐỊNH MỨC PHÂN BỔ VỐN HỖ TRỢ CÓ MỤC TIÊU TỪ NGÂN SÁCH TỈNH </w:t>
      </w:r>
    </w:p>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1. Nguyên tắc chung về hỗ trợ có mục tiêu từ ngân sách cấp tỉnh cho ngân sách cấp huyện để thực hiện các dự án</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Các dự án không thuộc tỉnh quản lý. Cụ thể: các dự án xây dựng đường giao thông, cầu, cống, công trình thủy lợi, cấp nước sạch nông thôn, trường học, y tế, văn hóa thể thao, trụ sở cơ quan quản lý nhà nước... do cấp huyện quản lý theo phân cấp của ngành.</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Các dự án bố trí vốn phải trong quy hoạch được duyệt và có đầy đủ thủ tục đầu tư theo Luật Đầu tư công.</w:t>
      </w:r>
    </w:p>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 xml:space="preserve">2. Hỗ trợ giao thông huyện và nâng cấp đô thị </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a. Nguyên tắc và đối tượng:</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Ưu tiên bố trí vốn cho các dự án đã hoàn thành nhưng còn thiếu vốn, các dự án chuyển tiếp trong giai đoạn 2016-2020.</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Hỗ trợ giao thông dự án khởi công mới giai đoạn 2021-2025 cho các huyện khó khăn (Vĩnh Hưng, Thủ Thừa, Tân Trụ, Tân Hưng, Châu Thành, Đức Huệ, Mộc Hóa, Thạnh Hóa, Tân Thạnh) theo hình thức hỗ trợ có mục tiêu, không phân bổ chi tiết danh mục dự án.</w:t>
      </w:r>
    </w:p>
    <w:p w:rsidR="004974FF" w:rsidRPr="00637BB0" w:rsidRDefault="00C23B67" w:rsidP="00B51B10">
      <w:pPr>
        <w:tabs>
          <w:tab w:val="left" w:pos="6661"/>
        </w:tabs>
        <w:spacing w:after="144"/>
        <w:rPr>
          <w:color w:val="auto"/>
          <w:sz w:val="28"/>
          <w:szCs w:val="28"/>
          <w:lang w:val="en-GB" w:eastAsia="en-GB"/>
        </w:rPr>
      </w:pPr>
      <w:r w:rsidRPr="00637BB0">
        <w:rPr>
          <w:color w:val="auto"/>
          <w:sz w:val="28"/>
          <w:szCs w:val="28"/>
          <w:lang w:val="en-GB" w:eastAsia="en-GB"/>
        </w:rPr>
        <w:t>- Đối với các</w:t>
      </w:r>
      <w:r w:rsidR="000F538C" w:rsidRPr="00637BB0">
        <w:rPr>
          <w:color w:val="auto"/>
          <w:sz w:val="28"/>
          <w:szCs w:val="28"/>
          <w:lang w:val="en-GB" w:eastAsia="en-GB"/>
        </w:rPr>
        <w:t xml:space="preserve"> dự án thuộc chương trình</w:t>
      </w:r>
      <w:r w:rsidRPr="00637BB0">
        <w:rPr>
          <w:color w:val="auto"/>
          <w:sz w:val="28"/>
          <w:szCs w:val="28"/>
          <w:lang w:val="en-GB" w:eastAsia="en-GB"/>
        </w:rPr>
        <w:t xml:space="preserve"> đột phá của tỉnh do UBND cấp huyện làm chủ tư sẽ sử dụng vốn ngân sách tỉnh.</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b. Mức đầu tư:</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ml:space="preserve">- Đối với các dự án đã hoàn thành nhưng còn thiếu vốn, các dự án chuyển tiếp từ giai đoạn 2016 - 2020 sang giai đoạn 2021-2025: mức hỗ trợ vốn theo chủ trương đầu tư được cấp có thẩm quyền phê duyệt. </w:t>
      </w:r>
    </w:p>
    <w:p w:rsidR="004974FF" w:rsidRPr="00637BB0" w:rsidRDefault="00C23B67" w:rsidP="00B51B10">
      <w:pPr>
        <w:tabs>
          <w:tab w:val="left" w:pos="6661"/>
        </w:tabs>
        <w:spacing w:after="144"/>
        <w:rPr>
          <w:color w:val="auto"/>
          <w:sz w:val="28"/>
          <w:szCs w:val="28"/>
          <w:lang w:val="en-GB" w:eastAsia="en-GB"/>
        </w:rPr>
      </w:pPr>
      <w:r w:rsidRPr="00637BB0">
        <w:rPr>
          <w:color w:val="auto"/>
          <w:sz w:val="28"/>
          <w:szCs w:val="28"/>
          <w:lang w:val="en-GB" w:eastAsia="en-GB"/>
        </w:rPr>
        <w:t>- Đối với các dự án khởi công mới, ngân sách tỉnh chỉ hỗ trợ có mục tiêu (các huyện tự phân bổ danh mục chi tiết và báo cáo về tỉnh theo quy định) cho các huyện khó khăn nêu trên với mức hỗ trợ là 40 tỷ đồng</w:t>
      </w:r>
      <w:r w:rsidR="00C20EEB" w:rsidRPr="00637BB0">
        <w:rPr>
          <w:color w:val="auto"/>
          <w:sz w:val="28"/>
          <w:szCs w:val="28"/>
          <w:lang w:val="en-GB" w:eastAsia="en-GB"/>
        </w:rPr>
        <w:t>/huyện/5 năm</w:t>
      </w:r>
      <w:r w:rsidRPr="00637BB0">
        <w:rPr>
          <w:color w:val="auto"/>
          <w:sz w:val="28"/>
          <w:szCs w:val="28"/>
          <w:lang w:val="en-GB" w:eastAsia="en-GB"/>
        </w:rPr>
        <w:t>; cụ thể: mức vốn hỗ trợ cho huyện Tân Hưng, Vĩnh Hưng, Thủ Thừa, Châu Thành, Tân Trụ và thị xã Kiến Tường là 27 tỷ đồng</w:t>
      </w:r>
      <w:r w:rsidR="00FE4870" w:rsidRPr="00637BB0">
        <w:rPr>
          <w:color w:val="auto"/>
          <w:sz w:val="28"/>
          <w:szCs w:val="28"/>
          <w:lang w:val="en-GB" w:eastAsia="en-GB"/>
        </w:rPr>
        <w:t>/huyện/5 năm</w:t>
      </w:r>
      <w:r w:rsidRPr="00637BB0">
        <w:rPr>
          <w:color w:val="auto"/>
          <w:sz w:val="28"/>
          <w:szCs w:val="28"/>
          <w:lang w:val="en-GB" w:eastAsia="en-GB"/>
        </w:rPr>
        <w:t>; mức vốn hỗ trợ cho huyện Mộc Hóa, Tân Thạnh, Thạnh Hóa, Đức Huệ là 40 tỷ đồng.</w:t>
      </w:r>
    </w:p>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3. Hỗ trợ đầu tư về giáo dục, đào tạo và dạy nghề</w:t>
      </w:r>
    </w:p>
    <w:p w:rsidR="004974FF" w:rsidRDefault="00C23B67" w:rsidP="00B51B10">
      <w:pPr>
        <w:tabs>
          <w:tab w:val="left" w:pos="6661"/>
        </w:tabs>
        <w:spacing w:after="144"/>
        <w:rPr>
          <w:color w:val="auto"/>
          <w:sz w:val="28"/>
          <w:szCs w:val="28"/>
          <w:lang w:val="en-GB" w:eastAsia="en-GB"/>
        </w:rPr>
      </w:pPr>
      <w:r>
        <w:rPr>
          <w:i/>
          <w:iCs/>
          <w:color w:val="auto"/>
          <w:sz w:val="28"/>
          <w:szCs w:val="28"/>
          <w:lang w:val="en-GB" w:eastAsia="en-GB"/>
        </w:rPr>
        <w:t>2.1. Hỗ trợ cơ sở vật chất cho chương trình giáo dục phổ thông mới kết hợp xây dựng trường đạt chuẩn quốc gia giai đoạn 2021 - 2025</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a. Nguyên tắc, đối tượng:</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Các trường tiểu học, trung học cơ sở công lập theo Chương trình Hỗ trợ cơ sở vật chất cho chương trình giáo dục phổ thông mới kết hợp xây dựng trường đạt chuẩn quốc gia giai đoạn 2021 – 2025.</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lastRenderedPageBreak/>
        <w:t xml:space="preserve">- Xây dựng các phòng học, phòng chức năng, hành chính, thực hành, mua sắm các bộ bàn ghế, </w:t>
      </w:r>
      <w:r>
        <w:rPr>
          <w:color w:val="auto"/>
          <w:sz w:val="28"/>
          <w:szCs w:val="28"/>
          <w:shd w:val="clear" w:color="auto" w:fill="FFFFFF"/>
          <w:lang w:val="en-GB" w:eastAsia="en-GB"/>
        </w:rPr>
        <w:t>âm thanh di động, máy tính, thiết bị ti vi tương tác, thiết bị ngoài trời, thiết bị thể dục, tủ đựng thiết bị, ti vi thông minh, thiết bị thực hành lý, hóa, sinh, công nghệ, thiết bị dạy học.</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ml:space="preserve">b. Mức vốn đầu tư: Mức vốn hỗ trợ thực hiện theo lộ trình đầu tư đã được duyệt của Chương trình. </w:t>
      </w:r>
    </w:p>
    <w:p w:rsidR="004974FF" w:rsidRDefault="00C23B67" w:rsidP="00B51B10">
      <w:pPr>
        <w:tabs>
          <w:tab w:val="left" w:pos="6661"/>
        </w:tabs>
        <w:spacing w:after="144"/>
        <w:rPr>
          <w:color w:val="auto"/>
          <w:sz w:val="28"/>
          <w:szCs w:val="28"/>
          <w:lang w:val="en-GB" w:eastAsia="en-GB"/>
        </w:rPr>
      </w:pPr>
      <w:r>
        <w:rPr>
          <w:i/>
          <w:iCs/>
          <w:color w:val="auto"/>
          <w:sz w:val="28"/>
          <w:szCs w:val="28"/>
          <w:lang w:val="en-GB" w:eastAsia="en-GB"/>
        </w:rPr>
        <w:t>2.2 Đầu tư phát triển giáo dục mầm non giai đoạn 2021- 2025</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a. Nguyên tắc, đối tượng:</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Các trường mầm non trên địa bàn tỉnh theo Chương trình Đầu tư phát triển giáo dục mầm non giai đoạn 2021- 2025.</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Xây dựng các phòng học, phòng chức năng, hành chính, bảo vệ, mua sắm các bộ đồ chơi trong lớp và ngoài trời.</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ml:space="preserve">b. Mức vốn đầu tư: Mức vốn hỗ trợ thực hiện theo lộ trình đầu tư đã được duyệt của Chương trình. </w:t>
      </w:r>
    </w:p>
    <w:p w:rsidR="004974FF" w:rsidRDefault="00C23B67" w:rsidP="00B51B10">
      <w:pPr>
        <w:rPr>
          <w:color w:val="auto"/>
          <w:sz w:val="28"/>
          <w:szCs w:val="28"/>
          <w:lang w:val="en-GB" w:eastAsia="en-GB"/>
        </w:rPr>
      </w:pPr>
      <w:r>
        <w:rPr>
          <w:i/>
          <w:iCs/>
          <w:color w:val="auto"/>
          <w:sz w:val="28"/>
          <w:szCs w:val="28"/>
          <w:lang w:val="en-GB" w:eastAsia="en-GB"/>
        </w:rPr>
        <w:t>2.3. Đề án Xây dựng nhà ở công vụ giáo viên giai đoạn 2021 – 2025.</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a. Nguyên tắc, đối tượng:</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Các trường từ cơ sở giáo dục mầm non đến các cấp học phổ thông trong toàn tỉnh theo Chương trình Xây dựng nhà ở công vụ giáo viên giai đoạn 2021 – 2025.</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Xây dựng các phòng nghỉ giáo viên cho các trường.</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b. Mức vốn đầu tư: Mức vốn hỗ trợ thực hiện theo lộ trình đầu tư đã được duyệt của Chương trình.</w:t>
      </w:r>
    </w:p>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4. Các dự án thuộc ngành y tế</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ml:space="preserve">a. Nguyên tắc, đối tượng đầu tư: </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Ưu tiên bố trí vốn cho các dự án đã hoàn thành nhưng còn thiếu vốn, các dự án chuyển tiếp trong giai đoạn 2016-2020.</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Xây dựng trạm y tế cấp xã, bao gồm mua sắm trang thiết bị.</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b. Mức vốn đầu tư: Theo suất đầu tư, quy mô, mức vốn hỗ trợ được duyệt phù hợp với khả năng cân đối ngân sách.</w:t>
      </w:r>
    </w:p>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5. Hỗ trợ đầu tư xây dựng các trụ sở Ủy ban nhân dân cấp huyện, xã</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a. Nguyên tắc, đối tượng đầu tư:</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Bố trí vốn cho các dự án đã hoàn thành nhưng còn thiếu vốn, các dự án chuyển tiếp trong giai đoạn 2016-2020 theo lộ trình đầu tư được duyệt.</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ml:space="preserve">- Xây dựng mới, nâng cấp, cải tạo, sửa chữa nhà làm việc chính, nhà làm việc cơ quan Đảng, nhà ăn, nhà khách, nhà làm việc công an, quân sự, nhà ở cho </w:t>
      </w:r>
      <w:r>
        <w:rPr>
          <w:color w:val="auto"/>
          <w:sz w:val="28"/>
          <w:szCs w:val="28"/>
          <w:lang w:val="en-GB" w:eastAsia="en-GB"/>
        </w:rPr>
        <w:lastRenderedPageBreak/>
        <w:t>lực lượng thường trực bảo vệ biên giới (nếu có), thiết bị, hàng rào, cổng, nhà xe, sân đường và thoát nước.</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ml:space="preserve">b. Mức vốn đầu tư: </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Đối với các dự án chuyển tiếp: Đầu tư vốn theo lộ trình đầu tư đã được duyệt.</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Đối với dự án khởi công mới: Theo suất đầu tư, quy mô, mức vốn hỗ trợ được duyệt phù hợp với khả năng cân đối ngân sách.</w:t>
      </w:r>
    </w:p>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 xml:space="preserve">6. Hỗ trợ xây dựng các Trung tâm văn hóa thể thao cấp huyện, xã, nhà thiếu nhi cấp huyện </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ml:space="preserve">a. Nguyên tắc, đối tượng đầu tư: </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Trung tâm văn hóa thể thao cấp huyện, xã, phường, thị trấn: hỗ trợ đầu tư khối nhà chính, nhà thi đấu đa năng, hàng rào, sân đường.</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Bố trí vốn cho các dự án đã hoàn thành nhưng còn thiếu vốn, các dự án chuyển tiếp trong giai đoạn 2016-2020, các dự án khởi công mới trong giai đoạn 2021-2025 thật sự cần thiết.</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b. Mức vốn đầu tư:</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Trung tâm văn hóa thể thao cấp huyện: theo suất đầu tư, quy mô, mức vốn hỗ trợ được duyệt phù hợp với khả năng cân đối ngân sách.</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Mức hỗ trợ tối đa cho 01 Trung tâm văn hóa, thể thao xã, phường, thị trấn xây dựng mới là 3,5 tỷ đồng/trung tâm. Phần còn lại là đối ứng của ngân sách cấp huyện.</w:t>
      </w:r>
    </w:p>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7. Hỗ trợ xây dựng các dự án cấp nước nông thôn</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ml:space="preserve">a. Nguyên tắc, đối tượng đầu tư: </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Xây dựng giếng khoan, bể chứa, đường ống, đài nước, cụm lọc, điện, chiếu sáng, các thiết bị có liên quan để dự án hoạt động.</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Ưu tiên bố trí vốn cho các dự án đã hoàn thành nhưng còn thiếu vốn, các dự án chuyển tiếp trong giai đoạn 2016-2020.</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b. Mức vốn đầu tư:</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Đầu tư theo suất đầu tư và theo quy mô phù hợp khả năng cân đối ngân sách. Ngân sách tỉnh hỗ trợ 70% tổng mức đầu tư cho các trạm cấp nước ở xã biên giới, các trạm cấp nước còn lại hỗ trợ 60%.</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Phần còn lại là ngân sách huyện và nhân dân đóng góp.</w:t>
      </w:r>
    </w:p>
    <w:p w:rsidR="004974FF" w:rsidRDefault="00C23B67" w:rsidP="00B51B10">
      <w:pPr>
        <w:tabs>
          <w:tab w:val="left" w:pos="6661"/>
        </w:tabs>
        <w:spacing w:after="144"/>
        <w:rPr>
          <w:color w:val="auto"/>
          <w:sz w:val="28"/>
          <w:szCs w:val="28"/>
          <w:lang w:val="en-GB" w:eastAsia="en-GB"/>
        </w:rPr>
      </w:pPr>
      <w:r>
        <w:rPr>
          <w:b/>
          <w:bCs/>
          <w:color w:val="auto"/>
          <w:sz w:val="28"/>
          <w:szCs w:val="28"/>
          <w:lang w:val="en-GB" w:eastAsia="en-GB"/>
        </w:rPr>
        <w:t>8. Đầu tư, nâng cấp các nghĩa trang liệt sĩ cấp huyện, liên huyện</w:t>
      </w:r>
    </w:p>
    <w:p w:rsidR="004974FF" w:rsidRDefault="00C23B67" w:rsidP="00B51B10">
      <w:pPr>
        <w:tabs>
          <w:tab w:val="left" w:pos="6661"/>
        </w:tabs>
        <w:spacing w:after="144"/>
        <w:rPr>
          <w:color w:val="auto"/>
          <w:sz w:val="28"/>
          <w:szCs w:val="28"/>
          <w:lang w:val="en-GB" w:eastAsia="en-GB"/>
        </w:rPr>
      </w:pPr>
      <w:r>
        <w:rPr>
          <w:color w:val="auto"/>
          <w:sz w:val="28"/>
          <w:szCs w:val="28"/>
          <w:lang w:val="en-GB" w:eastAsia="en-GB"/>
        </w:rPr>
        <w:t xml:space="preserve">a. Nguyên tắc, đối tượng đầu tư: </w:t>
      </w:r>
    </w:p>
    <w:p w:rsidR="004974FF" w:rsidRDefault="00C23B67" w:rsidP="00B51B10">
      <w:pPr>
        <w:tabs>
          <w:tab w:val="left" w:pos="6661"/>
        </w:tabs>
        <w:spacing w:before="20" w:after="0"/>
        <w:rPr>
          <w:color w:val="auto"/>
          <w:sz w:val="28"/>
          <w:szCs w:val="28"/>
          <w:lang w:val="en-GB" w:eastAsia="en-GB"/>
        </w:rPr>
      </w:pPr>
      <w:r>
        <w:rPr>
          <w:color w:val="auto"/>
          <w:sz w:val="28"/>
          <w:szCs w:val="28"/>
          <w:lang w:val="en-GB" w:eastAsia="en-GB"/>
        </w:rPr>
        <w:t>- Nghĩa trang liệt sĩ cấp huyện, liên huyện: Đầu tư, nâng cấp, cải tạo tượng đài, mộ bia, sân đường, thoát nước, đèn điện chiếu sáng.</w:t>
      </w:r>
    </w:p>
    <w:p w:rsidR="004974FF" w:rsidRDefault="00C23B67" w:rsidP="00B51B10">
      <w:pPr>
        <w:tabs>
          <w:tab w:val="left" w:pos="6661"/>
        </w:tabs>
        <w:spacing w:before="20" w:after="0"/>
        <w:rPr>
          <w:color w:val="auto"/>
          <w:sz w:val="28"/>
          <w:szCs w:val="28"/>
          <w:lang w:val="en-GB" w:eastAsia="en-GB"/>
        </w:rPr>
      </w:pPr>
      <w:r>
        <w:rPr>
          <w:color w:val="auto"/>
          <w:sz w:val="28"/>
          <w:szCs w:val="28"/>
          <w:lang w:val="en-GB" w:eastAsia="en-GB"/>
        </w:rPr>
        <w:lastRenderedPageBreak/>
        <w:t>b. Mức vốn đầu tư:</w:t>
      </w:r>
    </w:p>
    <w:p w:rsidR="004974FF" w:rsidRDefault="00C23B67" w:rsidP="00B51B10">
      <w:pPr>
        <w:tabs>
          <w:tab w:val="left" w:pos="6661"/>
        </w:tabs>
        <w:spacing w:before="20" w:after="0"/>
        <w:rPr>
          <w:color w:val="auto"/>
          <w:sz w:val="28"/>
          <w:szCs w:val="28"/>
          <w:lang w:val="en-GB" w:eastAsia="en-GB"/>
        </w:rPr>
      </w:pPr>
      <w:r>
        <w:rPr>
          <w:color w:val="auto"/>
          <w:sz w:val="28"/>
          <w:szCs w:val="28"/>
          <w:lang w:val="en-GB" w:eastAsia="en-GB"/>
        </w:rPr>
        <w:t>- Mức vốn đầu tư theo suất đầu tư, quy mô, mức vốn hỗ trợ được duyệt phù hợp với khả năng cân đối ngân sách.</w:t>
      </w:r>
    </w:p>
    <w:p w:rsidR="004974FF" w:rsidRDefault="00C23B67" w:rsidP="00B51B10">
      <w:pPr>
        <w:tabs>
          <w:tab w:val="left" w:pos="6661"/>
        </w:tabs>
        <w:spacing w:before="20" w:after="0"/>
        <w:rPr>
          <w:color w:val="auto"/>
          <w:sz w:val="28"/>
          <w:szCs w:val="28"/>
          <w:lang w:val="en-GB" w:eastAsia="en-GB"/>
        </w:rPr>
      </w:pPr>
      <w:r>
        <w:rPr>
          <w:color w:val="auto"/>
          <w:sz w:val="28"/>
          <w:szCs w:val="28"/>
          <w:lang w:val="en-GB" w:eastAsia="en-GB"/>
        </w:rPr>
        <w:t>- Phần còn lại là đối ứng ngân sách cấp huyện.</w:t>
      </w:r>
    </w:p>
    <w:p w:rsidR="004974FF" w:rsidRDefault="00C23B67" w:rsidP="00B51B10">
      <w:pPr>
        <w:tabs>
          <w:tab w:val="left" w:pos="6661"/>
        </w:tabs>
        <w:spacing w:before="20" w:after="0"/>
        <w:rPr>
          <w:color w:val="auto"/>
          <w:sz w:val="28"/>
          <w:szCs w:val="28"/>
          <w:lang w:val="en-GB" w:eastAsia="en-GB"/>
        </w:rPr>
      </w:pPr>
      <w:r>
        <w:rPr>
          <w:b/>
          <w:bCs/>
          <w:color w:val="auto"/>
          <w:sz w:val="28"/>
          <w:szCs w:val="28"/>
          <w:lang w:val="en-GB" w:eastAsia="en-GB"/>
        </w:rPr>
        <w:t xml:space="preserve">9. Đầu tư các xã để đạt chuẩn nông thôn mới: </w:t>
      </w:r>
    </w:p>
    <w:p w:rsidR="004974FF" w:rsidRDefault="00C23B67" w:rsidP="00B51B10">
      <w:pPr>
        <w:tabs>
          <w:tab w:val="left" w:pos="6661"/>
        </w:tabs>
        <w:spacing w:before="20" w:after="0"/>
        <w:rPr>
          <w:color w:val="auto"/>
          <w:sz w:val="28"/>
          <w:szCs w:val="28"/>
          <w:lang w:val="en-GB" w:eastAsia="en-GB"/>
        </w:rPr>
      </w:pPr>
      <w:r>
        <w:rPr>
          <w:color w:val="auto"/>
          <w:sz w:val="28"/>
          <w:szCs w:val="28"/>
          <w:lang w:val="en-GB" w:eastAsia="en-GB"/>
        </w:rPr>
        <w:t>a.</w:t>
      </w:r>
      <w:r w:rsidR="005C1AB6">
        <w:rPr>
          <w:color w:val="auto"/>
          <w:sz w:val="28"/>
          <w:szCs w:val="28"/>
          <w:lang w:val="en-GB" w:eastAsia="en-GB"/>
        </w:rPr>
        <w:t xml:space="preserve"> Nguyên tác tiêu chí được thực hiện theo tiêu chí phân bổ vốn nông thôn mới</w:t>
      </w:r>
      <w:r w:rsidR="008E6C89">
        <w:rPr>
          <w:color w:val="auto"/>
          <w:sz w:val="28"/>
          <w:szCs w:val="28"/>
          <w:lang w:val="en-GB" w:eastAsia="en-GB"/>
        </w:rPr>
        <w:t>.</w:t>
      </w:r>
    </w:p>
    <w:p w:rsidR="004974FF" w:rsidRDefault="00C23B67" w:rsidP="00B51B10">
      <w:pPr>
        <w:tabs>
          <w:tab w:val="left" w:pos="6661"/>
        </w:tabs>
        <w:spacing w:before="20" w:after="0"/>
        <w:rPr>
          <w:color w:val="auto"/>
          <w:sz w:val="28"/>
          <w:szCs w:val="28"/>
          <w:lang w:val="en-GB" w:eastAsia="en-GB"/>
        </w:rPr>
      </w:pPr>
      <w:r>
        <w:rPr>
          <w:color w:val="auto"/>
          <w:sz w:val="28"/>
          <w:szCs w:val="28"/>
          <w:lang w:val="en-GB" w:eastAsia="en-GB"/>
        </w:rPr>
        <w:t>b. Mức vốn đầu tư:</w:t>
      </w:r>
    </w:p>
    <w:p w:rsidR="004974FF" w:rsidRDefault="00C23B67" w:rsidP="00B51B10">
      <w:pPr>
        <w:tabs>
          <w:tab w:val="left" w:pos="6661"/>
        </w:tabs>
        <w:spacing w:before="20" w:after="0"/>
        <w:rPr>
          <w:color w:val="auto"/>
          <w:sz w:val="28"/>
          <w:szCs w:val="28"/>
          <w:lang w:val="en-GB" w:eastAsia="en-GB"/>
        </w:rPr>
      </w:pPr>
      <w:r>
        <w:rPr>
          <w:color w:val="auto"/>
          <w:sz w:val="28"/>
          <w:szCs w:val="28"/>
          <w:lang w:val="en-GB" w:eastAsia="en-GB"/>
        </w:rPr>
        <w:t>- Sử dụng 10% tổng vốn xổ số kiến thiết trong dự toán đầu năm. Hình thức hỗ trợ: hỗ trợ có mục tiêu cho ngân sách cấp huyện để thực hiện.</w:t>
      </w:r>
    </w:p>
    <w:p w:rsidR="004974FF" w:rsidRDefault="00C23B67" w:rsidP="00B51B10">
      <w:pPr>
        <w:tabs>
          <w:tab w:val="left" w:pos="6661"/>
        </w:tabs>
        <w:spacing w:before="20" w:after="0"/>
        <w:rPr>
          <w:color w:val="auto"/>
          <w:sz w:val="28"/>
          <w:szCs w:val="28"/>
          <w:lang w:val="en-GB" w:eastAsia="en-GB"/>
        </w:rPr>
      </w:pPr>
      <w:r>
        <w:rPr>
          <w:color w:val="auto"/>
          <w:sz w:val="28"/>
          <w:szCs w:val="28"/>
          <w:lang w:val="en-GB" w:eastAsia="en-GB"/>
        </w:rPr>
        <w:t>- Phần còn lại là ngân sách huyện và nhân dân đóng góp.</w:t>
      </w:r>
    </w:p>
    <w:p w:rsidR="004974FF" w:rsidRDefault="00C23B67" w:rsidP="00B51B10">
      <w:pPr>
        <w:tabs>
          <w:tab w:val="left" w:pos="6661"/>
        </w:tabs>
        <w:spacing w:before="20" w:after="0"/>
        <w:rPr>
          <w:color w:val="auto"/>
          <w:sz w:val="28"/>
          <w:szCs w:val="28"/>
          <w:lang w:val="en-GB" w:eastAsia="en-GB"/>
        </w:rPr>
      </w:pPr>
      <w:r>
        <w:rPr>
          <w:b/>
          <w:bCs/>
          <w:color w:val="auto"/>
          <w:sz w:val="28"/>
          <w:szCs w:val="28"/>
          <w:lang w:val="en-GB" w:eastAsia="en-GB"/>
        </w:rPr>
        <w:t>10. Đầu tư có mục tiêu cho các dự án cấp bách mà ngân sách huyện, thị xã, thành phố không cân đối được hoặc cân đối được một phần nhưng cần thiết phải đầu tư để thúc đẩy phát triển</w:t>
      </w:r>
    </w:p>
    <w:p w:rsidR="004974FF" w:rsidRDefault="00C23B67" w:rsidP="00B51B10">
      <w:pPr>
        <w:tabs>
          <w:tab w:val="left" w:pos="6661"/>
        </w:tabs>
        <w:spacing w:before="20" w:after="0"/>
        <w:rPr>
          <w:color w:val="auto"/>
          <w:sz w:val="28"/>
          <w:szCs w:val="28"/>
          <w:lang w:val="en-GB" w:eastAsia="en-GB"/>
        </w:rPr>
      </w:pPr>
      <w:r>
        <w:rPr>
          <w:color w:val="auto"/>
          <w:sz w:val="28"/>
          <w:szCs w:val="28"/>
          <w:lang w:val="en-GB" w:eastAsia="en-GB"/>
        </w:rPr>
        <w:t>a. Nguyên tắc, đối tượng đầu tư:</w:t>
      </w:r>
    </w:p>
    <w:p w:rsidR="004974FF" w:rsidRDefault="00C23B67" w:rsidP="00B51B10">
      <w:pPr>
        <w:tabs>
          <w:tab w:val="left" w:pos="6661"/>
        </w:tabs>
        <w:spacing w:before="20" w:after="0"/>
        <w:rPr>
          <w:color w:val="auto"/>
          <w:sz w:val="28"/>
          <w:szCs w:val="28"/>
          <w:lang w:val="en-GB" w:eastAsia="en-GB"/>
        </w:rPr>
      </w:pPr>
      <w:r>
        <w:rPr>
          <w:color w:val="auto"/>
          <w:sz w:val="28"/>
          <w:szCs w:val="28"/>
          <w:lang w:val="en-GB" w:eastAsia="en-GB"/>
        </w:rPr>
        <w:t>- Các công trình, dự án do huyện, thị xã, thành phố quản lý được lãnh đạo tỉnh yêu cầu bố trí vốn đầu tư hàng năm.</w:t>
      </w:r>
    </w:p>
    <w:p w:rsidR="004974FF" w:rsidRDefault="00C23B67" w:rsidP="00B51B10">
      <w:pPr>
        <w:tabs>
          <w:tab w:val="left" w:pos="6661"/>
        </w:tabs>
        <w:spacing w:before="20" w:after="0"/>
        <w:rPr>
          <w:color w:val="auto"/>
          <w:sz w:val="28"/>
          <w:szCs w:val="28"/>
          <w:lang w:val="en-GB" w:eastAsia="en-GB"/>
        </w:rPr>
      </w:pPr>
      <w:r>
        <w:rPr>
          <w:color w:val="auto"/>
          <w:sz w:val="28"/>
          <w:szCs w:val="28"/>
          <w:lang w:val="en-GB" w:eastAsia="en-GB"/>
        </w:rPr>
        <w:t>- Dự án có trong quy hoạch được phê duyệt và có đầy đủ thủ tục đầu tư.</w:t>
      </w:r>
    </w:p>
    <w:p w:rsidR="004974FF" w:rsidRDefault="00C23B67" w:rsidP="00B51B10">
      <w:pPr>
        <w:tabs>
          <w:tab w:val="left" w:pos="6661"/>
        </w:tabs>
        <w:spacing w:before="20" w:after="0"/>
        <w:rPr>
          <w:color w:val="auto"/>
          <w:sz w:val="28"/>
          <w:szCs w:val="28"/>
          <w:lang w:val="en-GB" w:eastAsia="en-GB"/>
        </w:rPr>
      </w:pPr>
      <w:r>
        <w:rPr>
          <w:color w:val="auto"/>
          <w:sz w:val="28"/>
          <w:szCs w:val="28"/>
          <w:lang w:val="en-GB" w:eastAsia="en-GB"/>
        </w:rPr>
        <w:t>b. Mức vốn đầu tư:</w:t>
      </w:r>
    </w:p>
    <w:p w:rsidR="004974FF" w:rsidRDefault="00C23B67" w:rsidP="00B51B10">
      <w:pPr>
        <w:tabs>
          <w:tab w:val="left" w:pos="6661"/>
        </w:tabs>
        <w:spacing w:before="20" w:after="0"/>
        <w:rPr>
          <w:color w:val="auto"/>
          <w:sz w:val="28"/>
          <w:szCs w:val="28"/>
          <w:lang w:val="en-GB" w:eastAsia="en-GB"/>
        </w:rPr>
      </w:pPr>
      <w:r>
        <w:rPr>
          <w:color w:val="auto"/>
          <w:sz w:val="28"/>
          <w:szCs w:val="28"/>
          <w:lang w:val="en-GB" w:eastAsia="en-GB"/>
        </w:rPr>
        <w:t>- Không quá 70% tổng mức đầu tư của dự án.</w:t>
      </w:r>
    </w:p>
    <w:p w:rsidR="004974FF" w:rsidRDefault="00C23B67" w:rsidP="00B51B10">
      <w:pPr>
        <w:tabs>
          <w:tab w:val="left" w:pos="6661"/>
        </w:tabs>
        <w:spacing w:before="20" w:after="0"/>
        <w:rPr>
          <w:color w:val="auto"/>
          <w:sz w:val="28"/>
          <w:szCs w:val="28"/>
          <w:lang w:val="en-GB" w:eastAsia="en-GB"/>
        </w:rPr>
      </w:pPr>
      <w:r>
        <w:rPr>
          <w:color w:val="auto"/>
          <w:sz w:val="28"/>
          <w:szCs w:val="28"/>
          <w:lang w:val="en-GB" w:eastAsia="en-GB"/>
        </w:rPr>
        <w:t>- Ngoài ra, đối với công trình bức xúc cần sự đầu tư của tỉnh để thúc đẩy phát triển thì Chủ tịch UBND tỉnh xem xét tỷ lệ hỗ trợ cụ thể.</w:t>
      </w:r>
    </w:p>
    <w:p w:rsidR="004974FF" w:rsidRDefault="00C23B67" w:rsidP="00B51B10">
      <w:pPr>
        <w:tabs>
          <w:tab w:val="left" w:pos="6661"/>
        </w:tabs>
        <w:spacing w:before="20" w:after="0"/>
        <w:rPr>
          <w:color w:val="auto"/>
          <w:sz w:val="28"/>
          <w:szCs w:val="28"/>
          <w:lang w:val="en-GB" w:eastAsia="en-GB"/>
        </w:rPr>
      </w:pPr>
      <w:r>
        <w:rPr>
          <w:b/>
          <w:bCs/>
          <w:color w:val="auto"/>
          <w:sz w:val="28"/>
          <w:szCs w:val="28"/>
          <w:lang w:val="en-GB" w:eastAsia="en-GB"/>
        </w:rPr>
        <w:t>11. Đầu tư các chương trình, dự án khác</w:t>
      </w:r>
    </w:p>
    <w:p w:rsidR="004974FF" w:rsidRDefault="00C23B67" w:rsidP="00B51B10">
      <w:pPr>
        <w:spacing w:before="20" w:after="0"/>
        <w:rPr>
          <w:color w:val="auto"/>
          <w:sz w:val="28"/>
          <w:szCs w:val="28"/>
          <w:lang w:val="en-GB" w:eastAsia="en-GB"/>
        </w:rPr>
      </w:pPr>
      <w:r>
        <w:rPr>
          <w:color w:val="auto"/>
          <w:sz w:val="28"/>
          <w:szCs w:val="28"/>
          <w:lang w:val="en-GB" w:eastAsia="en-GB"/>
        </w:rPr>
        <w:t>Trong giai đoạn 2021-2025 nếu phát sinh nhu cầu đầu tư cần sử dụng vốn hỗ trợ của ngân sách tỉnh sẽ do Ủy ban nhân dân tỉnh quyết định trên cơ sở cân đối được ngân sách và được sự đồng ý của Hội đồng nhân dân tỉnh.</w:t>
      </w:r>
      <w:r w:rsidR="00B51B10">
        <w:rPr>
          <w:color w:val="auto"/>
          <w:sz w:val="28"/>
          <w:szCs w:val="28"/>
          <w:lang w:val="en-GB" w:eastAsia="en-GB"/>
        </w:rPr>
        <w:t>/.</w:t>
      </w:r>
    </w:p>
    <w:p w:rsidR="00B900BD" w:rsidRDefault="00B900BD" w:rsidP="00B51B10">
      <w:pPr>
        <w:spacing w:before="20" w:after="0"/>
        <w:rPr>
          <w:color w:val="auto"/>
          <w:sz w:val="28"/>
          <w:szCs w:val="28"/>
          <w:lang w:val="en-GB" w:eastAsia="en-GB"/>
        </w:rPr>
      </w:pPr>
    </w:p>
    <w:tbl>
      <w:tblPr>
        <w:tblStyle w:val="TableGrid"/>
        <w:tblW w:w="0" w:type="auto"/>
        <w:tblInd w:w="5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7"/>
      </w:tblGrid>
      <w:tr w:rsidR="00B900BD" w:rsidTr="00B900BD">
        <w:tc>
          <w:tcPr>
            <w:tcW w:w="4217" w:type="dxa"/>
          </w:tcPr>
          <w:p w:rsidR="00B900BD" w:rsidRPr="00B900BD" w:rsidRDefault="00B900BD" w:rsidP="00B900BD">
            <w:pPr>
              <w:pBdr>
                <w:top w:val="none" w:sz="0" w:space="0" w:color="auto"/>
                <w:left w:val="none" w:sz="0" w:space="0" w:color="auto"/>
                <w:bottom w:val="none" w:sz="0" w:space="0" w:color="auto"/>
                <w:right w:val="none" w:sz="0" w:space="0" w:color="auto"/>
                <w:between w:val="none" w:sz="0" w:space="0" w:color="auto"/>
              </w:pBdr>
              <w:spacing w:before="20" w:after="0"/>
              <w:ind w:firstLine="0"/>
              <w:jc w:val="center"/>
              <w:rPr>
                <w:b/>
                <w:color w:val="auto"/>
                <w:sz w:val="28"/>
                <w:szCs w:val="28"/>
                <w:lang w:val="en-GB" w:eastAsia="en-GB"/>
              </w:rPr>
            </w:pPr>
            <w:r w:rsidRPr="00B900BD">
              <w:rPr>
                <w:b/>
                <w:color w:val="auto"/>
                <w:sz w:val="28"/>
                <w:szCs w:val="28"/>
                <w:lang w:val="en-GB" w:eastAsia="en-GB"/>
              </w:rPr>
              <w:t>CHỦ TỊCH</w:t>
            </w:r>
          </w:p>
          <w:p w:rsidR="00B900BD" w:rsidRPr="00B900BD" w:rsidRDefault="00B900BD" w:rsidP="00B900BD">
            <w:pPr>
              <w:pBdr>
                <w:top w:val="none" w:sz="0" w:space="0" w:color="auto"/>
                <w:left w:val="none" w:sz="0" w:space="0" w:color="auto"/>
                <w:bottom w:val="none" w:sz="0" w:space="0" w:color="auto"/>
                <w:right w:val="none" w:sz="0" w:space="0" w:color="auto"/>
                <w:between w:val="none" w:sz="0" w:space="0" w:color="auto"/>
              </w:pBdr>
              <w:spacing w:before="20" w:after="0"/>
              <w:ind w:firstLine="0"/>
              <w:jc w:val="center"/>
              <w:rPr>
                <w:b/>
                <w:color w:val="auto"/>
                <w:sz w:val="28"/>
                <w:szCs w:val="28"/>
                <w:lang w:val="en-GB" w:eastAsia="en-GB"/>
              </w:rPr>
            </w:pPr>
          </w:p>
          <w:p w:rsidR="00B900BD" w:rsidRPr="00B900BD" w:rsidRDefault="00B900BD" w:rsidP="00B900BD">
            <w:pPr>
              <w:pBdr>
                <w:top w:val="none" w:sz="0" w:space="0" w:color="auto"/>
                <w:left w:val="none" w:sz="0" w:space="0" w:color="auto"/>
                <w:bottom w:val="none" w:sz="0" w:space="0" w:color="auto"/>
                <w:right w:val="none" w:sz="0" w:space="0" w:color="auto"/>
                <w:between w:val="none" w:sz="0" w:space="0" w:color="auto"/>
              </w:pBdr>
              <w:spacing w:before="20" w:after="0"/>
              <w:ind w:firstLine="0"/>
              <w:jc w:val="center"/>
              <w:rPr>
                <w:b/>
                <w:color w:val="auto"/>
                <w:sz w:val="28"/>
                <w:szCs w:val="28"/>
                <w:lang w:val="en-GB" w:eastAsia="en-GB"/>
              </w:rPr>
            </w:pPr>
          </w:p>
          <w:p w:rsidR="00B900BD" w:rsidRDefault="00B900BD" w:rsidP="00B900BD">
            <w:pPr>
              <w:pBdr>
                <w:top w:val="none" w:sz="0" w:space="0" w:color="auto"/>
                <w:left w:val="none" w:sz="0" w:space="0" w:color="auto"/>
                <w:bottom w:val="none" w:sz="0" w:space="0" w:color="auto"/>
                <w:right w:val="none" w:sz="0" w:space="0" w:color="auto"/>
                <w:between w:val="none" w:sz="0" w:space="0" w:color="auto"/>
              </w:pBdr>
              <w:spacing w:before="20" w:after="0"/>
              <w:ind w:firstLine="0"/>
              <w:jc w:val="center"/>
              <w:rPr>
                <w:b/>
                <w:color w:val="auto"/>
                <w:sz w:val="28"/>
                <w:szCs w:val="28"/>
                <w:lang w:val="en-GB" w:eastAsia="en-GB"/>
              </w:rPr>
            </w:pPr>
          </w:p>
          <w:p w:rsidR="0011765B" w:rsidRPr="00B900BD" w:rsidRDefault="0011765B" w:rsidP="00B900BD">
            <w:pPr>
              <w:pBdr>
                <w:top w:val="none" w:sz="0" w:space="0" w:color="auto"/>
                <w:left w:val="none" w:sz="0" w:space="0" w:color="auto"/>
                <w:bottom w:val="none" w:sz="0" w:space="0" w:color="auto"/>
                <w:right w:val="none" w:sz="0" w:space="0" w:color="auto"/>
                <w:between w:val="none" w:sz="0" w:space="0" w:color="auto"/>
              </w:pBdr>
              <w:spacing w:before="20" w:after="0"/>
              <w:ind w:firstLine="0"/>
              <w:jc w:val="center"/>
              <w:rPr>
                <w:b/>
                <w:color w:val="auto"/>
                <w:sz w:val="28"/>
                <w:szCs w:val="28"/>
                <w:lang w:val="en-GB" w:eastAsia="en-GB"/>
              </w:rPr>
            </w:pPr>
          </w:p>
          <w:p w:rsidR="00B900BD" w:rsidRDefault="00B900BD" w:rsidP="00B900BD">
            <w:pPr>
              <w:pBdr>
                <w:top w:val="none" w:sz="0" w:space="0" w:color="auto"/>
                <w:left w:val="none" w:sz="0" w:space="0" w:color="auto"/>
                <w:bottom w:val="none" w:sz="0" w:space="0" w:color="auto"/>
                <w:right w:val="none" w:sz="0" w:space="0" w:color="auto"/>
                <w:between w:val="none" w:sz="0" w:space="0" w:color="auto"/>
              </w:pBdr>
              <w:spacing w:before="20" w:after="0"/>
              <w:ind w:firstLine="0"/>
              <w:jc w:val="center"/>
              <w:rPr>
                <w:b/>
                <w:color w:val="auto"/>
                <w:sz w:val="28"/>
                <w:szCs w:val="28"/>
                <w:lang w:val="en-GB" w:eastAsia="en-GB"/>
              </w:rPr>
            </w:pPr>
          </w:p>
          <w:p w:rsidR="00B900BD" w:rsidRPr="00B900BD" w:rsidRDefault="00B900BD" w:rsidP="00B900BD">
            <w:pPr>
              <w:pBdr>
                <w:top w:val="none" w:sz="0" w:space="0" w:color="auto"/>
                <w:left w:val="none" w:sz="0" w:space="0" w:color="auto"/>
                <w:bottom w:val="none" w:sz="0" w:space="0" w:color="auto"/>
                <w:right w:val="none" w:sz="0" w:space="0" w:color="auto"/>
                <w:between w:val="none" w:sz="0" w:space="0" w:color="auto"/>
              </w:pBdr>
              <w:spacing w:before="20" w:after="0"/>
              <w:ind w:firstLine="0"/>
              <w:jc w:val="center"/>
              <w:rPr>
                <w:b/>
                <w:color w:val="auto"/>
                <w:sz w:val="28"/>
                <w:szCs w:val="28"/>
                <w:lang w:val="en-GB" w:eastAsia="en-GB"/>
              </w:rPr>
            </w:pPr>
          </w:p>
          <w:p w:rsidR="00B900BD" w:rsidRDefault="00B900BD" w:rsidP="00B900BD">
            <w:pPr>
              <w:pBdr>
                <w:top w:val="none" w:sz="0" w:space="0" w:color="auto"/>
                <w:left w:val="none" w:sz="0" w:space="0" w:color="auto"/>
                <w:bottom w:val="none" w:sz="0" w:space="0" w:color="auto"/>
                <w:right w:val="none" w:sz="0" w:space="0" w:color="auto"/>
                <w:between w:val="none" w:sz="0" w:space="0" w:color="auto"/>
              </w:pBdr>
              <w:spacing w:before="20" w:after="0"/>
              <w:ind w:firstLine="0"/>
              <w:jc w:val="center"/>
              <w:rPr>
                <w:color w:val="auto"/>
                <w:sz w:val="28"/>
                <w:szCs w:val="28"/>
                <w:lang w:val="en-GB" w:eastAsia="en-GB"/>
              </w:rPr>
            </w:pPr>
            <w:r w:rsidRPr="00B900BD">
              <w:rPr>
                <w:b/>
                <w:color w:val="auto"/>
                <w:sz w:val="28"/>
                <w:szCs w:val="28"/>
                <w:lang w:val="en-GB" w:eastAsia="en-GB"/>
              </w:rPr>
              <w:t>Nguyễn Văn Được</w:t>
            </w:r>
          </w:p>
        </w:tc>
      </w:tr>
    </w:tbl>
    <w:p w:rsidR="00B900BD" w:rsidRDefault="00B900BD" w:rsidP="00B51B10">
      <w:pPr>
        <w:spacing w:before="20" w:after="0"/>
        <w:rPr>
          <w:color w:val="auto"/>
          <w:sz w:val="28"/>
          <w:szCs w:val="28"/>
          <w:lang w:val="en-GB" w:eastAsia="en-GB"/>
        </w:rPr>
      </w:pPr>
    </w:p>
    <w:p w:rsidR="004974FF" w:rsidRDefault="004974FF">
      <w:pPr>
        <w:spacing w:before="120" w:after="0"/>
        <w:rPr>
          <w:b/>
          <w:color w:val="auto"/>
          <w:sz w:val="28"/>
          <w:szCs w:val="28"/>
        </w:rPr>
      </w:pPr>
    </w:p>
    <w:sectPr w:rsidR="004974FF" w:rsidSect="00FB1217">
      <w:headerReference w:type="even" r:id="rId11"/>
      <w:footerReference w:type="even" r:id="rId12"/>
      <w:footerReference w:type="default" r:id="rId13"/>
      <w:footerReference w:type="first" r:id="rId14"/>
      <w:pgSz w:w="11907" w:h="16840"/>
      <w:pgMar w:top="688" w:right="1135" w:bottom="1134" w:left="1701" w:header="630" w:footer="62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45AE" w:rsidRDefault="00EC45AE">
      <w:pPr>
        <w:spacing w:after="0"/>
      </w:pPr>
      <w:r>
        <w:separator/>
      </w:r>
    </w:p>
  </w:endnote>
  <w:endnote w:type="continuationSeparator" w:id="0">
    <w:p w:rsidR="00EC45AE" w:rsidRDefault="00EC45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VNI-Times">
    <w:altName w:val="Times New Roman"/>
    <w:panose1 w:val="00000000000000000000"/>
    <w:charset w:val="00"/>
    <w:family w:val="auto"/>
    <w:pitch w:val="variable"/>
    <w:sig w:usb0="00000005" w:usb1="00000000" w:usb2="00000000" w:usb3="00000000" w:csb0="00000013" w:csb1="00000000"/>
  </w:font>
  <w:font w:name="Calibri Light">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4FF" w:rsidRDefault="00203070">
    <w:pPr>
      <w:pStyle w:val="Footer"/>
      <w:framePr w:wrap="around" w:vAnchor="text" w:hAnchor="margin" w:xAlign="right" w:y="1"/>
      <w:rPr>
        <w:rStyle w:val="PageNumber"/>
      </w:rPr>
    </w:pPr>
    <w:r>
      <w:rPr>
        <w:rStyle w:val="PageNumber"/>
      </w:rPr>
      <w:fldChar w:fldCharType="begin"/>
    </w:r>
    <w:r w:rsidR="00C23B67">
      <w:rPr>
        <w:rStyle w:val="PageNumber"/>
      </w:rPr>
      <w:instrText xml:space="preserve">PAGE  </w:instrText>
    </w:r>
    <w:r>
      <w:rPr>
        <w:rStyle w:val="PageNumber"/>
      </w:rPr>
      <w:fldChar w:fldCharType="end"/>
    </w:r>
  </w:p>
  <w:p w:rsidR="004974FF" w:rsidRDefault="004974F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5178898"/>
      <w:docPartObj>
        <w:docPartGallery w:val="Page Numbers (Bottom of Page)"/>
        <w:docPartUnique/>
      </w:docPartObj>
    </w:sdtPr>
    <w:sdtEndPr>
      <w:rPr>
        <w:noProof/>
      </w:rPr>
    </w:sdtEndPr>
    <w:sdtContent>
      <w:p w:rsidR="00FB1217" w:rsidRDefault="00203070">
        <w:pPr>
          <w:pStyle w:val="Footer"/>
          <w:jc w:val="center"/>
        </w:pPr>
        <w:r>
          <w:fldChar w:fldCharType="begin"/>
        </w:r>
        <w:r w:rsidR="00FB1217">
          <w:instrText xml:space="preserve"> PAGE   \* MERGEFORMAT </w:instrText>
        </w:r>
        <w:r>
          <w:fldChar w:fldCharType="separate"/>
        </w:r>
        <w:r w:rsidR="00067761">
          <w:rPr>
            <w:noProof/>
          </w:rPr>
          <w:t>10</w:t>
        </w:r>
        <w:r>
          <w:rPr>
            <w:noProof/>
          </w:rPr>
          <w:fldChar w:fldCharType="end"/>
        </w:r>
      </w:p>
    </w:sdtContent>
  </w:sdt>
  <w:p w:rsidR="00FB1217" w:rsidRDefault="00FB121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4822327"/>
      <w:docPartObj>
        <w:docPartGallery w:val="Page Numbers (Bottom of Page)"/>
        <w:docPartUnique/>
      </w:docPartObj>
    </w:sdtPr>
    <w:sdtEndPr>
      <w:rPr>
        <w:noProof/>
        <w:sz w:val="18"/>
        <w:szCs w:val="18"/>
      </w:rPr>
    </w:sdtEndPr>
    <w:sdtContent>
      <w:p w:rsidR="00FB1217" w:rsidRPr="00FB1217" w:rsidRDefault="00203070" w:rsidP="00FB1217">
        <w:pPr>
          <w:pStyle w:val="Footer"/>
          <w:tabs>
            <w:tab w:val="clear" w:pos="4320"/>
          </w:tabs>
          <w:jc w:val="center"/>
          <w:rPr>
            <w:sz w:val="18"/>
            <w:szCs w:val="18"/>
          </w:rPr>
        </w:pPr>
        <w:r w:rsidRPr="00FB1217">
          <w:rPr>
            <w:sz w:val="18"/>
            <w:szCs w:val="18"/>
          </w:rPr>
          <w:fldChar w:fldCharType="begin"/>
        </w:r>
        <w:r w:rsidR="00FB1217" w:rsidRPr="00FB1217">
          <w:rPr>
            <w:sz w:val="18"/>
            <w:szCs w:val="18"/>
          </w:rPr>
          <w:instrText xml:space="preserve"> PAGE   \* MERGEFORMAT </w:instrText>
        </w:r>
        <w:r w:rsidRPr="00FB1217">
          <w:rPr>
            <w:sz w:val="18"/>
            <w:szCs w:val="18"/>
          </w:rPr>
          <w:fldChar w:fldCharType="separate"/>
        </w:r>
        <w:r w:rsidR="00067761">
          <w:rPr>
            <w:noProof/>
            <w:sz w:val="18"/>
            <w:szCs w:val="18"/>
          </w:rPr>
          <w:t>1</w:t>
        </w:r>
        <w:r w:rsidRPr="00FB1217">
          <w:rPr>
            <w:noProof/>
            <w:sz w:val="18"/>
            <w:szCs w:val="18"/>
          </w:rPr>
          <w:fldChar w:fldCharType="end"/>
        </w:r>
      </w:p>
    </w:sdtContent>
  </w:sdt>
  <w:p w:rsidR="00FB1217" w:rsidRDefault="00FB12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45AE" w:rsidRDefault="00EC45AE">
      <w:r>
        <w:separator/>
      </w:r>
    </w:p>
  </w:footnote>
  <w:footnote w:type="continuationSeparator" w:id="0">
    <w:p w:rsidR="00EC45AE" w:rsidRDefault="00EC45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4FF" w:rsidRDefault="00203070">
    <w:pPr>
      <w:framePr w:wrap="around" w:vAnchor="text" w:hAnchor="margin" w:xAlign="center" w:y="1"/>
    </w:pPr>
    <w:r>
      <w:fldChar w:fldCharType="begin"/>
    </w:r>
    <w:r w:rsidR="00C23B67">
      <w:instrText xml:space="preserve">PAGE  </w:instrText>
    </w:r>
    <w:r>
      <w:fldChar w:fldCharType="end"/>
    </w:r>
  </w:p>
  <w:p w:rsidR="004974FF" w:rsidRDefault="004974FF">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26AE0"/>
    <w:multiLevelType w:val="hybridMultilevel"/>
    <w:tmpl w:val="A1C2167A"/>
    <w:lvl w:ilvl="0" w:tplc="B0ECBD64">
      <w:start w:val="1"/>
      <w:numFmt w:val="bullet"/>
      <w:lvlText w:val="-"/>
      <w:lvlJc w:val="left"/>
      <w:pPr>
        <w:ind w:left="1080" w:hanging="360"/>
      </w:pPr>
      <w:rPr>
        <w:rFonts w:ascii="Times New Roman" w:eastAsia="Calibri" w:hAnsi="Times New Roman" w:cs="Times New Roman" w:hint="default"/>
      </w:rPr>
    </w:lvl>
    <w:lvl w:ilvl="1" w:tplc="3BACA836">
      <w:start w:val="1"/>
      <w:numFmt w:val="bullet"/>
      <w:lvlText w:val="o"/>
      <w:lvlJc w:val="left"/>
      <w:pPr>
        <w:ind w:left="1800" w:hanging="360"/>
      </w:pPr>
      <w:rPr>
        <w:rFonts w:ascii="Courier New" w:hAnsi="Courier New" w:cs="Courier New" w:hint="default"/>
      </w:rPr>
    </w:lvl>
    <w:lvl w:ilvl="2" w:tplc="A9280DA4">
      <w:start w:val="1"/>
      <w:numFmt w:val="bullet"/>
      <w:lvlText w:val=""/>
      <w:lvlJc w:val="left"/>
      <w:pPr>
        <w:ind w:left="2520" w:hanging="360"/>
      </w:pPr>
      <w:rPr>
        <w:rFonts w:ascii="Wingdings" w:hAnsi="Wingdings" w:hint="default"/>
      </w:rPr>
    </w:lvl>
    <w:lvl w:ilvl="3" w:tplc="A8E6EB3E">
      <w:start w:val="1"/>
      <w:numFmt w:val="bullet"/>
      <w:lvlText w:val=""/>
      <w:lvlJc w:val="left"/>
      <w:pPr>
        <w:ind w:left="3240" w:hanging="360"/>
      </w:pPr>
      <w:rPr>
        <w:rFonts w:ascii="Symbol" w:hAnsi="Symbol" w:hint="default"/>
      </w:rPr>
    </w:lvl>
    <w:lvl w:ilvl="4" w:tplc="630E9712">
      <w:start w:val="1"/>
      <w:numFmt w:val="bullet"/>
      <w:lvlText w:val="o"/>
      <w:lvlJc w:val="left"/>
      <w:pPr>
        <w:ind w:left="3960" w:hanging="360"/>
      </w:pPr>
      <w:rPr>
        <w:rFonts w:ascii="Courier New" w:hAnsi="Courier New" w:cs="Courier New" w:hint="default"/>
      </w:rPr>
    </w:lvl>
    <w:lvl w:ilvl="5" w:tplc="1056F576">
      <w:start w:val="1"/>
      <w:numFmt w:val="bullet"/>
      <w:lvlText w:val=""/>
      <w:lvlJc w:val="left"/>
      <w:pPr>
        <w:ind w:left="4680" w:hanging="360"/>
      </w:pPr>
      <w:rPr>
        <w:rFonts w:ascii="Wingdings" w:hAnsi="Wingdings" w:hint="default"/>
      </w:rPr>
    </w:lvl>
    <w:lvl w:ilvl="6" w:tplc="4F025ABE">
      <w:start w:val="1"/>
      <w:numFmt w:val="bullet"/>
      <w:lvlText w:val=""/>
      <w:lvlJc w:val="left"/>
      <w:pPr>
        <w:ind w:left="5400" w:hanging="360"/>
      </w:pPr>
      <w:rPr>
        <w:rFonts w:ascii="Symbol" w:hAnsi="Symbol" w:hint="default"/>
      </w:rPr>
    </w:lvl>
    <w:lvl w:ilvl="7" w:tplc="93048FBE">
      <w:start w:val="1"/>
      <w:numFmt w:val="bullet"/>
      <w:lvlText w:val="o"/>
      <w:lvlJc w:val="left"/>
      <w:pPr>
        <w:ind w:left="6120" w:hanging="360"/>
      </w:pPr>
      <w:rPr>
        <w:rFonts w:ascii="Courier New" w:hAnsi="Courier New" w:cs="Courier New" w:hint="default"/>
      </w:rPr>
    </w:lvl>
    <w:lvl w:ilvl="8" w:tplc="F0C8DBDC">
      <w:start w:val="1"/>
      <w:numFmt w:val="bullet"/>
      <w:lvlText w:val=""/>
      <w:lvlJc w:val="left"/>
      <w:pPr>
        <w:ind w:left="6840" w:hanging="360"/>
      </w:pPr>
      <w:rPr>
        <w:rFonts w:ascii="Wingdings" w:hAnsi="Wingdings" w:hint="default"/>
      </w:rPr>
    </w:lvl>
  </w:abstractNum>
  <w:abstractNum w:abstractNumId="1">
    <w:nsid w:val="0F665C3A"/>
    <w:multiLevelType w:val="hybridMultilevel"/>
    <w:tmpl w:val="CEB821F2"/>
    <w:lvl w:ilvl="0" w:tplc="B6A6A304">
      <w:start w:val="3"/>
      <w:numFmt w:val="bullet"/>
      <w:lvlText w:val="-"/>
      <w:lvlJc w:val="left"/>
      <w:pPr>
        <w:ind w:left="1080" w:hanging="360"/>
      </w:pPr>
      <w:rPr>
        <w:rFonts w:ascii="Times New Roman" w:eastAsia="Times New Roman" w:hAnsi="Times New Roman" w:cs="Times New Roman" w:hint="default"/>
      </w:rPr>
    </w:lvl>
    <w:lvl w:ilvl="1" w:tplc="67CEE264">
      <w:start w:val="1"/>
      <w:numFmt w:val="bullet"/>
      <w:lvlText w:val="o"/>
      <w:lvlJc w:val="left"/>
      <w:pPr>
        <w:ind w:left="1800" w:hanging="360"/>
      </w:pPr>
      <w:rPr>
        <w:rFonts w:ascii="Courier New" w:hAnsi="Courier New" w:cs="Courier New" w:hint="default"/>
      </w:rPr>
    </w:lvl>
    <w:lvl w:ilvl="2" w:tplc="B2B69E94">
      <w:start w:val="1"/>
      <w:numFmt w:val="bullet"/>
      <w:lvlText w:val=""/>
      <w:lvlJc w:val="left"/>
      <w:pPr>
        <w:ind w:left="2520" w:hanging="360"/>
      </w:pPr>
      <w:rPr>
        <w:rFonts w:ascii="Wingdings" w:hAnsi="Wingdings" w:hint="default"/>
      </w:rPr>
    </w:lvl>
    <w:lvl w:ilvl="3" w:tplc="1A64AD72">
      <w:start w:val="1"/>
      <w:numFmt w:val="bullet"/>
      <w:lvlText w:val=""/>
      <w:lvlJc w:val="left"/>
      <w:pPr>
        <w:ind w:left="3240" w:hanging="360"/>
      </w:pPr>
      <w:rPr>
        <w:rFonts w:ascii="Symbol" w:hAnsi="Symbol" w:hint="default"/>
      </w:rPr>
    </w:lvl>
    <w:lvl w:ilvl="4" w:tplc="80AAA242">
      <w:start w:val="1"/>
      <w:numFmt w:val="bullet"/>
      <w:lvlText w:val="o"/>
      <w:lvlJc w:val="left"/>
      <w:pPr>
        <w:ind w:left="3960" w:hanging="360"/>
      </w:pPr>
      <w:rPr>
        <w:rFonts w:ascii="Courier New" w:hAnsi="Courier New" w:cs="Courier New" w:hint="default"/>
      </w:rPr>
    </w:lvl>
    <w:lvl w:ilvl="5" w:tplc="57C6D300">
      <w:start w:val="1"/>
      <w:numFmt w:val="bullet"/>
      <w:lvlText w:val=""/>
      <w:lvlJc w:val="left"/>
      <w:pPr>
        <w:ind w:left="4680" w:hanging="360"/>
      </w:pPr>
      <w:rPr>
        <w:rFonts w:ascii="Wingdings" w:hAnsi="Wingdings" w:hint="default"/>
      </w:rPr>
    </w:lvl>
    <w:lvl w:ilvl="6" w:tplc="46CA1A0A">
      <w:start w:val="1"/>
      <w:numFmt w:val="bullet"/>
      <w:lvlText w:val=""/>
      <w:lvlJc w:val="left"/>
      <w:pPr>
        <w:ind w:left="5400" w:hanging="360"/>
      </w:pPr>
      <w:rPr>
        <w:rFonts w:ascii="Symbol" w:hAnsi="Symbol" w:hint="default"/>
      </w:rPr>
    </w:lvl>
    <w:lvl w:ilvl="7" w:tplc="31C814C2">
      <w:start w:val="1"/>
      <w:numFmt w:val="bullet"/>
      <w:lvlText w:val="o"/>
      <w:lvlJc w:val="left"/>
      <w:pPr>
        <w:ind w:left="6120" w:hanging="360"/>
      </w:pPr>
      <w:rPr>
        <w:rFonts w:ascii="Courier New" w:hAnsi="Courier New" w:cs="Courier New" w:hint="default"/>
      </w:rPr>
    </w:lvl>
    <w:lvl w:ilvl="8" w:tplc="DCC6376C">
      <w:start w:val="1"/>
      <w:numFmt w:val="bullet"/>
      <w:lvlText w:val=""/>
      <w:lvlJc w:val="left"/>
      <w:pPr>
        <w:ind w:left="6840" w:hanging="360"/>
      </w:pPr>
      <w:rPr>
        <w:rFonts w:ascii="Wingdings" w:hAnsi="Wingdings" w:hint="default"/>
      </w:rPr>
    </w:lvl>
  </w:abstractNum>
  <w:abstractNum w:abstractNumId="2">
    <w:nsid w:val="11C55CDE"/>
    <w:multiLevelType w:val="hybridMultilevel"/>
    <w:tmpl w:val="D95E6B84"/>
    <w:lvl w:ilvl="0" w:tplc="21286310">
      <w:start w:val="1"/>
      <w:numFmt w:val="bullet"/>
      <w:lvlText w:val=""/>
      <w:lvlJc w:val="left"/>
      <w:pPr>
        <w:ind w:left="1080" w:hanging="360"/>
      </w:pPr>
      <w:rPr>
        <w:rFonts w:ascii="Symbol" w:hAnsi="Symbol" w:hint="default"/>
      </w:rPr>
    </w:lvl>
    <w:lvl w:ilvl="1" w:tplc="DF9AA486">
      <w:start w:val="1"/>
      <w:numFmt w:val="bullet"/>
      <w:lvlText w:val="o"/>
      <w:lvlJc w:val="left"/>
      <w:pPr>
        <w:ind w:left="1800" w:hanging="360"/>
      </w:pPr>
      <w:rPr>
        <w:rFonts w:ascii="Courier New" w:hAnsi="Courier New" w:cs="Courier New" w:hint="default"/>
      </w:rPr>
    </w:lvl>
    <w:lvl w:ilvl="2" w:tplc="2D6A84BE">
      <w:start w:val="1"/>
      <w:numFmt w:val="bullet"/>
      <w:lvlText w:val=""/>
      <w:lvlJc w:val="left"/>
      <w:pPr>
        <w:ind w:left="2520" w:hanging="360"/>
      </w:pPr>
      <w:rPr>
        <w:rFonts w:ascii="Wingdings" w:hAnsi="Wingdings" w:hint="default"/>
      </w:rPr>
    </w:lvl>
    <w:lvl w:ilvl="3" w:tplc="CC845AD0">
      <w:start w:val="1"/>
      <w:numFmt w:val="bullet"/>
      <w:lvlText w:val=""/>
      <w:lvlJc w:val="left"/>
      <w:pPr>
        <w:ind w:left="3240" w:hanging="360"/>
      </w:pPr>
      <w:rPr>
        <w:rFonts w:ascii="Symbol" w:hAnsi="Symbol" w:hint="default"/>
      </w:rPr>
    </w:lvl>
    <w:lvl w:ilvl="4" w:tplc="66BCB122">
      <w:start w:val="1"/>
      <w:numFmt w:val="bullet"/>
      <w:lvlText w:val="o"/>
      <w:lvlJc w:val="left"/>
      <w:pPr>
        <w:ind w:left="3960" w:hanging="360"/>
      </w:pPr>
      <w:rPr>
        <w:rFonts w:ascii="Courier New" w:hAnsi="Courier New" w:cs="Courier New" w:hint="default"/>
      </w:rPr>
    </w:lvl>
    <w:lvl w:ilvl="5" w:tplc="19E84C72">
      <w:start w:val="1"/>
      <w:numFmt w:val="bullet"/>
      <w:lvlText w:val=""/>
      <w:lvlJc w:val="left"/>
      <w:pPr>
        <w:ind w:left="4680" w:hanging="360"/>
      </w:pPr>
      <w:rPr>
        <w:rFonts w:ascii="Wingdings" w:hAnsi="Wingdings" w:hint="default"/>
      </w:rPr>
    </w:lvl>
    <w:lvl w:ilvl="6" w:tplc="3674761E">
      <w:start w:val="1"/>
      <w:numFmt w:val="bullet"/>
      <w:lvlText w:val=""/>
      <w:lvlJc w:val="left"/>
      <w:pPr>
        <w:ind w:left="5400" w:hanging="360"/>
      </w:pPr>
      <w:rPr>
        <w:rFonts w:ascii="Symbol" w:hAnsi="Symbol" w:hint="default"/>
      </w:rPr>
    </w:lvl>
    <w:lvl w:ilvl="7" w:tplc="F0860C40">
      <w:start w:val="1"/>
      <w:numFmt w:val="bullet"/>
      <w:lvlText w:val="o"/>
      <w:lvlJc w:val="left"/>
      <w:pPr>
        <w:ind w:left="6120" w:hanging="360"/>
      </w:pPr>
      <w:rPr>
        <w:rFonts w:ascii="Courier New" w:hAnsi="Courier New" w:cs="Courier New" w:hint="default"/>
      </w:rPr>
    </w:lvl>
    <w:lvl w:ilvl="8" w:tplc="5F1664B2">
      <w:start w:val="1"/>
      <w:numFmt w:val="bullet"/>
      <w:lvlText w:val=""/>
      <w:lvlJc w:val="left"/>
      <w:pPr>
        <w:ind w:left="6840" w:hanging="360"/>
      </w:pPr>
      <w:rPr>
        <w:rFonts w:ascii="Wingdings" w:hAnsi="Wingdings" w:hint="default"/>
      </w:rPr>
    </w:lvl>
  </w:abstractNum>
  <w:abstractNum w:abstractNumId="3">
    <w:nsid w:val="12767302"/>
    <w:multiLevelType w:val="hybridMultilevel"/>
    <w:tmpl w:val="B4828554"/>
    <w:lvl w:ilvl="0" w:tplc="88547552">
      <w:start w:val="1"/>
      <w:numFmt w:val="bullet"/>
      <w:lvlText w:val=""/>
      <w:lvlJc w:val="left"/>
      <w:pPr>
        <w:tabs>
          <w:tab w:val="left" w:pos="1080"/>
        </w:tabs>
        <w:ind w:left="1080" w:hanging="360"/>
      </w:pPr>
      <w:rPr>
        <w:rFonts w:ascii="Symbol" w:hAnsi="Symbol" w:hint="default"/>
      </w:rPr>
    </w:lvl>
    <w:lvl w:ilvl="1" w:tplc="46E06324">
      <w:start w:val="1"/>
      <w:numFmt w:val="bullet"/>
      <w:lvlText w:val="o"/>
      <w:lvlJc w:val="left"/>
      <w:pPr>
        <w:tabs>
          <w:tab w:val="left" w:pos="1800"/>
        </w:tabs>
        <w:ind w:left="1800" w:hanging="360"/>
      </w:pPr>
      <w:rPr>
        <w:rFonts w:ascii="Courier New" w:hAnsi="Courier New" w:cs="Courier New" w:hint="default"/>
      </w:rPr>
    </w:lvl>
    <w:lvl w:ilvl="2" w:tplc="DE78473E">
      <w:start w:val="1"/>
      <w:numFmt w:val="bullet"/>
      <w:lvlText w:val=""/>
      <w:lvlJc w:val="left"/>
      <w:pPr>
        <w:tabs>
          <w:tab w:val="left" w:pos="2520"/>
        </w:tabs>
        <w:ind w:left="2520" w:hanging="360"/>
      </w:pPr>
      <w:rPr>
        <w:rFonts w:ascii="Wingdings" w:hAnsi="Wingdings" w:hint="default"/>
      </w:rPr>
    </w:lvl>
    <w:lvl w:ilvl="3" w:tplc="691A8892">
      <w:start w:val="1"/>
      <w:numFmt w:val="bullet"/>
      <w:lvlText w:val=""/>
      <w:lvlJc w:val="left"/>
      <w:pPr>
        <w:tabs>
          <w:tab w:val="left" w:pos="3240"/>
        </w:tabs>
        <w:ind w:left="3240" w:hanging="360"/>
      </w:pPr>
      <w:rPr>
        <w:rFonts w:ascii="Symbol" w:hAnsi="Symbol" w:hint="default"/>
      </w:rPr>
    </w:lvl>
    <w:lvl w:ilvl="4" w:tplc="D0A042F2">
      <w:start w:val="1"/>
      <w:numFmt w:val="bullet"/>
      <w:lvlText w:val="o"/>
      <w:lvlJc w:val="left"/>
      <w:pPr>
        <w:tabs>
          <w:tab w:val="left" w:pos="3960"/>
        </w:tabs>
        <w:ind w:left="3960" w:hanging="360"/>
      </w:pPr>
      <w:rPr>
        <w:rFonts w:ascii="Courier New" w:hAnsi="Courier New" w:cs="Courier New" w:hint="default"/>
      </w:rPr>
    </w:lvl>
    <w:lvl w:ilvl="5" w:tplc="9D869CB0">
      <w:start w:val="1"/>
      <w:numFmt w:val="bullet"/>
      <w:lvlText w:val=""/>
      <w:lvlJc w:val="left"/>
      <w:pPr>
        <w:tabs>
          <w:tab w:val="left" w:pos="4680"/>
        </w:tabs>
        <w:ind w:left="4680" w:hanging="360"/>
      </w:pPr>
      <w:rPr>
        <w:rFonts w:ascii="Wingdings" w:hAnsi="Wingdings" w:hint="default"/>
      </w:rPr>
    </w:lvl>
    <w:lvl w:ilvl="6" w:tplc="B5D8C08A">
      <w:start w:val="1"/>
      <w:numFmt w:val="bullet"/>
      <w:lvlText w:val=""/>
      <w:lvlJc w:val="left"/>
      <w:pPr>
        <w:tabs>
          <w:tab w:val="left" w:pos="5400"/>
        </w:tabs>
        <w:ind w:left="5400" w:hanging="360"/>
      </w:pPr>
      <w:rPr>
        <w:rFonts w:ascii="Symbol" w:hAnsi="Symbol" w:hint="default"/>
      </w:rPr>
    </w:lvl>
    <w:lvl w:ilvl="7" w:tplc="0646F138">
      <w:start w:val="1"/>
      <w:numFmt w:val="bullet"/>
      <w:lvlText w:val="o"/>
      <w:lvlJc w:val="left"/>
      <w:pPr>
        <w:tabs>
          <w:tab w:val="left" w:pos="6120"/>
        </w:tabs>
        <w:ind w:left="6120" w:hanging="360"/>
      </w:pPr>
      <w:rPr>
        <w:rFonts w:ascii="Courier New" w:hAnsi="Courier New" w:cs="Courier New" w:hint="default"/>
      </w:rPr>
    </w:lvl>
    <w:lvl w:ilvl="8" w:tplc="73C00D7A">
      <w:start w:val="1"/>
      <w:numFmt w:val="bullet"/>
      <w:lvlText w:val=""/>
      <w:lvlJc w:val="left"/>
      <w:pPr>
        <w:tabs>
          <w:tab w:val="left" w:pos="6840"/>
        </w:tabs>
        <w:ind w:left="6840" w:hanging="360"/>
      </w:pPr>
      <w:rPr>
        <w:rFonts w:ascii="Wingdings" w:hAnsi="Wingdings" w:hint="default"/>
      </w:rPr>
    </w:lvl>
  </w:abstractNum>
  <w:abstractNum w:abstractNumId="4">
    <w:nsid w:val="17A0115E"/>
    <w:multiLevelType w:val="hybridMultilevel"/>
    <w:tmpl w:val="E54C1092"/>
    <w:lvl w:ilvl="0" w:tplc="ED569BB8">
      <w:start w:val="1"/>
      <w:numFmt w:val="bullet"/>
      <w:lvlText w:val=""/>
      <w:lvlJc w:val="left"/>
      <w:pPr>
        <w:tabs>
          <w:tab w:val="left" w:pos="720"/>
        </w:tabs>
        <w:ind w:left="720" w:hanging="360"/>
      </w:pPr>
      <w:rPr>
        <w:rFonts w:ascii="Symbol" w:hAnsi="Symbol" w:hint="default"/>
      </w:rPr>
    </w:lvl>
    <w:lvl w:ilvl="1" w:tplc="53A2EA8C">
      <w:start w:val="1"/>
      <w:numFmt w:val="bullet"/>
      <w:lvlText w:val="o"/>
      <w:lvlJc w:val="left"/>
      <w:pPr>
        <w:tabs>
          <w:tab w:val="left" w:pos="1440"/>
        </w:tabs>
        <w:ind w:left="1440" w:hanging="360"/>
      </w:pPr>
      <w:rPr>
        <w:rFonts w:ascii="Courier New" w:hAnsi="Courier New" w:cs="Courier New" w:hint="default"/>
      </w:rPr>
    </w:lvl>
    <w:lvl w:ilvl="2" w:tplc="9FF0256E">
      <w:start w:val="1"/>
      <w:numFmt w:val="bullet"/>
      <w:lvlText w:val=""/>
      <w:lvlJc w:val="left"/>
      <w:pPr>
        <w:tabs>
          <w:tab w:val="left" w:pos="2160"/>
        </w:tabs>
        <w:ind w:left="2160" w:hanging="360"/>
      </w:pPr>
      <w:rPr>
        <w:rFonts w:ascii="Wingdings" w:hAnsi="Wingdings" w:hint="default"/>
      </w:rPr>
    </w:lvl>
    <w:lvl w:ilvl="3" w:tplc="36EEDA4A">
      <w:start w:val="1"/>
      <w:numFmt w:val="bullet"/>
      <w:lvlText w:val=""/>
      <w:lvlJc w:val="left"/>
      <w:pPr>
        <w:tabs>
          <w:tab w:val="left" w:pos="2880"/>
        </w:tabs>
        <w:ind w:left="2880" w:hanging="360"/>
      </w:pPr>
      <w:rPr>
        <w:rFonts w:ascii="Symbol" w:hAnsi="Symbol" w:hint="default"/>
      </w:rPr>
    </w:lvl>
    <w:lvl w:ilvl="4" w:tplc="DC70657E">
      <w:start w:val="1"/>
      <w:numFmt w:val="bullet"/>
      <w:lvlText w:val="o"/>
      <w:lvlJc w:val="left"/>
      <w:pPr>
        <w:tabs>
          <w:tab w:val="left" w:pos="3600"/>
        </w:tabs>
        <w:ind w:left="3600" w:hanging="360"/>
      </w:pPr>
      <w:rPr>
        <w:rFonts w:ascii="Courier New" w:hAnsi="Courier New" w:cs="Courier New" w:hint="default"/>
      </w:rPr>
    </w:lvl>
    <w:lvl w:ilvl="5" w:tplc="1EF62EB8">
      <w:start w:val="1"/>
      <w:numFmt w:val="bullet"/>
      <w:lvlText w:val=""/>
      <w:lvlJc w:val="left"/>
      <w:pPr>
        <w:tabs>
          <w:tab w:val="left" w:pos="4320"/>
        </w:tabs>
        <w:ind w:left="4320" w:hanging="360"/>
      </w:pPr>
      <w:rPr>
        <w:rFonts w:ascii="Wingdings" w:hAnsi="Wingdings" w:hint="default"/>
      </w:rPr>
    </w:lvl>
    <w:lvl w:ilvl="6" w:tplc="B288C366">
      <w:start w:val="1"/>
      <w:numFmt w:val="bullet"/>
      <w:lvlText w:val=""/>
      <w:lvlJc w:val="left"/>
      <w:pPr>
        <w:tabs>
          <w:tab w:val="left" w:pos="5040"/>
        </w:tabs>
        <w:ind w:left="5040" w:hanging="360"/>
      </w:pPr>
      <w:rPr>
        <w:rFonts w:ascii="Symbol" w:hAnsi="Symbol" w:hint="default"/>
      </w:rPr>
    </w:lvl>
    <w:lvl w:ilvl="7" w:tplc="D81679F6">
      <w:start w:val="1"/>
      <w:numFmt w:val="bullet"/>
      <w:lvlText w:val="o"/>
      <w:lvlJc w:val="left"/>
      <w:pPr>
        <w:tabs>
          <w:tab w:val="left" w:pos="5760"/>
        </w:tabs>
        <w:ind w:left="5760" w:hanging="360"/>
      </w:pPr>
      <w:rPr>
        <w:rFonts w:ascii="Courier New" w:hAnsi="Courier New" w:cs="Courier New" w:hint="default"/>
      </w:rPr>
    </w:lvl>
    <w:lvl w:ilvl="8" w:tplc="65284870">
      <w:start w:val="1"/>
      <w:numFmt w:val="bullet"/>
      <w:lvlText w:val=""/>
      <w:lvlJc w:val="left"/>
      <w:pPr>
        <w:tabs>
          <w:tab w:val="left" w:pos="6480"/>
        </w:tabs>
        <w:ind w:left="6480" w:hanging="360"/>
      </w:pPr>
      <w:rPr>
        <w:rFonts w:ascii="Wingdings" w:hAnsi="Wingdings" w:hint="default"/>
      </w:rPr>
    </w:lvl>
  </w:abstractNum>
  <w:abstractNum w:abstractNumId="5">
    <w:nsid w:val="247261B7"/>
    <w:multiLevelType w:val="hybridMultilevel"/>
    <w:tmpl w:val="C9FC43A6"/>
    <w:lvl w:ilvl="0" w:tplc="A06263B6">
      <w:start w:val="1"/>
      <w:numFmt w:val="bullet"/>
      <w:lvlText w:val=""/>
      <w:lvlJc w:val="left"/>
      <w:pPr>
        <w:ind w:left="3600" w:hanging="360"/>
      </w:pPr>
      <w:rPr>
        <w:rFonts w:ascii="Symbol" w:hAnsi="Symbol" w:hint="default"/>
      </w:rPr>
    </w:lvl>
    <w:lvl w:ilvl="1" w:tplc="AD0887DE">
      <w:start w:val="1"/>
      <w:numFmt w:val="bullet"/>
      <w:lvlText w:val="o"/>
      <w:lvlJc w:val="left"/>
      <w:pPr>
        <w:ind w:left="4320" w:hanging="360"/>
      </w:pPr>
      <w:rPr>
        <w:rFonts w:ascii="Courier New" w:hAnsi="Courier New" w:cs="Courier New" w:hint="default"/>
      </w:rPr>
    </w:lvl>
    <w:lvl w:ilvl="2" w:tplc="C330BBA0">
      <w:start w:val="1"/>
      <w:numFmt w:val="bullet"/>
      <w:lvlText w:val=""/>
      <w:lvlJc w:val="left"/>
      <w:pPr>
        <w:ind w:left="5040" w:hanging="360"/>
      </w:pPr>
      <w:rPr>
        <w:rFonts w:ascii="Wingdings" w:hAnsi="Wingdings" w:hint="default"/>
      </w:rPr>
    </w:lvl>
    <w:lvl w:ilvl="3" w:tplc="8E36402C">
      <w:start w:val="1"/>
      <w:numFmt w:val="bullet"/>
      <w:lvlText w:val=""/>
      <w:lvlJc w:val="left"/>
      <w:pPr>
        <w:ind w:left="5760" w:hanging="360"/>
      </w:pPr>
      <w:rPr>
        <w:rFonts w:ascii="Symbol" w:hAnsi="Symbol" w:hint="default"/>
      </w:rPr>
    </w:lvl>
    <w:lvl w:ilvl="4" w:tplc="416071DA">
      <w:start w:val="1"/>
      <w:numFmt w:val="bullet"/>
      <w:lvlText w:val="o"/>
      <w:lvlJc w:val="left"/>
      <w:pPr>
        <w:ind w:left="6480" w:hanging="360"/>
      </w:pPr>
      <w:rPr>
        <w:rFonts w:ascii="Courier New" w:hAnsi="Courier New" w:cs="Courier New" w:hint="default"/>
      </w:rPr>
    </w:lvl>
    <w:lvl w:ilvl="5" w:tplc="1340C7CA">
      <w:start w:val="1"/>
      <w:numFmt w:val="bullet"/>
      <w:lvlText w:val=""/>
      <w:lvlJc w:val="left"/>
      <w:pPr>
        <w:ind w:left="7200" w:hanging="360"/>
      </w:pPr>
      <w:rPr>
        <w:rFonts w:ascii="Wingdings" w:hAnsi="Wingdings" w:hint="default"/>
      </w:rPr>
    </w:lvl>
    <w:lvl w:ilvl="6" w:tplc="2D7E8588">
      <w:start w:val="1"/>
      <w:numFmt w:val="bullet"/>
      <w:lvlText w:val=""/>
      <w:lvlJc w:val="left"/>
      <w:pPr>
        <w:ind w:left="7920" w:hanging="360"/>
      </w:pPr>
      <w:rPr>
        <w:rFonts w:ascii="Symbol" w:hAnsi="Symbol" w:hint="default"/>
      </w:rPr>
    </w:lvl>
    <w:lvl w:ilvl="7" w:tplc="23F4B6D0">
      <w:start w:val="1"/>
      <w:numFmt w:val="bullet"/>
      <w:lvlText w:val="o"/>
      <w:lvlJc w:val="left"/>
      <w:pPr>
        <w:ind w:left="8640" w:hanging="360"/>
      </w:pPr>
      <w:rPr>
        <w:rFonts w:ascii="Courier New" w:hAnsi="Courier New" w:cs="Courier New" w:hint="default"/>
      </w:rPr>
    </w:lvl>
    <w:lvl w:ilvl="8" w:tplc="C14C2910">
      <w:start w:val="1"/>
      <w:numFmt w:val="bullet"/>
      <w:lvlText w:val=""/>
      <w:lvlJc w:val="left"/>
      <w:pPr>
        <w:ind w:left="9360" w:hanging="360"/>
      </w:pPr>
      <w:rPr>
        <w:rFonts w:ascii="Wingdings" w:hAnsi="Wingdings" w:hint="default"/>
      </w:rPr>
    </w:lvl>
  </w:abstractNum>
  <w:abstractNum w:abstractNumId="6">
    <w:nsid w:val="25944F05"/>
    <w:multiLevelType w:val="hybridMultilevel"/>
    <w:tmpl w:val="4BCAD3BC"/>
    <w:lvl w:ilvl="0" w:tplc="820A27E6">
      <w:start w:val="26"/>
      <w:numFmt w:val="bullet"/>
      <w:lvlText w:val="-"/>
      <w:lvlJc w:val="left"/>
      <w:pPr>
        <w:ind w:left="1080" w:hanging="360"/>
      </w:pPr>
      <w:rPr>
        <w:rFonts w:ascii="Times New Roman" w:eastAsia="Times New Roman" w:hAnsi="Times New Roman" w:cs="Times New Roman" w:hint="default"/>
      </w:rPr>
    </w:lvl>
    <w:lvl w:ilvl="1" w:tplc="F7B222CE">
      <w:start w:val="1"/>
      <w:numFmt w:val="bullet"/>
      <w:lvlText w:val="o"/>
      <w:lvlJc w:val="left"/>
      <w:pPr>
        <w:ind w:left="1800" w:hanging="360"/>
      </w:pPr>
      <w:rPr>
        <w:rFonts w:ascii="Courier New" w:hAnsi="Courier New" w:cs="Courier New" w:hint="default"/>
      </w:rPr>
    </w:lvl>
    <w:lvl w:ilvl="2" w:tplc="B158F7BA">
      <w:start w:val="1"/>
      <w:numFmt w:val="bullet"/>
      <w:lvlText w:val=""/>
      <w:lvlJc w:val="left"/>
      <w:pPr>
        <w:ind w:left="2520" w:hanging="360"/>
      </w:pPr>
      <w:rPr>
        <w:rFonts w:ascii="Wingdings" w:hAnsi="Wingdings" w:hint="default"/>
      </w:rPr>
    </w:lvl>
    <w:lvl w:ilvl="3" w:tplc="38DCDA30">
      <w:start w:val="1"/>
      <w:numFmt w:val="bullet"/>
      <w:lvlText w:val=""/>
      <w:lvlJc w:val="left"/>
      <w:pPr>
        <w:ind w:left="3240" w:hanging="360"/>
      </w:pPr>
      <w:rPr>
        <w:rFonts w:ascii="Symbol" w:hAnsi="Symbol" w:hint="default"/>
      </w:rPr>
    </w:lvl>
    <w:lvl w:ilvl="4" w:tplc="272C34DC">
      <w:start w:val="1"/>
      <w:numFmt w:val="bullet"/>
      <w:lvlText w:val="o"/>
      <w:lvlJc w:val="left"/>
      <w:pPr>
        <w:ind w:left="3960" w:hanging="360"/>
      </w:pPr>
      <w:rPr>
        <w:rFonts w:ascii="Courier New" w:hAnsi="Courier New" w:cs="Courier New" w:hint="default"/>
      </w:rPr>
    </w:lvl>
    <w:lvl w:ilvl="5" w:tplc="514AE7F8">
      <w:start w:val="1"/>
      <w:numFmt w:val="bullet"/>
      <w:lvlText w:val=""/>
      <w:lvlJc w:val="left"/>
      <w:pPr>
        <w:ind w:left="4680" w:hanging="360"/>
      </w:pPr>
      <w:rPr>
        <w:rFonts w:ascii="Wingdings" w:hAnsi="Wingdings" w:hint="default"/>
      </w:rPr>
    </w:lvl>
    <w:lvl w:ilvl="6" w:tplc="9F10C02A">
      <w:start w:val="1"/>
      <w:numFmt w:val="bullet"/>
      <w:lvlText w:val=""/>
      <w:lvlJc w:val="left"/>
      <w:pPr>
        <w:ind w:left="5400" w:hanging="360"/>
      </w:pPr>
      <w:rPr>
        <w:rFonts w:ascii="Symbol" w:hAnsi="Symbol" w:hint="default"/>
      </w:rPr>
    </w:lvl>
    <w:lvl w:ilvl="7" w:tplc="A0845A16">
      <w:start w:val="1"/>
      <w:numFmt w:val="bullet"/>
      <w:lvlText w:val="o"/>
      <w:lvlJc w:val="left"/>
      <w:pPr>
        <w:ind w:left="6120" w:hanging="360"/>
      </w:pPr>
      <w:rPr>
        <w:rFonts w:ascii="Courier New" w:hAnsi="Courier New" w:cs="Courier New" w:hint="default"/>
      </w:rPr>
    </w:lvl>
    <w:lvl w:ilvl="8" w:tplc="6EBCA4C6">
      <w:start w:val="1"/>
      <w:numFmt w:val="bullet"/>
      <w:lvlText w:val=""/>
      <w:lvlJc w:val="left"/>
      <w:pPr>
        <w:ind w:left="6840" w:hanging="360"/>
      </w:pPr>
      <w:rPr>
        <w:rFonts w:ascii="Wingdings" w:hAnsi="Wingdings" w:hint="default"/>
      </w:rPr>
    </w:lvl>
  </w:abstractNum>
  <w:abstractNum w:abstractNumId="7">
    <w:nsid w:val="28F03537"/>
    <w:multiLevelType w:val="hybridMultilevel"/>
    <w:tmpl w:val="5ABE9C1E"/>
    <w:lvl w:ilvl="0" w:tplc="C180CA94">
      <w:start w:val="3"/>
      <w:numFmt w:val="bullet"/>
      <w:lvlText w:val="-"/>
      <w:lvlJc w:val="left"/>
      <w:pPr>
        <w:ind w:left="1080" w:hanging="360"/>
      </w:pPr>
      <w:rPr>
        <w:rFonts w:ascii="Times New Roman" w:eastAsia="Times New Roman" w:hAnsi="Times New Roman" w:cs="Times New Roman" w:hint="default"/>
      </w:rPr>
    </w:lvl>
    <w:lvl w:ilvl="1" w:tplc="40C4017C">
      <w:start w:val="1"/>
      <w:numFmt w:val="bullet"/>
      <w:lvlText w:val="o"/>
      <w:lvlJc w:val="left"/>
      <w:pPr>
        <w:ind w:left="1800" w:hanging="360"/>
      </w:pPr>
      <w:rPr>
        <w:rFonts w:ascii="Courier New" w:hAnsi="Courier New" w:cs="Courier New" w:hint="default"/>
      </w:rPr>
    </w:lvl>
    <w:lvl w:ilvl="2" w:tplc="6A407F18">
      <w:start w:val="1"/>
      <w:numFmt w:val="bullet"/>
      <w:lvlText w:val=""/>
      <w:lvlJc w:val="left"/>
      <w:pPr>
        <w:ind w:left="2520" w:hanging="360"/>
      </w:pPr>
      <w:rPr>
        <w:rFonts w:ascii="Wingdings" w:hAnsi="Wingdings" w:hint="default"/>
      </w:rPr>
    </w:lvl>
    <w:lvl w:ilvl="3" w:tplc="19845C80">
      <w:start w:val="1"/>
      <w:numFmt w:val="bullet"/>
      <w:lvlText w:val=""/>
      <w:lvlJc w:val="left"/>
      <w:pPr>
        <w:ind w:left="3240" w:hanging="360"/>
      </w:pPr>
      <w:rPr>
        <w:rFonts w:ascii="Symbol" w:hAnsi="Symbol" w:hint="default"/>
      </w:rPr>
    </w:lvl>
    <w:lvl w:ilvl="4" w:tplc="13060FB0">
      <w:start w:val="1"/>
      <w:numFmt w:val="bullet"/>
      <w:lvlText w:val="o"/>
      <w:lvlJc w:val="left"/>
      <w:pPr>
        <w:ind w:left="3960" w:hanging="360"/>
      </w:pPr>
      <w:rPr>
        <w:rFonts w:ascii="Courier New" w:hAnsi="Courier New" w:cs="Courier New" w:hint="default"/>
      </w:rPr>
    </w:lvl>
    <w:lvl w:ilvl="5" w:tplc="163416DC">
      <w:start w:val="1"/>
      <w:numFmt w:val="bullet"/>
      <w:lvlText w:val=""/>
      <w:lvlJc w:val="left"/>
      <w:pPr>
        <w:ind w:left="4680" w:hanging="360"/>
      </w:pPr>
      <w:rPr>
        <w:rFonts w:ascii="Wingdings" w:hAnsi="Wingdings" w:hint="default"/>
      </w:rPr>
    </w:lvl>
    <w:lvl w:ilvl="6" w:tplc="67629C66">
      <w:start w:val="1"/>
      <w:numFmt w:val="bullet"/>
      <w:lvlText w:val=""/>
      <w:lvlJc w:val="left"/>
      <w:pPr>
        <w:ind w:left="5400" w:hanging="360"/>
      </w:pPr>
      <w:rPr>
        <w:rFonts w:ascii="Symbol" w:hAnsi="Symbol" w:hint="default"/>
      </w:rPr>
    </w:lvl>
    <w:lvl w:ilvl="7" w:tplc="A1E09C96">
      <w:start w:val="1"/>
      <w:numFmt w:val="bullet"/>
      <w:lvlText w:val="o"/>
      <w:lvlJc w:val="left"/>
      <w:pPr>
        <w:ind w:left="6120" w:hanging="360"/>
      </w:pPr>
      <w:rPr>
        <w:rFonts w:ascii="Courier New" w:hAnsi="Courier New" w:cs="Courier New" w:hint="default"/>
      </w:rPr>
    </w:lvl>
    <w:lvl w:ilvl="8" w:tplc="A216C770">
      <w:start w:val="1"/>
      <w:numFmt w:val="bullet"/>
      <w:lvlText w:val=""/>
      <w:lvlJc w:val="left"/>
      <w:pPr>
        <w:ind w:left="6840" w:hanging="360"/>
      </w:pPr>
      <w:rPr>
        <w:rFonts w:ascii="Wingdings" w:hAnsi="Wingdings" w:hint="default"/>
      </w:rPr>
    </w:lvl>
  </w:abstractNum>
  <w:abstractNum w:abstractNumId="8">
    <w:nsid w:val="2D706629"/>
    <w:multiLevelType w:val="hybridMultilevel"/>
    <w:tmpl w:val="14568960"/>
    <w:lvl w:ilvl="0" w:tplc="BA38AF1A">
      <w:start w:val="1"/>
      <w:numFmt w:val="bullet"/>
      <w:lvlText w:val=""/>
      <w:lvlJc w:val="left"/>
      <w:pPr>
        <w:ind w:left="1440" w:hanging="360"/>
      </w:pPr>
      <w:rPr>
        <w:rFonts w:ascii="Symbol" w:hAnsi="Symbol" w:hint="default"/>
      </w:rPr>
    </w:lvl>
    <w:lvl w:ilvl="1" w:tplc="EF842F76">
      <w:start w:val="1"/>
      <w:numFmt w:val="bullet"/>
      <w:lvlText w:val="o"/>
      <w:lvlJc w:val="left"/>
      <w:pPr>
        <w:ind w:left="2160" w:hanging="360"/>
      </w:pPr>
      <w:rPr>
        <w:rFonts w:ascii="Courier New" w:hAnsi="Courier New" w:cs="Courier New" w:hint="default"/>
      </w:rPr>
    </w:lvl>
    <w:lvl w:ilvl="2" w:tplc="3A1A597C">
      <w:start w:val="1"/>
      <w:numFmt w:val="bullet"/>
      <w:lvlText w:val=""/>
      <w:lvlJc w:val="left"/>
      <w:pPr>
        <w:ind w:left="2880" w:hanging="360"/>
      </w:pPr>
      <w:rPr>
        <w:rFonts w:ascii="Wingdings" w:hAnsi="Wingdings" w:hint="default"/>
      </w:rPr>
    </w:lvl>
    <w:lvl w:ilvl="3" w:tplc="4C303D08">
      <w:start w:val="1"/>
      <w:numFmt w:val="bullet"/>
      <w:lvlText w:val=""/>
      <w:lvlJc w:val="left"/>
      <w:pPr>
        <w:ind w:left="3600" w:hanging="360"/>
      </w:pPr>
      <w:rPr>
        <w:rFonts w:ascii="Symbol" w:hAnsi="Symbol" w:hint="default"/>
      </w:rPr>
    </w:lvl>
    <w:lvl w:ilvl="4" w:tplc="E8FED5D4">
      <w:start w:val="1"/>
      <w:numFmt w:val="bullet"/>
      <w:lvlText w:val="o"/>
      <w:lvlJc w:val="left"/>
      <w:pPr>
        <w:ind w:left="4320" w:hanging="360"/>
      </w:pPr>
      <w:rPr>
        <w:rFonts w:ascii="Courier New" w:hAnsi="Courier New" w:cs="Courier New" w:hint="default"/>
      </w:rPr>
    </w:lvl>
    <w:lvl w:ilvl="5" w:tplc="E42C0008">
      <w:start w:val="1"/>
      <w:numFmt w:val="bullet"/>
      <w:lvlText w:val=""/>
      <w:lvlJc w:val="left"/>
      <w:pPr>
        <w:ind w:left="5040" w:hanging="360"/>
      </w:pPr>
      <w:rPr>
        <w:rFonts w:ascii="Wingdings" w:hAnsi="Wingdings" w:hint="default"/>
      </w:rPr>
    </w:lvl>
    <w:lvl w:ilvl="6" w:tplc="A5B6C5BC">
      <w:start w:val="1"/>
      <w:numFmt w:val="bullet"/>
      <w:lvlText w:val=""/>
      <w:lvlJc w:val="left"/>
      <w:pPr>
        <w:ind w:left="5760" w:hanging="360"/>
      </w:pPr>
      <w:rPr>
        <w:rFonts w:ascii="Symbol" w:hAnsi="Symbol" w:hint="default"/>
      </w:rPr>
    </w:lvl>
    <w:lvl w:ilvl="7" w:tplc="4AB42898">
      <w:start w:val="1"/>
      <w:numFmt w:val="bullet"/>
      <w:lvlText w:val="o"/>
      <w:lvlJc w:val="left"/>
      <w:pPr>
        <w:ind w:left="6480" w:hanging="360"/>
      </w:pPr>
      <w:rPr>
        <w:rFonts w:ascii="Courier New" w:hAnsi="Courier New" w:cs="Courier New" w:hint="default"/>
      </w:rPr>
    </w:lvl>
    <w:lvl w:ilvl="8" w:tplc="963CE8AE">
      <w:start w:val="1"/>
      <w:numFmt w:val="bullet"/>
      <w:lvlText w:val=""/>
      <w:lvlJc w:val="left"/>
      <w:pPr>
        <w:ind w:left="7200" w:hanging="360"/>
      </w:pPr>
      <w:rPr>
        <w:rFonts w:ascii="Wingdings" w:hAnsi="Wingdings" w:hint="default"/>
      </w:rPr>
    </w:lvl>
  </w:abstractNum>
  <w:abstractNum w:abstractNumId="9">
    <w:nsid w:val="3AB864C7"/>
    <w:multiLevelType w:val="hybridMultilevel"/>
    <w:tmpl w:val="D278F612"/>
    <w:lvl w:ilvl="0" w:tplc="CC9031F2">
      <w:start w:val="1"/>
      <w:numFmt w:val="bullet"/>
      <w:lvlText w:val=""/>
      <w:lvlJc w:val="left"/>
      <w:pPr>
        <w:ind w:left="1080" w:hanging="360"/>
      </w:pPr>
      <w:rPr>
        <w:rFonts w:ascii="Wingdings" w:hAnsi="Wingdings" w:hint="default"/>
      </w:rPr>
    </w:lvl>
    <w:lvl w:ilvl="1" w:tplc="65E0C4E0">
      <w:start w:val="1"/>
      <w:numFmt w:val="bullet"/>
      <w:lvlText w:val="o"/>
      <w:lvlJc w:val="left"/>
      <w:pPr>
        <w:ind w:left="1800" w:hanging="360"/>
      </w:pPr>
      <w:rPr>
        <w:rFonts w:ascii="Courier New" w:hAnsi="Courier New" w:cs="Courier New" w:hint="default"/>
      </w:rPr>
    </w:lvl>
    <w:lvl w:ilvl="2" w:tplc="3BBE3D80">
      <w:start w:val="1"/>
      <w:numFmt w:val="bullet"/>
      <w:lvlText w:val=""/>
      <w:lvlJc w:val="left"/>
      <w:pPr>
        <w:ind w:left="2520" w:hanging="360"/>
      </w:pPr>
      <w:rPr>
        <w:rFonts w:ascii="Wingdings" w:hAnsi="Wingdings" w:hint="default"/>
      </w:rPr>
    </w:lvl>
    <w:lvl w:ilvl="3" w:tplc="A05C736C">
      <w:start w:val="1"/>
      <w:numFmt w:val="bullet"/>
      <w:lvlText w:val=""/>
      <w:lvlJc w:val="left"/>
      <w:pPr>
        <w:ind w:left="3240" w:hanging="360"/>
      </w:pPr>
      <w:rPr>
        <w:rFonts w:ascii="Symbol" w:hAnsi="Symbol" w:hint="default"/>
      </w:rPr>
    </w:lvl>
    <w:lvl w:ilvl="4" w:tplc="64C68CAE">
      <w:start w:val="1"/>
      <w:numFmt w:val="bullet"/>
      <w:lvlText w:val="o"/>
      <w:lvlJc w:val="left"/>
      <w:pPr>
        <w:ind w:left="3960" w:hanging="360"/>
      </w:pPr>
      <w:rPr>
        <w:rFonts w:ascii="Courier New" w:hAnsi="Courier New" w:cs="Courier New" w:hint="default"/>
      </w:rPr>
    </w:lvl>
    <w:lvl w:ilvl="5" w:tplc="6E122872">
      <w:start w:val="1"/>
      <w:numFmt w:val="bullet"/>
      <w:lvlText w:val=""/>
      <w:lvlJc w:val="left"/>
      <w:pPr>
        <w:ind w:left="4680" w:hanging="360"/>
      </w:pPr>
      <w:rPr>
        <w:rFonts w:ascii="Wingdings" w:hAnsi="Wingdings" w:hint="default"/>
      </w:rPr>
    </w:lvl>
    <w:lvl w:ilvl="6" w:tplc="F0E88846">
      <w:start w:val="1"/>
      <w:numFmt w:val="bullet"/>
      <w:lvlText w:val=""/>
      <w:lvlJc w:val="left"/>
      <w:pPr>
        <w:ind w:left="5400" w:hanging="360"/>
      </w:pPr>
      <w:rPr>
        <w:rFonts w:ascii="Symbol" w:hAnsi="Symbol" w:hint="default"/>
      </w:rPr>
    </w:lvl>
    <w:lvl w:ilvl="7" w:tplc="4FCCC238">
      <w:start w:val="1"/>
      <w:numFmt w:val="bullet"/>
      <w:lvlText w:val="o"/>
      <w:lvlJc w:val="left"/>
      <w:pPr>
        <w:ind w:left="6120" w:hanging="360"/>
      </w:pPr>
      <w:rPr>
        <w:rFonts w:ascii="Courier New" w:hAnsi="Courier New" w:cs="Courier New" w:hint="default"/>
      </w:rPr>
    </w:lvl>
    <w:lvl w:ilvl="8" w:tplc="695A11D2">
      <w:start w:val="1"/>
      <w:numFmt w:val="bullet"/>
      <w:lvlText w:val=""/>
      <w:lvlJc w:val="left"/>
      <w:pPr>
        <w:ind w:left="6840" w:hanging="360"/>
      </w:pPr>
      <w:rPr>
        <w:rFonts w:ascii="Wingdings" w:hAnsi="Wingdings" w:hint="default"/>
      </w:rPr>
    </w:lvl>
  </w:abstractNum>
  <w:abstractNum w:abstractNumId="10">
    <w:nsid w:val="40B928CE"/>
    <w:multiLevelType w:val="hybridMultilevel"/>
    <w:tmpl w:val="4FA00D20"/>
    <w:lvl w:ilvl="0" w:tplc="DFAEB738">
      <w:start w:val="2"/>
      <w:numFmt w:val="bullet"/>
      <w:lvlText w:val="-"/>
      <w:lvlJc w:val="left"/>
      <w:pPr>
        <w:ind w:left="720" w:hanging="360"/>
      </w:pPr>
      <w:rPr>
        <w:rFonts w:ascii="Times New Roman" w:eastAsia="Times New Roman" w:hAnsi="Times New Roman" w:cs="Times New Roman" w:hint="default"/>
      </w:rPr>
    </w:lvl>
    <w:lvl w:ilvl="1" w:tplc="8884CFDE">
      <w:start w:val="1"/>
      <w:numFmt w:val="bullet"/>
      <w:lvlText w:val="o"/>
      <w:lvlJc w:val="left"/>
      <w:pPr>
        <w:ind w:left="1440" w:hanging="360"/>
      </w:pPr>
      <w:rPr>
        <w:rFonts w:ascii="Courier New" w:hAnsi="Courier New" w:cs="Courier New" w:hint="default"/>
      </w:rPr>
    </w:lvl>
    <w:lvl w:ilvl="2" w:tplc="FE1AD86C">
      <w:start w:val="1"/>
      <w:numFmt w:val="bullet"/>
      <w:lvlText w:val=""/>
      <w:lvlJc w:val="left"/>
      <w:pPr>
        <w:ind w:left="2160" w:hanging="360"/>
      </w:pPr>
      <w:rPr>
        <w:rFonts w:ascii="Wingdings" w:hAnsi="Wingdings" w:hint="default"/>
      </w:rPr>
    </w:lvl>
    <w:lvl w:ilvl="3" w:tplc="697AF714">
      <w:start w:val="1"/>
      <w:numFmt w:val="bullet"/>
      <w:lvlText w:val=""/>
      <w:lvlJc w:val="left"/>
      <w:pPr>
        <w:ind w:left="2880" w:hanging="360"/>
      </w:pPr>
      <w:rPr>
        <w:rFonts w:ascii="Symbol" w:hAnsi="Symbol" w:hint="default"/>
      </w:rPr>
    </w:lvl>
    <w:lvl w:ilvl="4" w:tplc="5630C17E">
      <w:start w:val="1"/>
      <w:numFmt w:val="bullet"/>
      <w:lvlText w:val="o"/>
      <w:lvlJc w:val="left"/>
      <w:pPr>
        <w:ind w:left="3600" w:hanging="360"/>
      </w:pPr>
      <w:rPr>
        <w:rFonts w:ascii="Courier New" w:hAnsi="Courier New" w:cs="Courier New" w:hint="default"/>
      </w:rPr>
    </w:lvl>
    <w:lvl w:ilvl="5" w:tplc="B8401BF8">
      <w:start w:val="1"/>
      <w:numFmt w:val="bullet"/>
      <w:lvlText w:val=""/>
      <w:lvlJc w:val="left"/>
      <w:pPr>
        <w:ind w:left="4320" w:hanging="360"/>
      </w:pPr>
      <w:rPr>
        <w:rFonts w:ascii="Wingdings" w:hAnsi="Wingdings" w:hint="default"/>
      </w:rPr>
    </w:lvl>
    <w:lvl w:ilvl="6" w:tplc="675EF590">
      <w:start w:val="1"/>
      <w:numFmt w:val="bullet"/>
      <w:lvlText w:val=""/>
      <w:lvlJc w:val="left"/>
      <w:pPr>
        <w:ind w:left="5040" w:hanging="360"/>
      </w:pPr>
      <w:rPr>
        <w:rFonts w:ascii="Symbol" w:hAnsi="Symbol" w:hint="default"/>
      </w:rPr>
    </w:lvl>
    <w:lvl w:ilvl="7" w:tplc="25EA07C4">
      <w:start w:val="1"/>
      <w:numFmt w:val="bullet"/>
      <w:lvlText w:val="o"/>
      <w:lvlJc w:val="left"/>
      <w:pPr>
        <w:ind w:left="5760" w:hanging="360"/>
      </w:pPr>
      <w:rPr>
        <w:rFonts w:ascii="Courier New" w:hAnsi="Courier New" w:cs="Courier New" w:hint="default"/>
      </w:rPr>
    </w:lvl>
    <w:lvl w:ilvl="8" w:tplc="47F28FA4">
      <w:start w:val="1"/>
      <w:numFmt w:val="bullet"/>
      <w:lvlText w:val=""/>
      <w:lvlJc w:val="left"/>
      <w:pPr>
        <w:ind w:left="6480" w:hanging="360"/>
      </w:pPr>
      <w:rPr>
        <w:rFonts w:ascii="Wingdings" w:hAnsi="Wingdings" w:hint="default"/>
      </w:rPr>
    </w:lvl>
  </w:abstractNum>
  <w:abstractNum w:abstractNumId="11">
    <w:nsid w:val="4D114C6A"/>
    <w:multiLevelType w:val="hybridMultilevel"/>
    <w:tmpl w:val="9200A17A"/>
    <w:lvl w:ilvl="0" w:tplc="4E989B24">
      <w:start w:val="26"/>
      <w:numFmt w:val="bullet"/>
      <w:lvlText w:val="-"/>
      <w:lvlJc w:val="left"/>
      <w:pPr>
        <w:ind w:left="1080" w:hanging="360"/>
      </w:pPr>
      <w:rPr>
        <w:rFonts w:ascii="Times New Roman" w:eastAsia="Times New Roman" w:hAnsi="Times New Roman" w:cs="Times New Roman" w:hint="default"/>
      </w:rPr>
    </w:lvl>
    <w:lvl w:ilvl="1" w:tplc="1E0CF1BE">
      <w:start w:val="1"/>
      <w:numFmt w:val="bullet"/>
      <w:lvlText w:val="o"/>
      <w:lvlJc w:val="left"/>
      <w:pPr>
        <w:ind w:left="1800" w:hanging="360"/>
      </w:pPr>
      <w:rPr>
        <w:rFonts w:ascii="Courier New" w:hAnsi="Courier New" w:cs="Courier New" w:hint="default"/>
      </w:rPr>
    </w:lvl>
    <w:lvl w:ilvl="2" w:tplc="CD944512">
      <w:start w:val="1"/>
      <w:numFmt w:val="bullet"/>
      <w:lvlText w:val=""/>
      <w:lvlJc w:val="left"/>
      <w:pPr>
        <w:ind w:left="2520" w:hanging="360"/>
      </w:pPr>
      <w:rPr>
        <w:rFonts w:ascii="Wingdings" w:hAnsi="Wingdings" w:hint="default"/>
      </w:rPr>
    </w:lvl>
    <w:lvl w:ilvl="3" w:tplc="380C9E3A">
      <w:start w:val="1"/>
      <w:numFmt w:val="bullet"/>
      <w:lvlText w:val=""/>
      <w:lvlJc w:val="left"/>
      <w:pPr>
        <w:ind w:left="3240" w:hanging="360"/>
      </w:pPr>
      <w:rPr>
        <w:rFonts w:ascii="Symbol" w:hAnsi="Symbol" w:hint="default"/>
      </w:rPr>
    </w:lvl>
    <w:lvl w:ilvl="4" w:tplc="BD620602">
      <w:start w:val="1"/>
      <w:numFmt w:val="bullet"/>
      <w:lvlText w:val="o"/>
      <w:lvlJc w:val="left"/>
      <w:pPr>
        <w:ind w:left="3960" w:hanging="360"/>
      </w:pPr>
      <w:rPr>
        <w:rFonts w:ascii="Courier New" w:hAnsi="Courier New" w:cs="Courier New" w:hint="default"/>
      </w:rPr>
    </w:lvl>
    <w:lvl w:ilvl="5" w:tplc="F0C07898">
      <w:start w:val="1"/>
      <w:numFmt w:val="bullet"/>
      <w:lvlText w:val=""/>
      <w:lvlJc w:val="left"/>
      <w:pPr>
        <w:ind w:left="4680" w:hanging="360"/>
      </w:pPr>
      <w:rPr>
        <w:rFonts w:ascii="Wingdings" w:hAnsi="Wingdings" w:hint="default"/>
      </w:rPr>
    </w:lvl>
    <w:lvl w:ilvl="6" w:tplc="DBBAEB00">
      <w:start w:val="1"/>
      <w:numFmt w:val="bullet"/>
      <w:lvlText w:val=""/>
      <w:lvlJc w:val="left"/>
      <w:pPr>
        <w:ind w:left="5400" w:hanging="360"/>
      </w:pPr>
      <w:rPr>
        <w:rFonts w:ascii="Symbol" w:hAnsi="Symbol" w:hint="default"/>
      </w:rPr>
    </w:lvl>
    <w:lvl w:ilvl="7" w:tplc="23DC3ABA">
      <w:start w:val="1"/>
      <w:numFmt w:val="bullet"/>
      <w:lvlText w:val="o"/>
      <w:lvlJc w:val="left"/>
      <w:pPr>
        <w:ind w:left="6120" w:hanging="360"/>
      </w:pPr>
      <w:rPr>
        <w:rFonts w:ascii="Courier New" w:hAnsi="Courier New" w:cs="Courier New" w:hint="default"/>
      </w:rPr>
    </w:lvl>
    <w:lvl w:ilvl="8" w:tplc="539C071A">
      <w:start w:val="1"/>
      <w:numFmt w:val="bullet"/>
      <w:lvlText w:val=""/>
      <w:lvlJc w:val="left"/>
      <w:pPr>
        <w:ind w:left="6840" w:hanging="360"/>
      </w:pPr>
      <w:rPr>
        <w:rFonts w:ascii="Wingdings" w:hAnsi="Wingdings" w:hint="default"/>
      </w:rPr>
    </w:lvl>
  </w:abstractNum>
  <w:abstractNum w:abstractNumId="12">
    <w:nsid w:val="56BF3288"/>
    <w:multiLevelType w:val="hybridMultilevel"/>
    <w:tmpl w:val="70888596"/>
    <w:lvl w:ilvl="0" w:tplc="508200EA">
      <w:start w:val="1"/>
      <w:numFmt w:val="bullet"/>
      <w:lvlText w:val=""/>
      <w:lvlJc w:val="left"/>
      <w:pPr>
        <w:ind w:left="1080" w:hanging="360"/>
      </w:pPr>
      <w:rPr>
        <w:rFonts w:ascii="Symbol" w:hAnsi="Symbol" w:hint="default"/>
      </w:rPr>
    </w:lvl>
    <w:lvl w:ilvl="1" w:tplc="5C7EBDDC">
      <w:start w:val="1"/>
      <w:numFmt w:val="bullet"/>
      <w:lvlText w:val="o"/>
      <w:lvlJc w:val="left"/>
      <w:pPr>
        <w:ind w:left="1800" w:hanging="360"/>
      </w:pPr>
      <w:rPr>
        <w:rFonts w:ascii="Courier New" w:hAnsi="Courier New" w:cs="Courier New" w:hint="default"/>
      </w:rPr>
    </w:lvl>
    <w:lvl w:ilvl="2" w:tplc="41364560">
      <w:start w:val="1"/>
      <w:numFmt w:val="bullet"/>
      <w:lvlText w:val=""/>
      <w:lvlJc w:val="left"/>
      <w:pPr>
        <w:ind w:left="2520" w:hanging="360"/>
      </w:pPr>
      <w:rPr>
        <w:rFonts w:ascii="Wingdings" w:hAnsi="Wingdings" w:hint="default"/>
      </w:rPr>
    </w:lvl>
    <w:lvl w:ilvl="3" w:tplc="F92EDD04">
      <w:start w:val="1"/>
      <w:numFmt w:val="bullet"/>
      <w:lvlText w:val=""/>
      <w:lvlJc w:val="left"/>
      <w:pPr>
        <w:ind w:left="3240" w:hanging="360"/>
      </w:pPr>
      <w:rPr>
        <w:rFonts w:ascii="Symbol" w:hAnsi="Symbol" w:hint="default"/>
      </w:rPr>
    </w:lvl>
    <w:lvl w:ilvl="4" w:tplc="8A847764">
      <w:start w:val="1"/>
      <w:numFmt w:val="bullet"/>
      <w:lvlText w:val="o"/>
      <w:lvlJc w:val="left"/>
      <w:pPr>
        <w:ind w:left="3960" w:hanging="360"/>
      </w:pPr>
      <w:rPr>
        <w:rFonts w:ascii="Courier New" w:hAnsi="Courier New" w:cs="Courier New" w:hint="default"/>
      </w:rPr>
    </w:lvl>
    <w:lvl w:ilvl="5" w:tplc="BE58B06A">
      <w:start w:val="1"/>
      <w:numFmt w:val="bullet"/>
      <w:lvlText w:val=""/>
      <w:lvlJc w:val="left"/>
      <w:pPr>
        <w:ind w:left="4680" w:hanging="360"/>
      </w:pPr>
      <w:rPr>
        <w:rFonts w:ascii="Wingdings" w:hAnsi="Wingdings" w:hint="default"/>
      </w:rPr>
    </w:lvl>
    <w:lvl w:ilvl="6" w:tplc="80D013AA">
      <w:start w:val="1"/>
      <w:numFmt w:val="bullet"/>
      <w:lvlText w:val=""/>
      <w:lvlJc w:val="left"/>
      <w:pPr>
        <w:ind w:left="5400" w:hanging="360"/>
      </w:pPr>
      <w:rPr>
        <w:rFonts w:ascii="Symbol" w:hAnsi="Symbol" w:hint="default"/>
      </w:rPr>
    </w:lvl>
    <w:lvl w:ilvl="7" w:tplc="CC7C5D04">
      <w:start w:val="1"/>
      <w:numFmt w:val="bullet"/>
      <w:lvlText w:val="o"/>
      <w:lvlJc w:val="left"/>
      <w:pPr>
        <w:ind w:left="6120" w:hanging="360"/>
      </w:pPr>
      <w:rPr>
        <w:rFonts w:ascii="Courier New" w:hAnsi="Courier New" w:cs="Courier New" w:hint="default"/>
      </w:rPr>
    </w:lvl>
    <w:lvl w:ilvl="8" w:tplc="DA1AB10A">
      <w:start w:val="1"/>
      <w:numFmt w:val="bullet"/>
      <w:lvlText w:val=""/>
      <w:lvlJc w:val="left"/>
      <w:pPr>
        <w:ind w:left="6840" w:hanging="360"/>
      </w:pPr>
      <w:rPr>
        <w:rFonts w:ascii="Wingdings" w:hAnsi="Wingdings" w:hint="default"/>
      </w:rPr>
    </w:lvl>
  </w:abstractNum>
  <w:abstractNum w:abstractNumId="13">
    <w:nsid w:val="66DB2E2E"/>
    <w:multiLevelType w:val="hybridMultilevel"/>
    <w:tmpl w:val="C2A4C52A"/>
    <w:lvl w:ilvl="0" w:tplc="5594847C">
      <w:start w:val="6"/>
      <w:numFmt w:val="bullet"/>
      <w:lvlText w:val="-"/>
      <w:lvlJc w:val="left"/>
      <w:pPr>
        <w:ind w:left="1080" w:hanging="360"/>
      </w:pPr>
      <w:rPr>
        <w:rFonts w:ascii="Times New Roman" w:eastAsia="Times New Roman" w:hAnsi="Times New Roman" w:cs="Times New Roman" w:hint="default"/>
      </w:rPr>
    </w:lvl>
    <w:lvl w:ilvl="1" w:tplc="1C961E44">
      <w:start w:val="1"/>
      <w:numFmt w:val="bullet"/>
      <w:lvlText w:val="o"/>
      <w:lvlJc w:val="left"/>
      <w:pPr>
        <w:ind w:left="1800" w:hanging="360"/>
      </w:pPr>
      <w:rPr>
        <w:rFonts w:ascii="Courier New" w:hAnsi="Courier New" w:cs="Courier New" w:hint="default"/>
      </w:rPr>
    </w:lvl>
    <w:lvl w:ilvl="2" w:tplc="71BE0442">
      <w:start w:val="1"/>
      <w:numFmt w:val="bullet"/>
      <w:lvlText w:val=""/>
      <w:lvlJc w:val="left"/>
      <w:pPr>
        <w:ind w:left="2520" w:hanging="360"/>
      </w:pPr>
      <w:rPr>
        <w:rFonts w:ascii="Wingdings" w:hAnsi="Wingdings" w:hint="default"/>
      </w:rPr>
    </w:lvl>
    <w:lvl w:ilvl="3" w:tplc="B33A50EE">
      <w:start w:val="1"/>
      <w:numFmt w:val="bullet"/>
      <w:lvlText w:val=""/>
      <w:lvlJc w:val="left"/>
      <w:pPr>
        <w:ind w:left="3240" w:hanging="360"/>
      </w:pPr>
      <w:rPr>
        <w:rFonts w:ascii="Symbol" w:hAnsi="Symbol" w:hint="default"/>
      </w:rPr>
    </w:lvl>
    <w:lvl w:ilvl="4" w:tplc="3FD8C350">
      <w:start w:val="1"/>
      <w:numFmt w:val="bullet"/>
      <w:lvlText w:val="o"/>
      <w:lvlJc w:val="left"/>
      <w:pPr>
        <w:ind w:left="3960" w:hanging="360"/>
      </w:pPr>
      <w:rPr>
        <w:rFonts w:ascii="Courier New" w:hAnsi="Courier New" w:cs="Courier New" w:hint="default"/>
      </w:rPr>
    </w:lvl>
    <w:lvl w:ilvl="5" w:tplc="8778B140">
      <w:start w:val="1"/>
      <w:numFmt w:val="bullet"/>
      <w:lvlText w:val=""/>
      <w:lvlJc w:val="left"/>
      <w:pPr>
        <w:ind w:left="4680" w:hanging="360"/>
      </w:pPr>
      <w:rPr>
        <w:rFonts w:ascii="Wingdings" w:hAnsi="Wingdings" w:hint="default"/>
      </w:rPr>
    </w:lvl>
    <w:lvl w:ilvl="6" w:tplc="972A9098">
      <w:start w:val="1"/>
      <w:numFmt w:val="bullet"/>
      <w:lvlText w:val=""/>
      <w:lvlJc w:val="left"/>
      <w:pPr>
        <w:ind w:left="5400" w:hanging="360"/>
      </w:pPr>
      <w:rPr>
        <w:rFonts w:ascii="Symbol" w:hAnsi="Symbol" w:hint="default"/>
      </w:rPr>
    </w:lvl>
    <w:lvl w:ilvl="7" w:tplc="C51C78E0">
      <w:start w:val="1"/>
      <w:numFmt w:val="bullet"/>
      <w:lvlText w:val="o"/>
      <w:lvlJc w:val="left"/>
      <w:pPr>
        <w:ind w:left="6120" w:hanging="360"/>
      </w:pPr>
      <w:rPr>
        <w:rFonts w:ascii="Courier New" w:hAnsi="Courier New" w:cs="Courier New" w:hint="default"/>
      </w:rPr>
    </w:lvl>
    <w:lvl w:ilvl="8" w:tplc="CD442992">
      <w:start w:val="1"/>
      <w:numFmt w:val="bullet"/>
      <w:lvlText w:val=""/>
      <w:lvlJc w:val="left"/>
      <w:pPr>
        <w:ind w:left="6840" w:hanging="360"/>
      </w:pPr>
      <w:rPr>
        <w:rFonts w:ascii="Wingdings" w:hAnsi="Wingdings" w:hint="default"/>
      </w:rPr>
    </w:lvl>
  </w:abstractNum>
  <w:abstractNum w:abstractNumId="14">
    <w:nsid w:val="729643E9"/>
    <w:multiLevelType w:val="hybridMultilevel"/>
    <w:tmpl w:val="11CE8EF8"/>
    <w:lvl w:ilvl="0" w:tplc="460EDA24">
      <w:start w:val="1"/>
      <w:numFmt w:val="bullet"/>
      <w:lvlText w:val=""/>
      <w:lvlJc w:val="left"/>
      <w:pPr>
        <w:tabs>
          <w:tab w:val="left" w:pos="1080"/>
        </w:tabs>
        <w:ind w:left="1080" w:hanging="360"/>
      </w:pPr>
      <w:rPr>
        <w:rFonts w:ascii="Symbol" w:hAnsi="Symbol" w:hint="default"/>
      </w:rPr>
    </w:lvl>
    <w:lvl w:ilvl="1" w:tplc="5A2228FC">
      <w:start w:val="1"/>
      <w:numFmt w:val="bullet"/>
      <w:lvlText w:val="o"/>
      <w:lvlJc w:val="left"/>
      <w:pPr>
        <w:tabs>
          <w:tab w:val="left" w:pos="1800"/>
        </w:tabs>
        <w:ind w:left="1800" w:hanging="360"/>
      </w:pPr>
      <w:rPr>
        <w:rFonts w:ascii="Courier New" w:hAnsi="Courier New" w:cs="Courier New" w:hint="default"/>
      </w:rPr>
    </w:lvl>
    <w:lvl w:ilvl="2" w:tplc="D1B83086">
      <w:start w:val="1"/>
      <w:numFmt w:val="bullet"/>
      <w:lvlText w:val=""/>
      <w:lvlJc w:val="left"/>
      <w:pPr>
        <w:tabs>
          <w:tab w:val="left" w:pos="2520"/>
        </w:tabs>
        <w:ind w:left="2520" w:hanging="360"/>
      </w:pPr>
      <w:rPr>
        <w:rFonts w:ascii="Wingdings" w:hAnsi="Wingdings" w:hint="default"/>
      </w:rPr>
    </w:lvl>
    <w:lvl w:ilvl="3" w:tplc="07D4D3D4">
      <w:start w:val="1"/>
      <w:numFmt w:val="bullet"/>
      <w:lvlText w:val=""/>
      <w:lvlJc w:val="left"/>
      <w:pPr>
        <w:tabs>
          <w:tab w:val="left" w:pos="3240"/>
        </w:tabs>
        <w:ind w:left="3240" w:hanging="360"/>
      </w:pPr>
      <w:rPr>
        <w:rFonts w:ascii="Symbol" w:hAnsi="Symbol" w:hint="default"/>
      </w:rPr>
    </w:lvl>
    <w:lvl w:ilvl="4" w:tplc="265C1388">
      <w:start w:val="1"/>
      <w:numFmt w:val="bullet"/>
      <w:lvlText w:val="o"/>
      <w:lvlJc w:val="left"/>
      <w:pPr>
        <w:tabs>
          <w:tab w:val="left" w:pos="3960"/>
        </w:tabs>
        <w:ind w:left="3960" w:hanging="360"/>
      </w:pPr>
      <w:rPr>
        <w:rFonts w:ascii="Courier New" w:hAnsi="Courier New" w:cs="Courier New" w:hint="default"/>
      </w:rPr>
    </w:lvl>
    <w:lvl w:ilvl="5" w:tplc="A41C78C6">
      <w:start w:val="1"/>
      <w:numFmt w:val="bullet"/>
      <w:lvlText w:val=""/>
      <w:lvlJc w:val="left"/>
      <w:pPr>
        <w:tabs>
          <w:tab w:val="left" w:pos="4680"/>
        </w:tabs>
        <w:ind w:left="4680" w:hanging="360"/>
      </w:pPr>
      <w:rPr>
        <w:rFonts w:ascii="Wingdings" w:hAnsi="Wingdings" w:hint="default"/>
      </w:rPr>
    </w:lvl>
    <w:lvl w:ilvl="6" w:tplc="B164D81E">
      <w:start w:val="1"/>
      <w:numFmt w:val="bullet"/>
      <w:lvlText w:val=""/>
      <w:lvlJc w:val="left"/>
      <w:pPr>
        <w:tabs>
          <w:tab w:val="left" w:pos="5400"/>
        </w:tabs>
        <w:ind w:left="5400" w:hanging="360"/>
      </w:pPr>
      <w:rPr>
        <w:rFonts w:ascii="Symbol" w:hAnsi="Symbol" w:hint="default"/>
      </w:rPr>
    </w:lvl>
    <w:lvl w:ilvl="7" w:tplc="809C7560">
      <w:start w:val="1"/>
      <w:numFmt w:val="bullet"/>
      <w:lvlText w:val="o"/>
      <w:lvlJc w:val="left"/>
      <w:pPr>
        <w:tabs>
          <w:tab w:val="left" w:pos="6120"/>
        </w:tabs>
        <w:ind w:left="6120" w:hanging="360"/>
      </w:pPr>
      <w:rPr>
        <w:rFonts w:ascii="Courier New" w:hAnsi="Courier New" w:cs="Courier New" w:hint="default"/>
      </w:rPr>
    </w:lvl>
    <w:lvl w:ilvl="8" w:tplc="40FA45C6">
      <w:start w:val="1"/>
      <w:numFmt w:val="bullet"/>
      <w:lvlText w:val=""/>
      <w:lvlJc w:val="left"/>
      <w:pPr>
        <w:tabs>
          <w:tab w:val="left" w:pos="6840"/>
        </w:tabs>
        <w:ind w:left="6840" w:hanging="360"/>
      </w:pPr>
      <w:rPr>
        <w:rFonts w:ascii="Wingdings" w:hAnsi="Wingdings" w:hint="default"/>
      </w:rPr>
    </w:lvl>
  </w:abstractNum>
  <w:num w:numId="1">
    <w:abstractNumId w:val="10"/>
  </w:num>
  <w:num w:numId="2">
    <w:abstractNumId w:val="12"/>
  </w:num>
  <w:num w:numId="3">
    <w:abstractNumId w:val="9"/>
  </w:num>
  <w:num w:numId="4">
    <w:abstractNumId w:val="5"/>
  </w:num>
  <w:num w:numId="5">
    <w:abstractNumId w:val="13"/>
  </w:num>
  <w:num w:numId="6">
    <w:abstractNumId w:val="3"/>
  </w:num>
  <w:num w:numId="7">
    <w:abstractNumId w:val="4"/>
  </w:num>
  <w:num w:numId="8">
    <w:abstractNumId w:val="14"/>
  </w:num>
  <w:num w:numId="9">
    <w:abstractNumId w:val="11"/>
  </w:num>
  <w:num w:numId="10">
    <w:abstractNumId w:val="6"/>
  </w:num>
  <w:num w:numId="11">
    <w:abstractNumId w:val="2"/>
  </w:num>
  <w:num w:numId="12">
    <w:abstractNumId w:val="8"/>
  </w:num>
  <w:num w:numId="13">
    <w:abstractNumId w:val="0"/>
  </w:num>
  <w:num w:numId="14">
    <w:abstractNumId w:val="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4FF"/>
    <w:rsid w:val="00067761"/>
    <w:rsid w:val="000F538C"/>
    <w:rsid w:val="00110F82"/>
    <w:rsid w:val="0011765B"/>
    <w:rsid w:val="001D69E9"/>
    <w:rsid w:val="001E68E0"/>
    <w:rsid w:val="00203070"/>
    <w:rsid w:val="00246430"/>
    <w:rsid w:val="00261B04"/>
    <w:rsid w:val="00266100"/>
    <w:rsid w:val="00280B64"/>
    <w:rsid w:val="00466BB9"/>
    <w:rsid w:val="004974FF"/>
    <w:rsid w:val="004E0707"/>
    <w:rsid w:val="005C1AB6"/>
    <w:rsid w:val="005C5DB2"/>
    <w:rsid w:val="006145A0"/>
    <w:rsid w:val="00637BB0"/>
    <w:rsid w:val="006D545C"/>
    <w:rsid w:val="008826FE"/>
    <w:rsid w:val="008E6C89"/>
    <w:rsid w:val="00923BC7"/>
    <w:rsid w:val="00975448"/>
    <w:rsid w:val="00B51B10"/>
    <w:rsid w:val="00B85E0B"/>
    <w:rsid w:val="00B900BD"/>
    <w:rsid w:val="00C20EEB"/>
    <w:rsid w:val="00C23B67"/>
    <w:rsid w:val="00C5789F"/>
    <w:rsid w:val="00C62CFA"/>
    <w:rsid w:val="00E3052F"/>
    <w:rsid w:val="00E6528E"/>
    <w:rsid w:val="00EA7E3A"/>
    <w:rsid w:val="00EC45AE"/>
    <w:rsid w:val="00EF4D8A"/>
    <w:rsid w:val="00F45C2C"/>
    <w:rsid w:val="00F774A7"/>
    <w:rsid w:val="00FB1217"/>
    <w:rsid w:val="00FC13E9"/>
    <w:rsid w:val="00FE487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ind w:firstLine="567"/>
      <w:jc w:val="both"/>
    </w:pPr>
    <w:rPr>
      <w:color w:val="0000FF"/>
      <w:sz w:val="24"/>
    </w:rPr>
  </w:style>
  <w:style w:type="paragraph" w:styleId="Heading1">
    <w:name w:val="heading 1"/>
    <w:basedOn w:val="Normal"/>
    <w:next w:val="Normal"/>
    <w:link w:val="Heading1Char"/>
    <w:qFormat/>
    <w:pPr>
      <w:keepNext/>
      <w:spacing w:before="240" w:after="60"/>
      <w:outlineLvl w:val="0"/>
    </w:pPr>
    <w:rPr>
      <w:rFonts w:ascii="Arial" w:hAnsi="Arial" w:cs="Arial"/>
      <w:b/>
      <w:bCs/>
      <w:spacing w:val="24"/>
      <w:sz w:val="32"/>
      <w:szCs w:val="32"/>
    </w:rPr>
  </w:style>
  <w:style w:type="paragraph" w:styleId="Heading2">
    <w:name w:val="heading 2"/>
    <w:basedOn w:val="Normal"/>
    <w:next w:val="Normal"/>
    <w:link w:val="Heading2Char"/>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pPr>
      <w:keepNext/>
      <w:spacing w:before="240" w:after="60"/>
      <w:outlineLvl w:val="2"/>
    </w:pPr>
    <w:rPr>
      <w:rFonts w:ascii="Arial" w:hAnsi="Arial" w:cs="Arial"/>
      <w:b/>
      <w:bCs/>
      <w:spacing w:val="24"/>
      <w:sz w:val="26"/>
      <w:szCs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qFormat/>
    <w:pPr>
      <w:keepNext/>
      <w:spacing w:after="0"/>
      <w:ind w:left="1440" w:firstLine="720"/>
      <w:outlineLvl w:val="4"/>
    </w:pPr>
    <w:rPr>
      <w:b/>
      <w:color w:val="auto"/>
      <w:sz w:val="26"/>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2">
    <w:name w:val="Table Grid Light2"/>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2">
    <w:name w:val="Grid Table 1 Light - Accent 2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2">
    <w:name w:val="Grid Table 1 Light - Accent 32"/>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2">
    <w:name w:val="Grid Table 1 Light - Accent 42"/>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2">
    <w:name w:val="Grid Table 1 Light - Accent 52"/>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2">
    <w:name w:val="Grid Table 1 Light - Accent 62"/>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2">
    <w:name w:val="Grid Table 2 - Accent 12"/>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2">
    <w:name w:val="Grid Table 2 - Accent 2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2">
    <w:name w:val="Grid Table 2 - Accent 32"/>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2">
    <w:name w:val="Grid Table 2 - Accent 42"/>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2">
    <w:name w:val="Grid Table 2 - Accent 52"/>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2">
    <w:name w:val="Grid Table 2 - Accent 62"/>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2">
    <w:name w:val="Grid Table 3 - Accent 12"/>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2">
    <w:name w:val="Grid Table 3 - Accent 2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2">
    <w:name w:val="Grid Table 3 - Accent 32"/>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2">
    <w:name w:val="Grid Table 3 - Accent 42"/>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2">
    <w:name w:val="Grid Table 3 - Accent 52"/>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2">
    <w:name w:val="Grid Table 3 - Accent 62"/>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2">
    <w:name w:val="Grid Table 4 - Accent 12"/>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2">
    <w:name w:val="Grid Table 4 - Accent 2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2">
    <w:name w:val="Grid Table 4 - Accent 32"/>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2">
    <w:name w:val="Grid Table 4 - Accent 42"/>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2">
    <w:name w:val="Grid Table 4 - Accent 52"/>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2">
    <w:name w:val="Grid Table 4 - Accent 62"/>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rFonts w:ascii="Arial" w:hAnsi="Arial"/>
        <w:b/>
        <w:color w:val="FFFFFF"/>
        <w:sz w:val="22"/>
      </w:rPr>
      <w:tblPr/>
      <w:tcPr>
        <w:tcBorders>
          <w:top w:val="single" w:sz="4" w:space="0" w:color="FFFFFF" w:themeColor="light1"/>
        </w:tcBorders>
        <w:shd w:val="clear" w:color="auto" w:fill="4472C4" w:themeFill="accent1"/>
      </w:tcPr>
    </w:tblStylePr>
    <w:tblStylePr w:type="firstCol">
      <w:rPr>
        <w:rFonts w:ascii="Arial" w:hAnsi="Arial"/>
        <w:b/>
        <w:color w:val="FFFFFF"/>
        <w:sz w:val="22"/>
      </w:rPr>
      <w:tblPr/>
      <w:tcPr>
        <w:shd w:val="clear" w:color="auto" w:fill="4472C4" w:themeFill="accent1"/>
      </w:tcPr>
    </w:tblStylePr>
    <w:tblStylePr w:type="lastCol">
      <w:rPr>
        <w:rFonts w:ascii="Arial" w:hAnsi="Arial"/>
        <w:b/>
        <w:color w:val="FFFFFF"/>
        <w:sz w:val="22"/>
      </w:rPr>
      <w:tblPr/>
      <w:tcPr>
        <w:shd w:val="clear" w:color="auto" w:fill="4472C4" w:themeFill="accent1"/>
      </w:tcPr>
    </w:tblStylePr>
    <w:tblStylePr w:type="band1Vert">
      <w:tblPr/>
      <w:tcPr>
        <w:shd w:val="clear" w:color="auto" w:fill="A9BEE4" w:themeFill="accent1" w:themeFillTint="75"/>
      </w:tcPr>
    </w:tblStylePr>
    <w:tblStylePr w:type="band1Horz">
      <w:tblPr/>
      <w:tcPr>
        <w:shd w:val="clear" w:color="auto" w:fill="A9BEE4" w:themeFill="accent1" w:themeFillTint="75"/>
      </w:tcPr>
    </w:tblStylePr>
  </w:style>
  <w:style w:type="table" w:customStyle="1" w:styleId="GridTable5Dark-Accent22">
    <w:name w:val="Grid Table 5 Dark - Accent 2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2">
    <w:name w:val="Grid Table 5 Dark - Accent 3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2">
    <w:name w:val="Grid Table 5 Dark - Accent 5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2">
    <w:name w:val="Grid Table 5 Dark - Accent 6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2">
    <w:name w:val="Grid Table 6 Colorful - Accent 2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2">
    <w:name w:val="Grid Table 6 Colorful - Accent 32"/>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2">
    <w:name w:val="Grid Table 6 Colorful - Accent 42"/>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2">
    <w:name w:val="Grid Table 6 Colorful - Accent 52"/>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2">
    <w:name w:val="Grid Table 6 Colorful - Accent 62"/>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2">
    <w:name w:val="Grid Table 7 Colorful - Accent 2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2">
    <w:name w:val="Grid Table 7 Colorful - Accent 32"/>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2">
    <w:name w:val="Grid Table 7 Colorful - Accent 42"/>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2">
    <w:name w:val="Grid Table 7 Colorful - Accent 52"/>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2">
    <w:name w:val="Grid Table 7 Colorful - Accent 62"/>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2">
    <w:name w:val="List Table 1 Light - Accent 1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2">
    <w:name w:val="List Table 1 Light - Accent 2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2">
    <w:name w:val="List Table 1 Light - Accent 3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2">
    <w:name w:val="List Table 1 Light - Accent 4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2">
    <w:name w:val="List Table 1 Light - Accent 5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2">
    <w:name w:val="List Table 1 Light - Accent 6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2">
    <w:name w:val="List Table 2 - Accent 12"/>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2">
    <w:name w:val="List Table 2 - Accent 2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2">
    <w:name w:val="List Table 2 - Accent 32"/>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2">
    <w:name w:val="List Table 2 - Accent 42"/>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2">
    <w:name w:val="List Table 2 - Accent 52"/>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2">
    <w:name w:val="List Table 2 - Accent 62"/>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2">
    <w:name w:val="List Table 3 - Accent 2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2">
    <w:name w:val="List Table 3 - Accent 32"/>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2">
    <w:name w:val="List Table 3 - Accent 42"/>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2">
    <w:name w:val="List Table 3 - Accent 52"/>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2">
    <w:name w:val="List Table 3 - Accent 62"/>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2">
    <w:name w:val="List Table 4 - Accent 12"/>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2">
    <w:name w:val="List Table 4 - Accent 2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2">
    <w:name w:val="List Table 4 - Accent 32"/>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2">
    <w:name w:val="List Table 4 - Accent 42"/>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2">
    <w:name w:val="List Table 4 - Accent 52"/>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2">
    <w:name w:val="List Table 4 - Accent 62"/>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2">
    <w:name w:val="List Table 5 Dark - Accent 12"/>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2">
    <w:name w:val="List Table 5 Dark - Accent 2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2">
    <w:name w:val="List Table 5 Dark - Accent 32"/>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2">
    <w:name w:val="List Table 5 Dark - Accent 42"/>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2">
    <w:name w:val="List Table 5 Dark - Accent 52"/>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2">
    <w:name w:val="List Table 5 Dark - Accent 62"/>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2">
    <w:name w:val="List Table 6 Colorful - Accent 2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2">
    <w:name w:val="List Table 6 Colorful - Accent 32"/>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2">
    <w:name w:val="List Table 6 Colorful - Accent 42"/>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2">
    <w:name w:val="List Table 6 Colorful - Accent 52"/>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2">
    <w:name w:val="List Table 6 Colorful - Accent 62"/>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2">
    <w:name w:val="List Table 7 Colorful - Accent 2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2">
    <w:name w:val="List Table 7 Colorful - Accent 32"/>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2">
    <w:name w:val="List Table 7 Colorful - Accent 42"/>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2">
    <w:name w:val="List Table 7 Colorful - Accent 52"/>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2">
    <w:name w:val="List Table 7 Colorful - Accent 62"/>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paragraph" w:styleId="TOCHeading">
    <w:name w:val="TOC Heading"/>
    <w:uiPriority w:val="39"/>
    <w:unhideWhenUsed/>
  </w:style>
  <w:style w:type="paragraph" w:styleId="Footer">
    <w:name w:val="footer"/>
    <w:basedOn w:val="Normal"/>
    <w:link w:val="FooterChar"/>
    <w:uiPriority w:val="99"/>
    <w:pPr>
      <w:tabs>
        <w:tab w:val="center" w:pos="4320"/>
        <w:tab w:val="right" w:pos="8640"/>
      </w:tabs>
    </w:p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ind w:firstLine="0"/>
    </w:pPr>
    <w:rPr>
      <w:spacing w:val="24"/>
      <w:szCs w:val="24"/>
    </w:rPr>
  </w:style>
  <w:style w:type="paragraph" w:styleId="Header">
    <w:name w:val="header"/>
    <w:basedOn w:val="Normal"/>
    <w:link w:val="HeaderChar"/>
    <w:uiPriority w:val="99"/>
    <w:pPr>
      <w:tabs>
        <w:tab w:val="center" w:pos="4320"/>
        <w:tab w:val="right" w:pos="8640"/>
      </w:tabs>
    </w:pPr>
  </w:style>
  <w:style w:type="paragraph" w:customStyle="1" w:styleId="Giua">
    <w:name w:val="Giua"/>
    <w:basedOn w:val="Normal"/>
    <w:link w:val="GiuaChar"/>
    <w:pPr>
      <w:spacing w:after="0"/>
      <w:ind w:firstLine="0"/>
    </w:pPr>
    <w:rPr>
      <w:b/>
      <w:color w:val="auto"/>
      <w:spacing w:val="24"/>
      <w:sz w:val="28"/>
      <w:szCs w:val="28"/>
    </w:rPr>
  </w:style>
  <w:style w:type="character" w:customStyle="1" w:styleId="GiuaChar">
    <w:name w:val="Giua Char"/>
    <w:link w:val="Giua"/>
    <w:rPr>
      <w:b/>
      <w:spacing w:val="24"/>
      <w:sz w:val="28"/>
      <w:szCs w:val="28"/>
    </w:rPr>
  </w:style>
  <w:style w:type="paragraph" w:customStyle="1" w:styleId="giua0">
    <w:name w:val="giua"/>
    <w:basedOn w:val="Normal"/>
    <w:pPr>
      <w:spacing w:before="240"/>
      <w:ind w:firstLine="0"/>
      <w:jc w:val="center"/>
    </w:pPr>
    <w:rPr>
      <w:spacing w:val="24"/>
      <w:sz w:val="20"/>
    </w:rPr>
  </w:style>
  <w:style w:type="paragraph" w:customStyle="1" w:styleId="Center">
    <w:name w:val="Center"/>
    <w:basedOn w:val="Normal"/>
    <w:pPr>
      <w:ind w:firstLine="0"/>
      <w:jc w:val="center"/>
    </w:pPr>
    <w:rPr>
      <w:b/>
      <w:caps/>
      <w:spacing w:val="24"/>
      <w:sz w:val="32"/>
      <w:szCs w:val="32"/>
    </w:rPr>
  </w:style>
  <w:style w:type="paragraph" w:customStyle="1" w:styleId="Tenvb">
    <w:name w:val="Tenvb"/>
    <w:basedOn w:val="Normal"/>
    <w:pPr>
      <w:spacing w:before="120"/>
      <w:ind w:firstLine="0"/>
      <w:jc w:val="center"/>
    </w:pPr>
    <w:rPr>
      <w:b/>
      <w:spacing w:val="24"/>
      <w:sz w:val="20"/>
    </w:rPr>
  </w:style>
  <w:style w:type="paragraph" w:customStyle="1" w:styleId="dieu">
    <w:name w:val="dieu"/>
    <w:basedOn w:val="Giua"/>
    <w:link w:val="dieuChar"/>
    <w:pPr>
      <w:ind w:firstLine="720"/>
      <w:jc w:val="left"/>
    </w:pPr>
    <w:rPr>
      <w:sz w:val="26"/>
      <w:szCs w:val="26"/>
    </w:rPr>
  </w:style>
  <w:style w:type="character" w:customStyle="1" w:styleId="dieuChar">
    <w:name w:val="dieu Char"/>
    <w:link w:val="dieu"/>
    <w:rPr>
      <w:b/>
      <w:spacing w:val="24"/>
      <w:sz w:val="26"/>
      <w:szCs w:val="26"/>
    </w:rPr>
  </w:style>
  <w:style w:type="paragraph" w:customStyle="1" w:styleId="Loai">
    <w:name w:val="Loai"/>
    <w:basedOn w:val="Giua"/>
    <w:pPr>
      <w:spacing w:before="240"/>
    </w:pPr>
    <w:rPr>
      <w:sz w:val="32"/>
      <w:szCs w:val="32"/>
    </w:rPr>
  </w:style>
  <w:style w:type="paragraph" w:customStyle="1" w:styleId="AAABODY">
    <w:name w:val="AAA_BODY"/>
    <w:basedOn w:val="Normal"/>
    <w:link w:val="AAABODYChar"/>
    <w:pPr>
      <w:spacing w:before="80" w:after="80" w:line="269" w:lineRule="auto"/>
    </w:pPr>
    <w:rPr>
      <w:rFonts w:ascii=".VnTime" w:hAnsi=".VnTime"/>
      <w:color w:val="000000"/>
      <w:sz w:val="28"/>
      <w:szCs w:val="28"/>
      <w:lang w:val="fr-FR"/>
    </w:rPr>
  </w:style>
  <w:style w:type="character" w:customStyle="1" w:styleId="AAABODYChar">
    <w:name w:val="AAA_BODY Char"/>
    <w:link w:val="AAABODY"/>
    <w:rPr>
      <w:rFonts w:ascii=".VnTime" w:hAnsi=".VnTime"/>
      <w:color w:val="000000"/>
      <w:sz w:val="28"/>
      <w:szCs w:val="28"/>
      <w:lang w:val="fr-FR" w:eastAsia="en-US" w:bidi="ar-SA"/>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link w:val="DocumentMap"/>
    <w:rPr>
      <w:rFonts w:ascii="Tahoma" w:hAnsi="Tahoma" w:cs="Tahoma"/>
      <w:color w:val="0000FF"/>
      <w:sz w:val="16"/>
      <w:szCs w:val="16"/>
    </w:rPr>
  </w:style>
  <w:style w:type="character" w:customStyle="1" w:styleId="normal-h">
    <w:name w:val="normal-h"/>
    <w:uiPriority w:val="99"/>
    <w:rPr>
      <w:rFonts w:cs="Times New Roman"/>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erChar">
    <w:name w:val="Header Char"/>
    <w:link w:val="Header"/>
    <w:uiPriority w:val="99"/>
    <w:rPr>
      <w:color w:val="0000FF"/>
      <w:sz w:val="24"/>
    </w:rPr>
  </w:style>
  <w:style w:type="paragraph" w:styleId="FootnoteText">
    <w:name w:val="footnote text"/>
    <w:basedOn w:val="Normal"/>
    <w:link w:val="FootnoteTextChar"/>
    <w:rPr>
      <w:sz w:val="20"/>
    </w:rPr>
  </w:style>
  <w:style w:type="character" w:customStyle="1" w:styleId="FootnoteTextChar">
    <w:name w:val="Footnote Text Char"/>
    <w:link w:val="FootnoteText"/>
    <w:rPr>
      <w:color w:val="0000FF"/>
    </w:rPr>
  </w:style>
  <w:style w:type="character" w:styleId="FootnoteReference">
    <w:name w:val="footnote reference"/>
    <w:rPr>
      <w:vertAlign w:val="superscript"/>
    </w:rPr>
  </w:style>
  <w:style w:type="character" w:styleId="Hyperlink">
    <w:name w:val="Hyperlink"/>
    <w:uiPriority w:val="99"/>
    <w:rPr>
      <w:color w:val="0000FF"/>
      <w:u w:val="single"/>
    </w:rPr>
  </w:style>
  <w:style w:type="paragraph" w:styleId="NormalWeb">
    <w:name w:val="Normal (Web)"/>
    <w:basedOn w:val="Normal"/>
    <w:uiPriority w:val="99"/>
    <w:unhideWhenUsed/>
    <w:pPr>
      <w:spacing w:before="100" w:beforeAutospacing="1" w:after="100" w:afterAutospacing="1"/>
      <w:ind w:firstLine="0"/>
      <w:jc w:val="left"/>
    </w:pPr>
    <w:rPr>
      <w:color w:val="auto"/>
      <w:szCs w:val="24"/>
    </w:rPr>
  </w:style>
  <w:style w:type="paragraph" w:styleId="ListParagraph">
    <w:name w:val="List Paragraph"/>
    <w:basedOn w:val="Normal"/>
    <w:qFormat/>
    <w:pPr>
      <w:spacing w:after="200" w:line="276" w:lineRule="auto"/>
      <w:ind w:left="720" w:firstLine="0"/>
      <w:contextualSpacing/>
      <w:jc w:val="left"/>
    </w:pPr>
    <w:rPr>
      <w:rFonts w:ascii="Calibri" w:eastAsia="Calibri" w:hAnsi="Calibri"/>
      <w:color w:val="auto"/>
      <w:sz w:val="22"/>
    </w:rPr>
  </w:style>
  <w:style w:type="paragraph" w:customStyle="1" w:styleId="StGen0">
    <w:name w:val="StGen0"/>
    <w:basedOn w:val="Normal"/>
    <w:pPr>
      <w:spacing w:after="160" w:line="240" w:lineRule="exact"/>
      <w:ind w:firstLine="0"/>
      <w:jc w:val="left"/>
    </w:pPr>
    <w:rPr>
      <w:rFonts w:ascii="Verdana" w:hAnsi="Verdana" w:cs="Verdana"/>
      <w:color w:val="auto"/>
      <w:sz w:val="20"/>
    </w:rPr>
  </w:style>
  <w:style w:type="paragraph" w:styleId="BodyTextIndent">
    <w:name w:val="Body Text Indent"/>
    <w:basedOn w:val="Normal"/>
    <w:pPr>
      <w:spacing w:after="0"/>
      <w:ind w:firstLine="720"/>
    </w:pPr>
    <w:rPr>
      <w:rFonts w:ascii=".VnTime" w:hAnsi=".VnTime" w:cs="Arial"/>
      <w:bCs/>
      <w:color w:val="auto"/>
      <w:sz w:val="28"/>
      <w:szCs w:val="28"/>
    </w:rPr>
  </w:style>
  <w:style w:type="paragraph" w:customStyle="1" w:styleId="abc">
    <w:name w:val="abc"/>
    <w:basedOn w:val="Normal"/>
    <w:pPr>
      <w:widowControl w:val="0"/>
      <w:spacing w:after="0"/>
      <w:ind w:firstLine="0"/>
      <w:jc w:val="left"/>
    </w:pPr>
    <w:rPr>
      <w:rFonts w:ascii=".VnTime" w:hAnsi=".VnTime"/>
      <w:color w:val="auto"/>
      <w:sz w:val="28"/>
    </w:rPr>
  </w:style>
  <w:style w:type="paragraph" w:customStyle="1" w:styleId="1">
    <w:name w:val="1"/>
    <w:basedOn w:val="DocumentMap"/>
    <w:pPr>
      <w:widowControl w:val="0"/>
      <w:shd w:val="clear" w:color="auto" w:fill="000080"/>
      <w:spacing w:after="0"/>
      <w:ind w:firstLine="0"/>
    </w:pPr>
    <w:rPr>
      <w:rFonts w:eastAsia="SimSun" w:cs="Times New Roman"/>
      <w:color w:val="auto"/>
      <w:sz w:val="24"/>
      <w:szCs w:val="24"/>
      <w:lang w:eastAsia="zh-CN"/>
    </w:rPr>
  </w:style>
  <w:style w:type="character" w:styleId="PageNumber">
    <w:name w:val="page number"/>
    <w:basedOn w:val="DefaultParagraphFont"/>
  </w:style>
  <w:style w:type="paragraph" w:customStyle="1" w:styleId="CharCharChar1Char">
    <w:name w:val="Char Char Char1 Char"/>
    <w:next w:val="Normal"/>
    <w:semiHidden/>
    <w:pPr>
      <w:spacing w:after="160" w:line="240" w:lineRule="exact"/>
      <w:jc w:val="both"/>
    </w:pPr>
    <w:rPr>
      <w:rFonts w:ascii="VNI-Times" w:hAnsi="VNI-Times" w:cs="VNI-Times"/>
      <w:sz w:val="28"/>
      <w:szCs w:val="28"/>
    </w:rPr>
  </w:style>
  <w:style w:type="paragraph" w:customStyle="1" w:styleId="CharCharCharChar">
    <w:name w:val="Char Char Char Char"/>
    <w:next w:val="Normal"/>
    <w:semiHidden/>
    <w:pPr>
      <w:spacing w:after="160" w:line="240" w:lineRule="exact"/>
      <w:jc w:val="both"/>
    </w:pPr>
    <w:rPr>
      <w:sz w:val="28"/>
    </w:rPr>
  </w:style>
  <w:style w:type="paragraph" w:styleId="BalloonText">
    <w:name w:val="Balloon Text"/>
    <w:basedOn w:val="Normal"/>
    <w:semiHidden/>
    <w:rPr>
      <w:rFonts w:ascii="Tahoma" w:hAnsi="Tahoma" w:cs="Tahoma"/>
      <w:sz w:val="16"/>
      <w:szCs w:val="16"/>
    </w:rPr>
  </w:style>
  <w:style w:type="character" w:customStyle="1" w:styleId="FooterChar">
    <w:name w:val="Footer Char"/>
    <w:link w:val="Footer"/>
    <w:uiPriority w:val="99"/>
    <w:rPr>
      <w:color w:val="0000FF"/>
      <w:sz w:val="24"/>
    </w:rPr>
  </w:style>
  <w:style w:type="character" w:customStyle="1" w:styleId="Heading5Char">
    <w:name w:val="Heading 5 Char"/>
    <w:link w:val="Heading5"/>
    <w:uiPriority w:val="9"/>
    <w:rPr>
      <w:b/>
      <w:sz w:val="26"/>
      <w:szCs w:val="24"/>
    </w:rPr>
  </w:style>
  <w:style w:type="paragraph" w:styleId="BodyText">
    <w:name w:val="Body Text"/>
    <w:basedOn w:val="Normal"/>
    <w:link w:val="BodyTextChar"/>
  </w:style>
  <w:style w:type="character" w:customStyle="1" w:styleId="BodyTextChar">
    <w:name w:val="Body Text Char"/>
    <w:link w:val="BodyText"/>
    <w:rPr>
      <w:color w:val="0000FF"/>
      <w:sz w:val="24"/>
    </w:rPr>
  </w:style>
  <w:style w:type="character" w:customStyle="1" w:styleId="BodyTextChar1">
    <w:name w:val="Body Text Char1"/>
    <w:uiPriority w:val="99"/>
    <w:rPr>
      <w:rFonts w:ascii="Times New Roman" w:hAnsi="Times New Roman" w:cs="Times New Roman"/>
      <w:sz w:val="26"/>
      <w:szCs w:val="26"/>
      <w:u w:val="none"/>
    </w:rPr>
  </w:style>
  <w:style w:type="paragraph" w:customStyle="1" w:styleId="Char">
    <w:name w:val="Char"/>
    <w:basedOn w:val="Normal"/>
    <w:pPr>
      <w:spacing w:after="160" w:line="240" w:lineRule="exact"/>
      <w:ind w:firstLine="0"/>
      <w:jc w:val="left"/>
    </w:pPr>
    <w:rPr>
      <w:rFonts w:ascii="Verdana" w:hAnsi="Verdana" w:cs="Verdana"/>
      <w:color w:val="auto"/>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ind w:firstLine="567"/>
      <w:jc w:val="both"/>
    </w:pPr>
    <w:rPr>
      <w:color w:val="0000FF"/>
      <w:sz w:val="24"/>
    </w:rPr>
  </w:style>
  <w:style w:type="paragraph" w:styleId="Heading1">
    <w:name w:val="heading 1"/>
    <w:basedOn w:val="Normal"/>
    <w:next w:val="Normal"/>
    <w:link w:val="Heading1Char"/>
    <w:qFormat/>
    <w:pPr>
      <w:keepNext/>
      <w:spacing w:before="240" w:after="60"/>
      <w:outlineLvl w:val="0"/>
    </w:pPr>
    <w:rPr>
      <w:rFonts w:ascii="Arial" w:hAnsi="Arial" w:cs="Arial"/>
      <w:b/>
      <w:bCs/>
      <w:spacing w:val="24"/>
      <w:sz w:val="32"/>
      <w:szCs w:val="32"/>
    </w:rPr>
  </w:style>
  <w:style w:type="paragraph" w:styleId="Heading2">
    <w:name w:val="heading 2"/>
    <w:basedOn w:val="Normal"/>
    <w:next w:val="Normal"/>
    <w:link w:val="Heading2Char"/>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pPr>
      <w:keepNext/>
      <w:spacing w:before="240" w:after="60"/>
      <w:outlineLvl w:val="2"/>
    </w:pPr>
    <w:rPr>
      <w:rFonts w:ascii="Arial" w:hAnsi="Arial" w:cs="Arial"/>
      <w:b/>
      <w:bCs/>
      <w:spacing w:val="24"/>
      <w:sz w:val="26"/>
      <w:szCs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qFormat/>
    <w:pPr>
      <w:keepNext/>
      <w:spacing w:after="0"/>
      <w:ind w:left="1440" w:firstLine="720"/>
      <w:outlineLvl w:val="4"/>
    </w:pPr>
    <w:rPr>
      <w:b/>
      <w:color w:val="auto"/>
      <w:sz w:val="26"/>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2">
    <w:name w:val="Table Grid Light2"/>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2">
    <w:name w:val="Grid Table 1 Light - Accent 2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2">
    <w:name w:val="Grid Table 1 Light - Accent 32"/>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2">
    <w:name w:val="Grid Table 1 Light - Accent 42"/>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2">
    <w:name w:val="Grid Table 1 Light - Accent 52"/>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2">
    <w:name w:val="Grid Table 1 Light - Accent 62"/>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2">
    <w:name w:val="Grid Table 2 - Accent 12"/>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2">
    <w:name w:val="Grid Table 2 - Accent 2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2">
    <w:name w:val="Grid Table 2 - Accent 32"/>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2">
    <w:name w:val="Grid Table 2 - Accent 42"/>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2">
    <w:name w:val="Grid Table 2 - Accent 52"/>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2">
    <w:name w:val="Grid Table 2 - Accent 62"/>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2">
    <w:name w:val="Grid Table 3 - Accent 12"/>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2">
    <w:name w:val="Grid Table 3 - Accent 2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2">
    <w:name w:val="Grid Table 3 - Accent 32"/>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2">
    <w:name w:val="Grid Table 3 - Accent 42"/>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2">
    <w:name w:val="Grid Table 3 - Accent 52"/>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2">
    <w:name w:val="Grid Table 3 - Accent 62"/>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2">
    <w:name w:val="Grid Table 4 - Accent 12"/>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2">
    <w:name w:val="Grid Table 4 - Accent 2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2">
    <w:name w:val="Grid Table 4 - Accent 32"/>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2">
    <w:name w:val="Grid Table 4 - Accent 42"/>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2">
    <w:name w:val="Grid Table 4 - Accent 52"/>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2">
    <w:name w:val="Grid Table 4 - Accent 62"/>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rFonts w:ascii="Arial" w:hAnsi="Arial"/>
        <w:b/>
        <w:color w:val="FFFFFF"/>
        <w:sz w:val="22"/>
      </w:rPr>
      <w:tblPr/>
      <w:tcPr>
        <w:tcBorders>
          <w:top w:val="single" w:sz="4" w:space="0" w:color="FFFFFF" w:themeColor="light1"/>
        </w:tcBorders>
        <w:shd w:val="clear" w:color="auto" w:fill="4472C4" w:themeFill="accent1"/>
      </w:tcPr>
    </w:tblStylePr>
    <w:tblStylePr w:type="firstCol">
      <w:rPr>
        <w:rFonts w:ascii="Arial" w:hAnsi="Arial"/>
        <w:b/>
        <w:color w:val="FFFFFF"/>
        <w:sz w:val="22"/>
      </w:rPr>
      <w:tblPr/>
      <w:tcPr>
        <w:shd w:val="clear" w:color="auto" w:fill="4472C4" w:themeFill="accent1"/>
      </w:tcPr>
    </w:tblStylePr>
    <w:tblStylePr w:type="lastCol">
      <w:rPr>
        <w:rFonts w:ascii="Arial" w:hAnsi="Arial"/>
        <w:b/>
        <w:color w:val="FFFFFF"/>
        <w:sz w:val="22"/>
      </w:rPr>
      <w:tblPr/>
      <w:tcPr>
        <w:shd w:val="clear" w:color="auto" w:fill="4472C4" w:themeFill="accent1"/>
      </w:tcPr>
    </w:tblStylePr>
    <w:tblStylePr w:type="band1Vert">
      <w:tblPr/>
      <w:tcPr>
        <w:shd w:val="clear" w:color="auto" w:fill="A9BEE4" w:themeFill="accent1" w:themeFillTint="75"/>
      </w:tcPr>
    </w:tblStylePr>
    <w:tblStylePr w:type="band1Horz">
      <w:tblPr/>
      <w:tcPr>
        <w:shd w:val="clear" w:color="auto" w:fill="A9BEE4" w:themeFill="accent1" w:themeFillTint="75"/>
      </w:tcPr>
    </w:tblStylePr>
  </w:style>
  <w:style w:type="table" w:customStyle="1" w:styleId="GridTable5Dark-Accent22">
    <w:name w:val="Grid Table 5 Dark - Accent 2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2">
    <w:name w:val="Grid Table 5 Dark - Accent 3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2">
    <w:name w:val="Grid Table 5 Dark - Accent 5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2">
    <w:name w:val="Grid Table 5 Dark - Accent 6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2">
    <w:name w:val="Grid Table 6 Colorful - Accent 2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2">
    <w:name w:val="Grid Table 6 Colorful - Accent 32"/>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2">
    <w:name w:val="Grid Table 6 Colorful - Accent 42"/>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2">
    <w:name w:val="Grid Table 6 Colorful - Accent 52"/>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2">
    <w:name w:val="Grid Table 6 Colorful - Accent 62"/>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2">
    <w:name w:val="Grid Table 7 Colorful - Accent 2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2">
    <w:name w:val="Grid Table 7 Colorful - Accent 32"/>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2">
    <w:name w:val="Grid Table 7 Colorful - Accent 42"/>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2">
    <w:name w:val="Grid Table 7 Colorful - Accent 52"/>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2">
    <w:name w:val="Grid Table 7 Colorful - Accent 62"/>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2">
    <w:name w:val="List Table 1 Light - Accent 1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2">
    <w:name w:val="List Table 1 Light - Accent 2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2">
    <w:name w:val="List Table 1 Light - Accent 3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2">
    <w:name w:val="List Table 1 Light - Accent 4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2">
    <w:name w:val="List Table 1 Light - Accent 5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2">
    <w:name w:val="List Table 1 Light - Accent 6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2">
    <w:name w:val="List Table 2 - Accent 12"/>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2">
    <w:name w:val="List Table 2 - Accent 2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2">
    <w:name w:val="List Table 2 - Accent 32"/>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2">
    <w:name w:val="List Table 2 - Accent 42"/>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2">
    <w:name w:val="List Table 2 - Accent 52"/>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2">
    <w:name w:val="List Table 2 - Accent 62"/>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2">
    <w:name w:val="List Table 3 - Accent 2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2">
    <w:name w:val="List Table 3 - Accent 32"/>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2">
    <w:name w:val="List Table 3 - Accent 42"/>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2">
    <w:name w:val="List Table 3 - Accent 52"/>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2">
    <w:name w:val="List Table 3 - Accent 62"/>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2">
    <w:name w:val="List Table 4 - Accent 12"/>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2">
    <w:name w:val="List Table 4 - Accent 2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2">
    <w:name w:val="List Table 4 - Accent 32"/>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2">
    <w:name w:val="List Table 4 - Accent 42"/>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2">
    <w:name w:val="List Table 4 - Accent 52"/>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2">
    <w:name w:val="List Table 4 - Accent 62"/>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2">
    <w:name w:val="List Table 5 Dark - Accent 12"/>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2">
    <w:name w:val="List Table 5 Dark - Accent 2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2">
    <w:name w:val="List Table 5 Dark - Accent 32"/>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2">
    <w:name w:val="List Table 5 Dark - Accent 42"/>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2">
    <w:name w:val="List Table 5 Dark - Accent 52"/>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2">
    <w:name w:val="List Table 5 Dark - Accent 62"/>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2">
    <w:name w:val="List Table 6 Colorful - Accent 2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2">
    <w:name w:val="List Table 6 Colorful - Accent 32"/>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2">
    <w:name w:val="List Table 6 Colorful - Accent 42"/>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2">
    <w:name w:val="List Table 6 Colorful - Accent 52"/>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2">
    <w:name w:val="List Table 6 Colorful - Accent 62"/>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2">
    <w:name w:val="List Table 7 Colorful - Accent 2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2">
    <w:name w:val="List Table 7 Colorful - Accent 32"/>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2">
    <w:name w:val="List Table 7 Colorful - Accent 42"/>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2">
    <w:name w:val="List Table 7 Colorful - Accent 52"/>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2">
    <w:name w:val="List Table 7 Colorful - Accent 62"/>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paragraph" w:styleId="TOCHeading">
    <w:name w:val="TOC Heading"/>
    <w:uiPriority w:val="39"/>
    <w:unhideWhenUsed/>
  </w:style>
  <w:style w:type="paragraph" w:styleId="Footer">
    <w:name w:val="footer"/>
    <w:basedOn w:val="Normal"/>
    <w:link w:val="FooterChar"/>
    <w:uiPriority w:val="99"/>
    <w:pPr>
      <w:tabs>
        <w:tab w:val="center" w:pos="4320"/>
        <w:tab w:val="right" w:pos="8640"/>
      </w:tabs>
    </w:p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ind w:firstLine="0"/>
    </w:pPr>
    <w:rPr>
      <w:spacing w:val="24"/>
      <w:szCs w:val="24"/>
    </w:rPr>
  </w:style>
  <w:style w:type="paragraph" w:styleId="Header">
    <w:name w:val="header"/>
    <w:basedOn w:val="Normal"/>
    <w:link w:val="HeaderChar"/>
    <w:uiPriority w:val="99"/>
    <w:pPr>
      <w:tabs>
        <w:tab w:val="center" w:pos="4320"/>
        <w:tab w:val="right" w:pos="8640"/>
      </w:tabs>
    </w:pPr>
  </w:style>
  <w:style w:type="paragraph" w:customStyle="1" w:styleId="Giua">
    <w:name w:val="Giua"/>
    <w:basedOn w:val="Normal"/>
    <w:link w:val="GiuaChar"/>
    <w:pPr>
      <w:spacing w:after="0"/>
      <w:ind w:firstLine="0"/>
    </w:pPr>
    <w:rPr>
      <w:b/>
      <w:color w:val="auto"/>
      <w:spacing w:val="24"/>
      <w:sz w:val="28"/>
      <w:szCs w:val="28"/>
    </w:rPr>
  </w:style>
  <w:style w:type="character" w:customStyle="1" w:styleId="GiuaChar">
    <w:name w:val="Giua Char"/>
    <w:link w:val="Giua"/>
    <w:rPr>
      <w:b/>
      <w:spacing w:val="24"/>
      <w:sz w:val="28"/>
      <w:szCs w:val="28"/>
    </w:rPr>
  </w:style>
  <w:style w:type="paragraph" w:customStyle="1" w:styleId="giua0">
    <w:name w:val="giua"/>
    <w:basedOn w:val="Normal"/>
    <w:pPr>
      <w:spacing w:before="240"/>
      <w:ind w:firstLine="0"/>
      <w:jc w:val="center"/>
    </w:pPr>
    <w:rPr>
      <w:spacing w:val="24"/>
      <w:sz w:val="20"/>
    </w:rPr>
  </w:style>
  <w:style w:type="paragraph" w:customStyle="1" w:styleId="Center">
    <w:name w:val="Center"/>
    <w:basedOn w:val="Normal"/>
    <w:pPr>
      <w:ind w:firstLine="0"/>
      <w:jc w:val="center"/>
    </w:pPr>
    <w:rPr>
      <w:b/>
      <w:caps/>
      <w:spacing w:val="24"/>
      <w:sz w:val="32"/>
      <w:szCs w:val="32"/>
    </w:rPr>
  </w:style>
  <w:style w:type="paragraph" w:customStyle="1" w:styleId="Tenvb">
    <w:name w:val="Tenvb"/>
    <w:basedOn w:val="Normal"/>
    <w:pPr>
      <w:spacing w:before="120"/>
      <w:ind w:firstLine="0"/>
      <w:jc w:val="center"/>
    </w:pPr>
    <w:rPr>
      <w:b/>
      <w:spacing w:val="24"/>
      <w:sz w:val="20"/>
    </w:rPr>
  </w:style>
  <w:style w:type="paragraph" w:customStyle="1" w:styleId="dieu">
    <w:name w:val="dieu"/>
    <w:basedOn w:val="Giua"/>
    <w:link w:val="dieuChar"/>
    <w:pPr>
      <w:ind w:firstLine="720"/>
      <w:jc w:val="left"/>
    </w:pPr>
    <w:rPr>
      <w:sz w:val="26"/>
      <w:szCs w:val="26"/>
    </w:rPr>
  </w:style>
  <w:style w:type="character" w:customStyle="1" w:styleId="dieuChar">
    <w:name w:val="dieu Char"/>
    <w:link w:val="dieu"/>
    <w:rPr>
      <w:b/>
      <w:spacing w:val="24"/>
      <w:sz w:val="26"/>
      <w:szCs w:val="26"/>
    </w:rPr>
  </w:style>
  <w:style w:type="paragraph" w:customStyle="1" w:styleId="Loai">
    <w:name w:val="Loai"/>
    <w:basedOn w:val="Giua"/>
    <w:pPr>
      <w:spacing w:before="240"/>
    </w:pPr>
    <w:rPr>
      <w:sz w:val="32"/>
      <w:szCs w:val="32"/>
    </w:rPr>
  </w:style>
  <w:style w:type="paragraph" w:customStyle="1" w:styleId="AAABODY">
    <w:name w:val="AAA_BODY"/>
    <w:basedOn w:val="Normal"/>
    <w:link w:val="AAABODYChar"/>
    <w:pPr>
      <w:spacing w:before="80" w:after="80" w:line="269" w:lineRule="auto"/>
    </w:pPr>
    <w:rPr>
      <w:rFonts w:ascii=".VnTime" w:hAnsi=".VnTime"/>
      <w:color w:val="000000"/>
      <w:sz w:val="28"/>
      <w:szCs w:val="28"/>
      <w:lang w:val="fr-FR"/>
    </w:rPr>
  </w:style>
  <w:style w:type="character" w:customStyle="1" w:styleId="AAABODYChar">
    <w:name w:val="AAA_BODY Char"/>
    <w:link w:val="AAABODY"/>
    <w:rPr>
      <w:rFonts w:ascii=".VnTime" w:hAnsi=".VnTime"/>
      <w:color w:val="000000"/>
      <w:sz w:val="28"/>
      <w:szCs w:val="28"/>
      <w:lang w:val="fr-FR" w:eastAsia="en-US" w:bidi="ar-SA"/>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link w:val="DocumentMap"/>
    <w:rPr>
      <w:rFonts w:ascii="Tahoma" w:hAnsi="Tahoma" w:cs="Tahoma"/>
      <w:color w:val="0000FF"/>
      <w:sz w:val="16"/>
      <w:szCs w:val="16"/>
    </w:rPr>
  </w:style>
  <w:style w:type="character" w:customStyle="1" w:styleId="normal-h">
    <w:name w:val="normal-h"/>
    <w:uiPriority w:val="99"/>
    <w:rPr>
      <w:rFonts w:cs="Times New Roman"/>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erChar">
    <w:name w:val="Header Char"/>
    <w:link w:val="Header"/>
    <w:uiPriority w:val="99"/>
    <w:rPr>
      <w:color w:val="0000FF"/>
      <w:sz w:val="24"/>
    </w:rPr>
  </w:style>
  <w:style w:type="paragraph" w:styleId="FootnoteText">
    <w:name w:val="footnote text"/>
    <w:basedOn w:val="Normal"/>
    <w:link w:val="FootnoteTextChar"/>
    <w:rPr>
      <w:sz w:val="20"/>
    </w:rPr>
  </w:style>
  <w:style w:type="character" w:customStyle="1" w:styleId="FootnoteTextChar">
    <w:name w:val="Footnote Text Char"/>
    <w:link w:val="FootnoteText"/>
    <w:rPr>
      <w:color w:val="0000FF"/>
    </w:rPr>
  </w:style>
  <w:style w:type="character" w:styleId="FootnoteReference">
    <w:name w:val="footnote reference"/>
    <w:rPr>
      <w:vertAlign w:val="superscript"/>
    </w:rPr>
  </w:style>
  <w:style w:type="character" w:styleId="Hyperlink">
    <w:name w:val="Hyperlink"/>
    <w:uiPriority w:val="99"/>
    <w:rPr>
      <w:color w:val="0000FF"/>
      <w:u w:val="single"/>
    </w:rPr>
  </w:style>
  <w:style w:type="paragraph" w:styleId="NormalWeb">
    <w:name w:val="Normal (Web)"/>
    <w:basedOn w:val="Normal"/>
    <w:uiPriority w:val="99"/>
    <w:unhideWhenUsed/>
    <w:pPr>
      <w:spacing w:before="100" w:beforeAutospacing="1" w:after="100" w:afterAutospacing="1"/>
      <w:ind w:firstLine="0"/>
      <w:jc w:val="left"/>
    </w:pPr>
    <w:rPr>
      <w:color w:val="auto"/>
      <w:szCs w:val="24"/>
    </w:rPr>
  </w:style>
  <w:style w:type="paragraph" w:styleId="ListParagraph">
    <w:name w:val="List Paragraph"/>
    <w:basedOn w:val="Normal"/>
    <w:qFormat/>
    <w:pPr>
      <w:spacing w:after="200" w:line="276" w:lineRule="auto"/>
      <w:ind w:left="720" w:firstLine="0"/>
      <w:contextualSpacing/>
      <w:jc w:val="left"/>
    </w:pPr>
    <w:rPr>
      <w:rFonts w:ascii="Calibri" w:eastAsia="Calibri" w:hAnsi="Calibri"/>
      <w:color w:val="auto"/>
      <w:sz w:val="22"/>
    </w:rPr>
  </w:style>
  <w:style w:type="paragraph" w:customStyle="1" w:styleId="StGen0">
    <w:name w:val="StGen0"/>
    <w:basedOn w:val="Normal"/>
    <w:pPr>
      <w:spacing w:after="160" w:line="240" w:lineRule="exact"/>
      <w:ind w:firstLine="0"/>
      <w:jc w:val="left"/>
    </w:pPr>
    <w:rPr>
      <w:rFonts w:ascii="Verdana" w:hAnsi="Verdana" w:cs="Verdana"/>
      <w:color w:val="auto"/>
      <w:sz w:val="20"/>
    </w:rPr>
  </w:style>
  <w:style w:type="paragraph" w:styleId="BodyTextIndent">
    <w:name w:val="Body Text Indent"/>
    <w:basedOn w:val="Normal"/>
    <w:pPr>
      <w:spacing w:after="0"/>
      <w:ind w:firstLine="720"/>
    </w:pPr>
    <w:rPr>
      <w:rFonts w:ascii=".VnTime" w:hAnsi=".VnTime" w:cs="Arial"/>
      <w:bCs/>
      <w:color w:val="auto"/>
      <w:sz w:val="28"/>
      <w:szCs w:val="28"/>
    </w:rPr>
  </w:style>
  <w:style w:type="paragraph" w:customStyle="1" w:styleId="abc">
    <w:name w:val="abc"/>
    <w:basedOn w:val="Normal"/>
    <w:pPr>
      <w:widowControl w:val="0"/>
      <w:spacing w:after="0"/>
      <w:ind w:firstLine="0"/>
      <w:jc w:val="left"/>
    </w:pPr>
    <w:rPr>
      <w:rFonts w:ascii=".VnTime" w:hAnsi=".VnTime"/>
      <w:color w:val="auto"/>
      <w:sz w:val="28"/>
    </w:rPr>
  </w:style>
  <w:style w:type="paragraph" w:customStyle="1" w:styleId="1">
    <w:name w:val="1"/>
    <w:basedOn w:val="DocumentMap"/>
    <w:pPr>
      <w:widowControl w:val="0"/>
      <w:shd w:val="clear" w:color="auto" w:fill="000080"/>
      <w:spacing w:after="0"/>
      <w:ind w:firstLine="0"/>
    </w:pPr>
    <w:rPr>
      <w:rFonts w:eastAsia="SimSun" w:cs="Times New Roman"/>
      <w:color w:val="auto"/>
      <w:sz w:val="24"/>
      <w:szCs w:val="24"/>
      <w:lang w:eastAsia="zh-CN"/>
    </w:rPr>
  </w:style>
  <w:style w:type="character" w:styleId="PageNumber">
    <w:name w:val="page number"/>
    <w:basedOn w:val="DefaultParagraphFont"/>
  </w:style>
  <w:style w:type="paragraph" w:customStyle="1" w:styleId="CharCharChar1Char">
    <w:name w:val="Char Char Char1 Char"/>
    <w:next w:val="Normal"/>
    <w:semiHidden/>
    <w:pPr>
      <w:spacing w:after="160" w:line="240" w:lineRule="exact"/>
      <w:jc w:val="both"/>
    </w:pPr>
    <w:rPr>
      <w:rFonts w:ascii="VNI-Times" w:hAnsi="VNI-Times" w:cs="VNI-Times"/>
      <w:sz w:val="28"/>
      <w:szCs w:val="28"/>
    </w:rPr>
  </w:style>
  <w:style w:type="paragraph" w:customStyle="1" w:styleId="CharCharCharChar">
    <w:name w:val="Char Char Char Char"/>
    <w:next w:val="Normal"/>
    <w:semiHidden/>
    <w:pPr>
      <w:spacing w:after="160" w:line="240" w:lineRule="exact"/>
      <w:jc w:val="both"/>
    </w:pPr>
    <w:rPr>
      <w:sz w:val="28"/>
    </w:rPr>
  </w:style>
  <w:style w:type="paragraph" w:styleId="BalloonText">
    <w:name w:val="Balloon Text"/>
    <w:basedOn w:val="Normal"/>
    <w:semiHidden/>
    <w:rPr>
      <w:rFonts w:ascii="Tahoma" w:hAnsi="Tahoma" w:cs="Tahoma"/>
      <w:sz w:val="16"/>
      <w:szCs w:val="16"/>
    </w:rPr>
  </w:style>
  <w:style w:type="character" w:customStyle="1" w:styleId="FooterChar">
    <w:name w:val="Footer Char"/>
    <w:link w:val="Footer"/>
    <w:uiPriority w:val="99"/>
    <w:rPr>
      <w:color w:val="0000FF"/>
      <w:sz w:val="24"/>
    </w:rPr>
  </w:style>
  <w:style w:type="character" w:customStyle="1" w:styleId="Heading5Char">
    <w:name w:val="Heading 5 Char"/>
    <w:link w:val="Heading5"/>
    <w:uiPriority w:val="9"/>
    <w:rPr>
      <w:b/>
      <w:sz w:val="26"/>
      <w:szCs w:val="24"/>
    </w:rPr>
  </w:style>
  <w:style w:type="paragraph" w:styleId="BodyText">
    <w:name w:val="Body Text"/>
    <w:basedOn w:val="Normal"/>
    <w:link w:val="BodyTextChar"/>
  </w:style>
  <w:style w:type="character" w:customStyle="1" w:styleId="BodyTextChar">
    <w:name w:val="Body Text Char"/>
    <w:link w:val="BodyText"/>
    <w:rPr>
      <w:color w:val="0000FF"/>
      <w:sz w:val="24"/>
    </w:rPr>
  </w:style>
  <w:style w:type="character" w:customStyle="1" w:styleId="BodyTextChar1">
    <w:name w:val="Body Text Char1"/>
    <w:uiPriority w:val="99"/>
    <w:rPr>
      <w:rFonts w:ascii="Times New Roman" w:hAnsi="Times New Roman" w:cs="Times New Roman"/>
      <w:sz w:val="26"/>
      <w:szCs w:val="26"/>
      <w:u w:val="none"/>
    </w:rPr>
  </w:style>
  <w:style w:type="paragraph" w:customStyle="1" w:styleId="Char">
    <w:name w:val="Char"/>
    <w:basedOn w:val="Normal"/>
    <w:pPr>
      <w:spacing w:after="160" w:line="240" w:lineRule="exact"/>
      <w:ind w:firstLine="0"/>
      <w:jc w:val="left"/>
    </w:pPr>
    <w:rPr>
      <w:rFonts w:ascii="Verdana" w:hAnsi="Verdana" w:cs="Verdana"/>
      <w:color w:val="auto"/>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44CA26-31A7-423A-A96F-D7E5DF95E513}"/>
</file>

<file path=customXml/itemProps2.xml><?xml version="1.0" encoding="utf-8"?>
<ds:datastoreItem xmlns:ds="http://schemas.openxmlformats.org/officeDocument/2006/customXml" ds:itemID="{633F6551-E30B-42EB-AD36-4E8AE100B5B8}"/>
</file>

<file path=customXml/itemProps3.xml><?xml version="1.0" encoding="utf-8"?>
<ds:datastoreItem xmlns:ds="http://schemas.openxmlformats.org/officeDocument/2006/customXml" ds:itemID="{DAD7D96F-8C6C-421A-B7A2-8342E0F3FB19}"/>
</file>

<file path=docProps/app.xml><?xml version="1.0" encoding="utf-8"?>
<Properties xmlns="http://schemas.openxmlformats.org/officeDocument/2006/extended-properties" xmlns:vt="http://schemas.openxmlformats.org/officeDocument/2006/docPropsVTypes">
  <Template>Normal</Template>
  <TotalTime>0</TotalTime>
  <Pages>10</Pages>
  <Words>2860</Words>
  <Characters>16306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QUYẾT ĐỊNH</vt:lpstr>
    </vt:vector>
  </TitlesOfParts>
  <Company>VPQH</Company>
  <LinksUpToDate>false</LinksUpToDate>
  <CharactersWithSpaces>19128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dc:title>
  <dc:creator>ggg</dc:creator>
  <cp:lastModifiedBy>Admin</cp:lastModifiedBy>
  <cp:revision>3</cp:revision>
  <dcterms:created xsi:type="dcterms:W3CDTF">2020-12-28T03:51:00Z</dcterms:created>
  <dcterms:modified xsi:type="dcterms:W3CDTF">2020-12-29T21:17:00Z</dcterms:modified>
</cp:coreProperties>
</file>