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5125" w:type="pct"/>
        <w:tblInd w:w="-5" w:type="dxa"/>
        <w:shd w:val="clear" w:color="auto" w:fill="FFFFFF"/>
        <w:tblLayout w:type="autofit"/>
        <w:tblCellMar>
          <w:top w:w="0" w:type="dxa"/>
          <w:left w:w="0" w:type="dxa"/>
          <w:bottom w:w="0" w:type="dxa"/>
          <w:right w:w="0" w:type="dxa"/>
        </w:tblCellMar>
      </w:tblPr>
      <w:tblGrid>
        <w:gridCol w:w="3632"/>
        <w:gridCol w:w="5888"/>
      </w:tblGrid>
      <w:tr w14:paraId="31CBA37F">
        <w:tblPrEx>
          <w:tblCellMar>
            <w:top w:w="0" w:type="dxa"/>
            <w:left w:w="0" w:type="dxa"/>
            <w:bottom w:w="0" w:type="dxa"/>
            <w:right w:w="0" w:type="dxa"/>
          </w:tblCellMar>
        </w:tblPrEx>
        <w:trPr>
          <w:trHeight w:val="1136" w:hRule="atLeast"/>
        </w:trPr>
        <w:tc>
          <w:tcPr>
            <w:tcW w:w="3548" w:type="dxa"/>
            <w:shd w:val="clear" w:color="auto" w:fill="FFFFFF"/>
            <w:tcMar>
              <w:top w:w="0" w:type="dxa"/>
              <w:left w:w="108" w:type="dxa"/>
              <w:bottom w:w="0" w:type="dxa"/>
              <w:right w:w="108" w:type="dxa"/>
            </w:tcMar>
          </w:tcPr>
          <w:p w14:paraId="593F6F5E">
            <w:pPr>
              <w:spacing w:before="40" w:after="0" w:line="240" w:lineRule="auto"/>
              <w:jc w:val="center"/>
              <w:rPr>
                <w:rFonts w:eastAsia="Times New Roman"/>
                <w:b/>
                <w:bCs/>
                <w:szCs w:val="26"/>
              </w:rPr>
            </w:pPr>
            <w:r>
              <w:rPr>
                <w:rFonts w:eastAsia="Times New Roman"/>
                <w:b/>
                <w:bCs/>
                <w:szCs w:val="26"/>
              </w:rPr>
              <w:t>HỘI ĐỒNG NHÂN DÂN</w:t>
            </w:r>
          </w:p>
          <w:p w14:paraId="4DD96CF9">
            <w:pPr>
              <w:spacing w:before="0" w:after="0" w:line="240" w:lineRule="auto"/>
              <w:jc w:val="center"/>
              <w:rPr>
                <w:rFonts w:eastAsia="Times New Roman"/>
                <w:b/>
                <w:bCs/>
                <w:szCs w:val="26"/>
              </w:rPr>
            </w:pPr>
            <w:r>
              <w:rPr>
                <w:rFonts w:eastAsia="Times New Roman"/>
                <w:b/>
                <w:bCs/>
                <w:szCs w:val="26"/>
              </w:rPr>
              <w:t>THÀNH PHỐ CẦN THƠ</w:t>
            </w:r>
          </w:p>
          <w:p w14:paraId="4610B4FE">
            <w:pPr>
              <w:spacing w:before="120" w:after="120" w:line="240" w:lineRule="auto"/>
              <w:jc w:val="center"/>
              <w:rPr>
                <w:rFonts w:eastAsia="Times New Roman"/>
                <w:b/>
                <w:bCs/>
                <w:szCs w:val="26"/>
              </w:rPr>
            </w:pPr>
            <w:r>
              <w:rPr>
                <w:rFonts w:eastAsia="Times New Roman"/>
                <w:b/>
                <w:bCs/>
                <w:szCs w:val="26"/>
              </w:rPr>
              <mc:AlternateContent>
                <mc:Choice Requires="wps">
                  <w:drawing>
                    <wp:anchor distT="0" distB="0" distL="114300" distR="114300" simplePos="0" relativeHeight="251659264" behindDoc="0" locked="0" layoutInCell="1" allowOverlap="1">
                      <wp:simplePos x="0" y="0"/>
                      <wp:positionH relativeFrom="column">
                        <wp:posOffset>654685</wp:posOffset>
                      </wp:positionH>
                      <wp:positionV relativeFrom="paragraph">
                        <wp:posOffset>17145</wp:posOffset>
                      </wp:positionV>
                      <wp:extent cx="828040" cy="0"/>
                      <wp:effectExtent l="0" t="0" r="29210" b="19050"/>
                      <wp:wrapNone/>
                      <wp:docPr id="1" name="AutoShape 21"/>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ln>
                            </wps:spPr>
                            <wps:bodyPr/>
                          </wps:wsp>
                        </a:graphicData>
                      </a:graphic>
                    </wp:anchor>
                  </w:drawing>
                </mc:Choice>
                <mc:Fallback>
                  <w:pict>
                    <v:shape id="AutoShape 21" o:spid="_x0000_s1026" o:spt="32" type="#_x0000_t32" style="position:absolute;left:0pt;margin-left:51.55pt;margin-top:1.35pt;height:0pt;width:65.2pt;z-index:251659264;mso-width-relative:page;mso-height-relative:page;" filled="f" stroked="t" coordsize="21600,21600" o:gfxdata="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SJTEbUAAAABwEAAA8AAAAAAAAAAQAgAAAAIgAA&#10;AGRycy9kb3ducmV2LnhtbFBLAQIUABQAAAAIAIdO4kCkAGRK0wEAALIDAAAOAAAAAAAAAAEAIAAA&#10;ACMBAABkcnMvZTJvRG9jLnhtbFBLBQYAAAAABgAGAFkBAABoBQAAAAA=&#10;">
                      <v:fill on="f" focussize="0,0"/>
                      <v:stroke color="#000000" joinstyle="round"/>
                      <v:imagedata o:title=""/>
                      <o:lock v:ext="edit" aspectratio="f"/>
                    </v:shape>
                  </w:pict>
                </mc:Fallback>
              </mc:AlternateContent>
            </w:r>
            <w:r>
              <w:rPr>
                <w:rFonts w:eastAsia="Times New Roman"/>
                <w:szCs w:val="26"/>
              </w:rPr>
              <w:t>Số: 06/2026/NQ-HĐND</w:t>
            </w:r>
          </w:p>
        </w:tc>
        <w:tc>
          <w:tcPr>
            <w:tcW w:w="5751" w:type="dxa"/>
            <w:shd w:val="clear" w:color="auto" w:fill="FFFFFF"/>
            <w:tcMar>
              <w:top w:w="0" w:type="dxa"/>
              <w:left w:w="108" w:type="dxa"/>
              <w:bottom w:w="0" w:type="dxa"/>
              <w:right w:w="108" w:type="dxa"/>
            </w:tcMar>
          </w:tcPr>
          <w:p w14:paraId="78797E89">
            <w:pPr>
              <w:spacing w:before="40" w:after="0" w:line="240" w:lineRule="auto"/>
              <w:jc w:val="center"/>
              <w:rPr>
                <w:rFonts w:eastAsia="Times New Roman"/>
                <w:b/>
                <w:bCs/>
                <w:sz w:val="28"/>
                <w:szCs w:val="28"/>
              </w:rPr>
            </w:pPr>
            <w:r>
              <w:rPr>
                <w:rFonts w:eastAsia="Times New Roman"/>
                <w:b/>
                <w:bCs/>
                <w:szCs w:val="26"/>
              </w:rPr>
              <w:t>CỘNG HÒA XÃ HỘI CHỦ NGHĨA VIỆT NAM</w:t>
            </w:r>
            <w:r>
              <w:rPr>
                <w:rFonts w:eastAsia="Times New Roman"/>
                <w:b/>
                <w:bCs/>
                <w:szCs w:val="26"/>
              </w:rPr>
              <w:br w:type="textWrapping"/>
            </w:r>
            <w:r>
              <w:rPr>
                <w:rFonts w:eastAsia="Times New Roman"/>
                <w:b/>
                <w:bCs/>
                <w:sz w:val="28"/>
                <w:szCs w:val="28"/>
              </w:rPr>
              <w:t>Độc lập - Tự do - Hạnh phúc</w:t>
            </w:r>
          </w:p>
          <w:p w14:paraId="09FC5EC0">
            <w:pPr>
              <w:spacing w:before="120" w:after="0" w:line="240" w:lineRule="auto"/>
              <w:jc w:val="center"/>
              <w:rPr>
                <w:rFonts w:eastAsia="Times New Roman"/>
                <w:sz w:val="28"/>
                <w:szCs w:val="28"/>
              </w:rPr>
            </w:pPr>
            <w:r>
              <w:rPr>
                <w:rFonts w:eastAsia="Times New Roman"/>
                <w:b/>
                <w:bCs/>
                <w:sz w:val="28"/>
                <w:szCs w:val="28"/>
              </w:rPr>
              <mc:AlternateContent>
                <mc:Choice Requires="wps">
                  <w:drawing>
                    <wp:anchor distT="0" distB="0" distL="114300" distR="114300" simplePos="0" relativeHeight="251660288" behindDoc="0" locked="0" layoutInCell="1" allowOverlap="1">
                      <wp:simplePos x="0" y="0"/>
                      <wp:positionH relativeFrom="column">
                        <wp:posOffset>663575</wp:posOffset>
                      </wp:positionH>
                      <wp:positionV relativeFrom="paragraph">
                        <wp:posOffset>19050</wp:posOffset>
                      </wp:positionV>
                      <wp:extent cx="21621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2.25pt;margin-top:1.5pt;height:0pt;width:170.25pt;z-index:251660288;mso-width-relative:page;mso-height-relative:page;" filled="f" stroked="t" coordsize="21600,21600" o:gfxdata="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mzcHx1AAAAAcBAAAPAAAAAAAAAAEAIAAAACIAAABk&#10;cnMvZG93bnJldi54bWxQSwECFAAUAAAACACHTuJAZCeIb9EBAAC0AwAADgAAAAAAAAABACAAAAAj&#10;AQAAZHJzL2Uyb0RvYy54bWxQSwUGAAAAAAYABgBZAQAAZgUAAAAA&#10;">
                      <v:fill on="f" focussize="0,0"/>
                      <v:stroke weight="0.5pt" color="#000000 [3200]" miterlimit="8" joinstyle="miter"/>
                      <v:imagedata o:title=""/>
                      <o:lock v:ext="edit" aspectratio="f"/>
                    </v:line>
                  </w:pict>
                </mc:Fallback>
              </mc:AlternateContent>
            </w:r>
            <w:r>
              <w:rPr>
                <w:rFonts w:eastAsia="Times New Roman"/>
                <w:i/>
                <w:iCs/>
                <w:sz w:val="28"/>
                <w:szCs w:val="28"/>
              </w:rPr>
              <w:t>Cần Thơ, ngày 29 tháng 4 năm 2026</w:t>
            </w:r>
          </w:p>
        </w:tc>
      </w:tr>
    </w:tbl>
    <w:p w14:paraId="330AB0FD">
      <w:pPr>
        <w:shd w:val="clear" w:color="auto" w:fill="FFFFFF"/>
        <w:spacing w:before="120" w:after="120" w:line="240" w:lineRule="auto"/>
        <w:jc w:val="center"/>
        <w:rPr>
          <w:rFonts w:eastAsia="Times New Roman"/>
          <w:b/>
          <w:bCs/>
          <w:sz w:val="28"/>
          <w:szCs w:val="28"/>
        </w:rPr>
      </w:pPr>
    </w:p>
    <w:p w14:paraId="5836EA53">
      <w:pPr>
        <w:shd w:val="clear" w:color="auto" w:fill="FFFFFF"/>
        <w:spacing w:before="0" w:after="0" w:line="240" w:lineRule="auto"/>
        <w:jc w:val="center"/>
        <w:rPr>
          <w:rFonts w:eastAsia="Times New Roman"/>
          <w:sz w:val="28"/>
          <w:szCs w:val="28"/>
        </w:rPr>
      </w:pPr>
      <w:r>
        <w:rPr>
          <w:rFonts w:eastAsia="Times New Roman"/>
          <w:b/>
          <w:bCs/>
          <w:sz w:val="28"/>
          <w:szCs w:val="28"/>
        </w:rPr>
        <w:t>NGHỊ QUYẾT</w:t>
      </w:r>
    </w:p>
    <w:p w14:paraId="1798E545">
      <w:pPr>
        <w:spacing w:before="0" w:after="0" w:line="240" w:lineRule="auto"/>
        <w:jc w:val="center"/>
        <w:rPr>
          <w:b/>
          <w:sz w:val="28"/>
          <w:szCs w:val="28"/>
        </w:rPr>
      </w:pPr>
      <w:r>
        <w:rPr>
          <w:b/>
          <w:sz w:val="28"/>
          <w:szCs w:val="28"/>
        </w:rPr>
        <w:t xml:space="preserve">Quy định chính sách hỗ trợ cước phí thuê bao vệ tinh thiết bị giám sát </w:t>
      </w:r>
    </w:p>
    <w:p w14:paraId="5FA050BF">
      <w:pPr>
        <w:spacing w:before="0" w:after="0" w:line="240" w:lineRule="auto"/>
        <w:jc w:val="center"/>
        <w:rPr>
          <w:b/>
        </w:rPr>
      </w:pPr>
      <w:r>
        <w:rPr>
          <w:b/>
          <w:sz w:val="28"/>
          <w:szCs w:val="28"/>
        </w:rPr>
        <w:t>hành trình tàu cá (VMS) trên địa bàn thành phố Cần Thơ</w:t>
      </w:r>
    </w:p>
    <w:p w14:paraId="5792BCA7">
      <w:pPr>
        <w:shd w:val="clear" w:color="auto" w:fill="FFFFFF"/>
        <w:spacing w:before="120" w:after="120" w:line="240" w:lineRule="auto"/>
        <w:ind w:firstLine="706"/>
        <w:rPr>
          <w:i/>
          <w:sz w:val="28"/>
          <w:szCs w:val="28"/>
        </w:rPr>
      </w:pPr>
    </w:p>
    <w:p w14:paraId="61B53EC9">
      <w:pPr>
        <w:shd w:val="clear" w:color="auto" w:fill="FFFFFF"/>
        <w:spacing w:before="120" w:after="0" w:line="240" w:lineRule="auto"/>
        <w:ind w:firstLine="709"/>
        <w:jc w:val="both"/>
        <w:rPr>
          <w:i/>
          <w:sz w:val="28"/>
          <w:szCs w:val="28"/>
        </w:rPr>
      </w:pPr>
      <w:r>
        <w:rPr>
          <w:i/>
          <w:sz w:val="28"/>
          <w:szCs w:val="28"/>
        </w:rPr>
        <w:t xml:space="preserve">Căn cứ Luật Tổ chức chính quyền địa phương số 72/2025/QH15; </w:t>
      </w:r>
    </w:p>
    <w:p w14:paraId="50E68F1A">
      <w:pPr>
        <w:shd w:val="clear" w:color="auto" w:fill="FFFFFF"/>
        <w:spacing w:before="120" w:after="0" w:line="240" w:lineRule="auto"/>
        <w:ind w:firstLine="709"/>
        <w:jc w:val="both"/>
        <w:rPr>
          <w:rFonts w:eastAsia="Times New Roman"/>
          <w:i/>
          <w:sz w:val="28"/>
          <w:szCs w:val="28"/>
        </w:rPr>
      </w:pPr>
      <w:r>
        <w:rPr>
          <w:rFonts w:eastAsia="Times New Roman"/>
          <w:i/>
          <w:sz w:val="28"/>
          <w:szCs w:val="28"/>
        </w:rPr>
        <w:t>Căn cứ Luật Ngân sách nhà nước số 89/2025/QH15;</w:t>
      </w:r>
    </w:p>
    <w:p w14:paraId="31D45CC1">
      <w:pPr>
        <w:shd w:val="clear" w:color="auto" w:fill="FFFFFF"/>
        <w:spacing w:before="120" w:after="0" w:line="240" w:lineRule="auto"/>
        <w:ind w:firstLine="709"/>
        <w:jc w:val="both"/>
        <w:rPr>
          <w:i/>
          <w:iCs/>
          <w:sz w:val="28"/>
          <w:szCs w:val="28"/>
        </w:rPr>
      </w:pPr>
      <w:r>
        <w:rPr>
          <w:i/>
          <w:iCs/>
          <w:sz w:val="28"/>
          <w:szCs w:val="28"/>
        </w:rPr>
        <w:t>Căn cứ Luật Thủy sản số 18/2017/QH14 được sửa đổi, bổ sung bởi Luật số 31/2024/QH15 và Luật số 146/2025/QH15;</w:t>
      </w:r>
    </w:p>
    <w:p w14:paraId="3AD83DC5">
      <w:pPr>
        <w:shd w:val="clear" w:color="auto" w:fill="FFFFFF"/>
        <w:spacing w:before="120" w:after="0" w:line="240" w:lineRule="auto"/>
        <w:ind w:firstLine="709"/>
        <w:jc w:val="both"/>
        <w:rPr>
          <w:i/>
          <w:iCs/>
          <w:sz w:val="28"/>
          <w:szCs w:val="28"/>
        </w:rPr>
      </w:pPr>
      <w:r>
        <w:rPr>
          <w:i/>
          <w:iCs/>
          <w:sz w:val="28"/>
          <w:szCs w:val="28"/>
        </w:rPr>
        <w:t>Căn cứ Nghị định số </w:t>
      </w:r>
      <w:r>
        <w:fldChar w:fldCharType="begin"/>
      </w:r>
      <w:r>
        <w:instrText xml:space="preserve"> HYPERLINK "https://thuvienphapluat.vn/van-ban/linh-vuc-khac/nghi-dinh-26-2019-nd-cp-huong-dan-luat-thuy-san-356284.aspx" \t "_blank" \o "Nghị định 26/2019/NĐ-CP" </w:instrText>
      </w:r>
      <w:r>
        <w:fldChar w:fldCharType="separate"/>
      </w:r>
      <w:r>
        <w:rPr>
          <w:bCs/>
          <w:i/>
          <w:iCs/>
          <w:sz w:val="28"/>
          <w:szCs w:val="28"/>
        </w:rPr>
        <w:t>41/2026/NĐ-CP</w:t>
      </w:r>
      <w:r>
        <w:rPr>
          <w:bCs/>
          <w:i/>
          <w:iCs/>
          <w:sz w:val="28"/>
          <w:szCs w:val="28"/>
        </w:rPr>
        <w:fldChar w:fldCharType="end"/>
      </w:r>
      <w:r>
        <w:rPr>
          <w:i/>
          <w:iCs/>
          <w:sz w:val="28"/>
          <w:szCs w:val="28"/>
        </w:rPr>
        <w:t> ngày 25 tháng 01 năm 2026 của Chính phủ quy định chi tiết một số điều và biện pháp thi hành Luật Thủy sản;</w:t>
      </w:r>
    </w:p>
    <w:p w14:paraId="52FB8C71">
      <w:pPr>
        <w:spacing w:before="120" w:after="0" w:line="240" w:lineRule="auto"/>
        <w:ind w:firstLine="709"/>
        <w:jc w:val="both"/>
        <w:rPr>
          <w:rFonts w:eastAsia="Times New Roman"/>
          <w:i/>
          <w:iCs/>
          <w:sz w:val="28"/>
          <w:szCs w:val="28"/>
        </w:rPr>
      </w:pPr>
      <w:r>
        <w:rPr>
          <w:rFonts w:eastAsia="Times New Roman"/>
          <w:i/>
          <w:iCs/>
          <w:sz w:val="28"/>
          <w:szCs w:val="28"/>
        </w:rPr>
        <w:t xml:space="preserve">Xét Tờ trình số 259/TTr-UBND ngày 23 tháng 4 năm 2026 của Ủy ban nhân dân thành phố dự thảo Nghị quyết </w:t>
      </w:r>
      <w:r>
        <w:rPr>
          <w:i/>
          <w:iCs/>
          <w:sz w:val="28"/>
          <w:szCs w:val="28"/>
        </w:rPr>
        <w:t>quy định chính sách hỗ trợ cước phí thuê bao vệ tinh thiết</w:t>
      </w:r>
      <w:r>
        <w:rPr>
          <w:rFonts w:eastAsia="Times New Roman"/>
          <w:i/>
          <w:iCs/>
          <w:sz w:val="28"/>
          <w:szCs w:val="28"/>
        </w:rPr>
        <w:t xml:space="preserve"> </w:t>
      </w:r>
      <w:r>
        <w:rPr>
          <w:i/>
          <w:iCs/>
          <w:sz w:val="28"/>
          <w:szCs w:val="28"/>
        </w:rPr>
        <w:t>bị giám sát hành trình tàu cá (VMS) trên địa bàn thành phố Cần Thơ</w:t>
      </w:r>
      <w:r>
        <w:rPr>
          <w:rFonts w:eastAsia="Times New Roman"/>
          <w:i/>
          <w:iCs/>
          <w:sz w:val="28"/>
          <w:szCs w:val="28"/>
        </w:rPr>
        <w:t>; Báo c</w:t>
      </w:r>
      <w:bookmarkStart w:id="1" w:name="_GoBack"/>
      <w:r>
        <w:rPr>
          <w:rFonts w:eastAsia="Times New Roman"/>
          <w:i/>
          <w:iCs/>
          <w:sz w:val="28"/>
          <w:szCs w:val="28"/>
        </w:rPr>
        <w:t xml:space="preserve">áo thẩm tra của Ban Kinh tế - Ngân sách </w:t>
      </w:r>
      <w:r>
        <w:rPr>
          <w:rFonts w:eastAsia="Times New Roman"/>
          <w:i/>
          <w:iCs/>
          <w:sz w:val="28"/>
          <w:szCs w:val="28"/>
          <w:lang w:val="vi-VN"/>
        </w:rPr>
        <w:t xml:space="preserve">Hội đồng nhân dân </w:t>
      </w:r>
      <w:r>
        <w:rPr>
          <w:rFonts w:eastAsia="Times New Roman"/>
          <w:i/>
          <w:iCs/>
          <w:sz w:val="28"/>
          <w:szCs w:val="28"/>
        </w:rPr>
        <w:t>thành phố; ý kiến</w:t>
      </w:r>
      <w:bookmarkEnd w:id="1"/>
      <w:r>
        <w:rPr>
          <w:rFonts w:eastAsia="Times New Roman"/>
          <w:i/>
          <w:iCs/>
          <w:sz w:val="28"/>
          <w:szCs w:val="28"/>
        </w:rPr>
        <w:t xml:space="preserve"> thảo luận của đại biểu Hội đồng nhân dân tại kỳ họp;</w:t>
      </w:r>
    </w:p>
    <w:p w14:paraId="0898611B">
      <w:pPr>
        <w:spacing w:before="120" w:after="0" w:line="240" w:lineRule="auto"/>
        <w:ind w:firstLine="709"/>
        <w:jc w:val="both"/>
        <w:rPr>
          <w:i/>
          <w:iCs/>
          <w:sz w:val="28"/>
          <w:szCs w:val="28"/>
        </w:rPr>
      </w:pPr>
      <w:r>
        <w:rPr>
          <w:rFonts w:eastAsia="Times New Roman"/>
          <w:i/>
          <w:iCs/>
          <w:sz w:val="28"/>
          <w:szCs w:val="28"/>
        </w:rPr>
        <w:t xml:space="preserve">Hội đồng nhân dân ban hành Nghị quyết </w:t>
      </w:r>
      <w:r>
        <w:rPr>
          <w:i/>
          <w:iCs/>
          <w:sz w:val="28"/>
          <w:szCs w:val="28"/>
        </w:rPr>
        <w:t>quy định chính sách hỗ trợ cước phí thuê bao vệ tinh thiết bị giám sát hành trình tàu cá (VMS) trên địa bàn thành phố Cần Thơ.</w:t>
      </w:r>
    </w:p>
    <w:p w14:paraId="055223EB">
      <w:pPr>
        <w:spacing w:before="120" w:after="0" w:line="240" w:lineRule="auto"/>
        <w:ind w:firstLine="706"/>
        <w:jc w:val="both"/>
        <w:rPr>
          <w:rFonts w:eastAsia="Times New Roman"/>
          <w:b/>
          <w:bCs/>
          <w:sz w:val="28"/>
          <w:szCs w:val="28"/>
        </w:rPr>
      </w:pPr>
      <w:r>
        <w:rPr>
          <w:rFonts w:eastAsia="Times New Roman"/>
          <w:b/>
          <w:bCs/>
          <w:sz w:val="28"/>
          <w:szCs w:val="28"/>
        </w:rPr>
        <w:t xml:space="preserve">Điều 1. </w:t>
      </w:r>
      <w:r>
        <w:rPr>
          <w:rFonts w:eastAsia="Times New Roman"/>
          <w:sz w:val="28"/>
          <w:szCs w:val="28"/>
        </w:rPr>
        <w:t>Phạm vi điều chỉnh, đối tượng áp dụng</w:t>
      </w:r>
    </w:p>
    <w:p w14:paraId="086C2E61">
      <w:pPr>
        <w:shd w:val="clear" w:color="auto" w:fill="FFFFFF"/>
        <w:spacing w:before="120" w:after="0" w:line="240" w:lineRule="auto"/>
        <w:ind w:firstLine="706"/>
        <w:jc w:val="both"/>
        <w:textAlignment w:val="baseline"/>
        <w:rPr>
          <w:bCs/>
          <w:sz w:val="28"/>
          <w:szCs w:val="28"/>
          <w:shd w:val="clear" w:color="auto" w:fill="FFFFFF"/>
        </w:rPr>
      </w:pPr>
      <w:r>
        <w:rPr>
          <w:bCs/>
          <w:sz w:val="28"/>
          <w:szCs w:val="28"/>
          <w:shd w:val="clear" w:color="auto" w:fill="FFFFFF"/>
        </w:rPr>
        <w:t>1. Phạm vi điều chỉnh</w:t>
      </w:r>
    </w:p>
    <w:p w14:paraId="393C03F3">
      <w:pPr>
        <w:spacing w:before="120" w:after="0" w:line="240" w:lineRule="auto"/>
        <w:ind w:firstLine="706"/>
        <w:jc w:val="both"/>
        <w:rPr>
          <w:bCs/>
        </w:rPr>
      </w:pPr>
      <w:r>
        <w:rPr>
          <w:bCs/>
          <w:sz w:val="28"/>
          <w:szCs w:val="28"/>
          <w:shd w:val="clear" w:color="auto" w:fill="FFFFFF"/>
        </w:rPr>
        <w:tab/>
      </w:r>
      <w:r>
        <w:rPr>
          <w:bCs/>
          <w:sz w:val="28"/>
          <w:szCs w:val="28"/>
        </w:rPr>
        <w:t>Nghị quyết này quy định chính sách hỗ trợ cước phí thuê bao vệ tinh thiết bị giám sát hành trình tàu cá (VMS) trên địa bàn thành phố Cần Thơ.</w:t>
      </w:r>
    </w:p>
    <w:p w14:paraId="13ED2358">
      <w:pPr>
        <w:shd w:val="clear" w:color="auto" w:fill="FFFFFF"/>
        <w:spacing w:before="120" w:after="0" w:line="240" w:lineRule="auto"/>
        <w:ind w:firstLine="706"/>
        <w:jc w:val="both"/>
        <w:textAlignment w:val="baseline"/>
        <w:rPr>
          <w:bCs/>
          <w:sz w:val="28"/>
          <w:szCs w:val="28"/>
          <w:shd w:val="clear" w:color="auto" w:fill="FFFFFF"/>
        </w:rPr>
      </w:pPr>
      <w:bookmarkStart w:id="0" w:name="dieu_2"/>
      <w:r>
        <w:rPr>
          <w:bCs/>
          <w:sz w:val="28"/>
          <w:szCs w:val="28"/>
          <w:shd w:val="clear" w:color="auto" w:fill="FFFFFF"/>
        </w:rPr>
        <w:t>2. </w:t>
      </w:r>
      <w:r>
        <w:rPr>
          <w:bCs/>
          <w:sz w:val="28"/>
          <w:szCs w:val="28"/>
        </w:rPr>
        <w:t>Đối tượng áp dụng</w:t>
      </w:r>
    </w:p>
    <w:p w14:paraId="0B71ACCE">
      <w:pPr>
        <w:shd w:val="clear" w:color="auto" w:fill="FFFFFF"/>
        <w:spacing w:before="120" w:after="0" w:line="240" w:lineRule="auto"/>
        <w:ind w:firstLine="706"/>
        <w:jc w:val="both"/>
        <w:textAlignment w:val="baseline"/>
        <w:rPr>
          <w:sz w:val="28"/>
          <w:szCs w:val="28"/>
        </w:rPr>
      </w:pPr>
      <w:r>
        <w:rPr>
          <w:sz w:val="28"/>
          <w:szCs w:val="28"/>
        </w:rPr>
        <w:tab/>
      </w:r>
      <w:r>
        <w:rPr>
          <w:sz w:val="28"/>
          <w:szCs w:val="28"/>
        </w:rPr>
        <w:t>a) Tổ chức, cá nhân (sau đây gọi tắt là chủ tàu) có tàu cá đăng ký trên địa bàn thành phố Cần Thơ, có chiều dài lớn nhất (L</w:t>
      </w:r>
      <w:r>
        <w:rPr>
          <w:sz w:val="28"/>
          <w:szCs w:val="28"/>
          <w:vertAlign w:val="subscript"/>
        </w:rPr>
        <w:t>max</w:t>
      </w:r>
      <w:r>
        <w:rPr>
          <w:sz w:val="28"/>
          <w:szCs w:val="28"/>
        </w:rPr>
        <w:t>) từ 15 mét trở lên.</w:t>
      </w:r>
    </w:p>
    <w:p w14:paraId="22FF1967">
      <w:pPr>
        <w:shd w:val="clear" w:color="auto" w:fill="FFFFFF"/>
        <w:spacing w:before="120" w:after="0" w:line="240" w:lineRule="auto"/>
        <w:ind w:firstLine="706"/>
        <w:jc w:val="both"/>
        <w:textAlignment w:val="baseline"/>
        <w:rPr>
          <w:sz w:val="28"/>
          <w:szCs w:val="28"/>
        </w:rPr>
      </w:pPr>
      <w:r>
        <w:rPr>
          <w:sz w:val="28"/>
          <w:szCs w:val="28"/>
        </w:rPr>
        <w:tab/>
      </w:r>
      <w:r>
        <w:rPr>
          <w:sz w:val="28"/>
          <w:szCs w:val="28"/>
        </w:rPr>
        <w:t>b) Các cơ quan quản lý nhà nước, các tổ chức, cá nhân có liên quan trên địa bàn thành phố Cần Thơ.</w:t>
      </w:r>
    </w:p>
    <w:p w14:paraId="25F2CFD7">
      <w:pPr>
        <w:shd w:val="clear" w:color="auto" w:fill="FFFFFF"/>
        <w:spacing w:before="120" w:after="0" w:line="240" w:lineRule="auto"/>
        <w:ind w:firstLine="706"/>
        <w:jc w:val="both"/>
        <w:textAlignment w:val="baseline"/>
        <w:rPr>
          <w:b/>
          <w:sz w:val="28"/>
          <w:szCs w:val="28"/>
        </w:rPr>
      </w:pPr>
      <w:r>
        <w:rPr>
          <w:b/>
          <w:sz w:val="28"/>
          <w:szCs w:val="28"/>
        </w:rPr>
        <w:t xml:space="preserve">Điều 2. </w:t>
      </w:r>
      <w:r>
        <w:rPr>
          <w:bCs/>
          <w:sz w:val="28"/>
          <w:szCs w:val="28"/>
        </w:rPr>
        <w:t>Chính sách hỗ trợ</w:t>
      </w:r>
    </w:p>
    <w:p w14:paraId="6F1C313D">
      <w:pPr>
        <w:shd w:val="clear" w:color="auto" w:fill="FFFFFF"/>
        <w:spacing w:before="120" w:after="0" w:line="240" w:lineRule="auto"/>
        <w:ind w:firstLine="706"/>
        <w:jc w:val="both"/>
        <w:textAlignment w:val="baseline"/>
        <w:rPr>
          <w:sz w:val="28"/>
          <w:szCs w:val="28"/>
        </w:rPr>
      </w:pPr>
      <w:r>
        <w:rPr>
          <w:sz w:val="28"/>
          <w:szCs w:val="28"/>
        </w:rPr>
        <w:t xml:space="preserve">1. Nội dung hỗ trợ: </w:t>
      </w:r>
      <w:r>
        <w:rPr>
          <w:sz w:val="28"/>
          <w:szCs w:val="28"/>
        </w:rPr>
        <w:t>Hỗ trợ chủ tàu cá cước phí thuê bao vệ tinh thiết bị giám sát hành trình tàu cá (VMS) trong thời hạn 03 năm (36 tháng) kể từ ngày Nghị quyết này có hiệu lực thi hành.</w:t>
      </w:r>
    </w:p>
    <w:p w14:paraId="2799E29A">
      <w:pPr>
        <w:shd w:val="clear" w:color="auto" w:fill="FFFFFF"/>
        <w:spacing w:before="120" w:after="0" w:line="240" w:lineRule="auto"/>
        <w:ind w:firstLine="706"/>
        <w:jc w:val="both"/>
        <w:textAlignment w:val="baseline"/>
        <w:rPr>
          <w:sz w:val="28"/>
          <w:szCs w:val="28"/>
        </w:rPr>
      </w:pPr>
      <w:r>
        <w:rPr>
          <w:sz w:val="28"/>
          <w:szCs w:val="28"/>
        </w:rPr>
        <w:tab/>
      </w:r>
      <w:r>
        <w:rPr>
          <w:sz w:val="28"/>
          <w:szCs w:val="28"/>
        </w:rPr>
        <w:t>2. Mức hỗ trợ, hình thức hỗ trợ</w:t>
      </w:r>
    </w:p>
    <w:p w14:paraId="55970815">
      <w:pPr>
        <w:shd w:val="clear" w:color="auto" w:fill="FFFFFF"/>
        <w:spacing w:before="120" w:after="0" w:line="240" w:lineRule="auto"/>
        <w:ind w:firstLine="706"/>
        <w:jc w:val="both"/>
        <w:textAlignment w:val="baseline"/>
        <w:rPr>
          <w:sz w:val="28"/>
          <w:szCs w:val="28"/>
        </w:rPr>
      </w:pPr>
      <w:r>
        <w:rPr>
          <w:sz w:val="28"/>
          <w:szCs w:val="28"/>
        </w:rPr>
        <w:tab/>
      </w:r>
      <w:r>
        <w:rPr>
          <w:sz w:val="28"/>
          <w:szCs w:val="28"/>
        </w:rPr>
        <w:t xml:space="preserve">a) Mức hỗ trợ: Mỗi tàu cá được hỗ trợ </w:t>
      </w:r>
      <w:r>
        <w:rPr>
          <w:sz w:val="28"/>
          <w:szCs w:val="28"/>
        </w:rPr>
        <w:t>cước phí thuê bao vệ tinh thiết bị giám sát hành trình theo hóa đơn thực tế nhưng tối đa không quá 300.000 đồng/tháng/01 tàu cá.</w:t>
      </w:r>
    </w:p>
    <w:p w14:paraId="1E1DFB2D">
      <w:pPr>
        <w:shd w:val="clear" w:color="auto" w:fill="FFFFFF"/>
        <w:spacing w:before="120" w:after="0" w:line="240" w:lineRule="auto"/>
        <w:ind w:firstLine="706"/>
        <w:jc w:val="both"/>
        <w:textAlignment w:val="baseline"/>
        <w:rPr>
          <w:sz w:val="28"/>
          <w:szCs w:val="28"/>
        </w:rPr>
      </w:pPr>
      <w:r>
        <w:rPr>
          <w:sz w:val="28"/>
          <w:szCs w:val="28"/>
        </w:rPr>
        <w:tab/>
      </w:r>
      <w:r>
        <w:rPr>
          <w:sz w:val="28"/>
          <w:szCs w:val="28"/>
        </w:rPr>
        <w:t>b) Hình thức hỗ trợ: Mỗi tàu cá nhận tiền hỗ trợ 01 lần/năm tiền cước</w:t>
      </w:r>
      <w:r>
        <w:rPr>
          <w:sz w:val="28"/>
          <w:szCs w:val="28"/>
        </w:rPr>
        <w:t xml:space="preserve"> phí thuê bao vệ tinh thiết bị giám sát hành trình lắp trên tàu cá.</w:t>
      </w:r>
      <w:r>
        <w:rPr>
          <w:sz w:val="28"/>
          <w:szCs w:val="28"/>
        </w:rPr>
        <w:t xml:space="preserve">  </w:t>
      </w:r>
    </w:p>
    <w:p w14:paraId="7F39B640">
      <w:pPr>
        <w:shd w:val="clear" w:color="auto" w:fill="FFFFFF"/>
        <w:spacing w:before="120" w:after="0" w:line="240" w:lineRule="auto"/>
        <w:ind w:firstLine="706"/>
        <w:jc w:val="both"/>
        <w:textAlignment w:val="baseline"/>
        <w:rPr>
          <w:sz w:val="28"/>
          <w:szCs w:val="28"/>
        </w:rPr>
      </w:pPr>
      <w:r>
        <w:rPr>
          <w:sz w:val="28"/>
          <w:szCs w:val="28"/>
        </w:rPr>
        <w:tab/>
      </w:r>
      <w:r>
        <w:rPr>
          <w:sz w:val="28"/>
          <w:szCs w:val="28"/>
        </w:rPr>
        <w:t>3. Nguồn kinh phí thực hiện: Ngân sách thành phố.</w:t>
      </w:r>
    </w:p>
    <w:p w14:paraId="6411AB56">
      <w:pPr>
        <w:widowControl w:val="0"/>
        <w:spacing w:before="120" w:after="0" w:line="240" w:lineRule="auto"/>
        <w:ind w:firstLine="706"/>
        <w:jc w:val="both"/>
        <w:rPr>
          <w:b/>
          <w:spacing w:val="-4"/>
          <w:sz w:val="28"/>
          <w:szCs w:val="28"/>
        </w:rPr>
      </w:pPr>
      <w:r>
        <w:rPr>
          <w:b/>
          <w:sz w:val="28"/>
          <w:szCs w:val="28"/>
        </w:rPr>
        <w:t xml:space="preserve">Điều 3. </w:t>
      </w:r>
      <w:r>
        <w:rPr>
          <w:bCs/>
          <w:spacing w:val="-4"/>
          <w:sz w:val="28"/>
          <w:szCs w:val="28"/>
        </w:rPr>
        <w:t>Điều kiện được hỗ trợ</w:t>
      </w:r>
      <w:r>
        <w:rPr>
          <w:b/>
          <w:spacing w:val="-4"/>
          <w:sz w:val="28"/>
          <w:szCs w:val="28"/>
        </w:rPr>
        <w:t xml:space="preserve"> </w:t>
      </w:r>
    </w:p>
    <w:p w14:paraId="14E6E646">
      <w:pPr>
        <w:widowControl w:val="0"/>
        <w:spacing w:before="120" w:after="0" w:line="240" w:lineRule="auto"/>
        <w:ind w:firstLine="706"/>
        <w:jc w:val="both"/>
        <w:rPr>
          <w:spacing w:val="-6"/>
          <w:sz w:val="28"/>
          <w:szCs w:val="28"/>
        </w:rPr>
      </w:pPr>
      <w:r>
        <w:rPr>
          <w:spacing w:val="-6"/>
          <w:sz w:val="28"/>
          <w:szCs w:val="28"/>
        </w:rPr>
        <w:t>Chủ tàu được hưởng chính sách hỗ trợ khi đáp ứng đầy đủ các điều kiện sau:</w:t>
      </w:r>
    </w:p>
    <w:p w14:paraId="791CD1B6">
      <w:pPr>
        <w:widowControl w:val="0"/>
        <w:spacing w:before="120" w:after="0" w:line="240" w:lineRule="auto"/>
        <w:ind w:firstLine="706"/>
        <w:jc w:val="both"/>
        <w:rPr>
          <w:sz w:val="28"/>
          <w:szCs w:val="28"/>
        </w:rPr>
      </w:pPr>
      <w:r>
        <w:rPr>
          <w:sz w:val="28"/>
          <w:szCs w:val="28"/>
        </w:rPr>
        <w:t>1. Tàu cá có chiều dài lớn nhất (L</w:t>
      </w:r>
      <w:r>
        <w:rPr>
          <w:sz w:val="28"/>
          <w:szCs w:val="28"/>
          <w:vertAlign w:val="subscript"/>
        </w:rPr>
        <w:t>max</w:t>
      </w:r>
      <w:r>
        <w:rPr>
          <w:sz w:val="28"/>
          <w:szCs w:val="28"/>
        </w:rPr>
        <w:t>) từ 15 mét trở lên đăng ký tại thành phố Cần Thơ, đã lắp đặt thiết bị giám sát hành trình theo quy định.</w:t>
      </w:r>
    </w:p>
    <w:p w14:paraId="61A61B7E">
      <w:pPr>
        <w:pStyle w:val="8"/>
        <w:spacing w:before="120" w:after="0"/>
        <w:ind w:firstLine="706"/>
        <w:jc w:val="both"/>
        <w:rPr>
          <w:sz w:val="28"/>
          <w:szCs w:val="28"/>
        </w:rPr>
      </w:pPr>
      <w:r>
        <w:rPr>
          <w:sz w:val="28"/>
          <w:szCs w:val="28"/>
        </w:rPr>
        <w:t xml:space="preserve">2. Có đầy đủ các loại giấy tờ còn hiệu lực do cơ quan có thẩm quyền cấp: </w:t>
      </w:r>
      <w:r>
        <w:rPr>
          <w:sz w:val="28"/>
          <w:szCs w:val="28"/>
          <w:lang w:val="vi-VN"/>
        </w:rPr>
        <w:t>(</w:t>
      </w:r>
      <w:r>
        <w:rPr>
          <w:sz w:val="28"/>
          <w:szCs w:val="28"/>
        </w:rPr>
        <w:t>1</w:t>
      </w:r>
      <w:r>
        <w:rPr>
          <w:sz w:val="28"/>
          <w:szCs w:val="28"/>
          <w:lang w:val="vi-VN"/>
        </w:rPr>
        <w:t>) Giấy chứng nhận an toàn kỹ thuật tàu cá</w:t>
      </w:r>
      <w:r>
        <w:rPr>
          <w:sz w:val="28"/>
          <w:szCs w:val="28"/>
        </w:rPr>
        <w:t>;</w:t>
      </w:r>
      <w:r>
        <w:rPr>
          <w:sz w:val="28"/>
          <w:szCs w:val="28"/>
          <w:lang w:val="vi-VN"/>
        </w:rPr>
        <w:t xml:space="preserve"> </w:t>
      </w:r>
      <w:r>
        <w:rPr>
          <w:sz w:val="28"/>
          <w:szCs w:val="28"/>
        </w:rPr>
        <w:t xml:space="preserve">(2) Giấy chứng nhận đăng ký tàu cá; (3) </w:t>
      </w:r>
      <w:r>
        <w:rPr>
          <w:sz w:val="28"/>
          <w:szCs w:val="28"/>
        </w:rPr>
        <w:t>Giấy phép khai thác thủy sản; (4) Giấy chứng nhận cơ sở đủ điều kiện an toàn thực phẩm; (5) Giấy phép sử dụng tần số và thiết bị vô tuyến điện.</w:t>
      </w:r>
    </w:p>
    <w:p w14:paraId="3C798BA9">
      <w:pPr>
        <w:shd w:val="clear" w:color="auto" w:fill="FFFFFF"/>
        <w:spacing w:before="120" w:after="0" w:line="240" w:lineRule="auto"/>
        <w:ind w:firstLine="706"/>
        <w:jc w:val="both"/>
        <w:textAlignment w:val="baseline"/>
        <w:rPr>
          <w:b/>
          <w:sz w:val="28"/>
          <w:szCs w:val="28"/>
        </w:rPr>
      </w:pPr>
      <w:r>
        <w:rPr>
          <w:b/>
          <w:sz w:val="28"/>
          <w:szCs w:val="28"/>
        </w:rPr>
        <w:t xml:space="preserve">Điều 4. </w:t>
      </w:r>
      <w:r>
        <w:rPr>
          <w:bCs/>
          <w:sz w:val="28"/>
          <w:szCs w:val="28"/>
        </w:rPr>
        <w:t>Những trường hợp không được hỗ trợ</w:t>
      </w:r>
    </w:p>
    <w:p w14:paraId="1DEFB8E6">
      <w:pPr>
        <w:shd w:val="clear" w:color="auto" w:fill="FFFFFF"/>
        <w:spacing w:before="120" w:after="0" w:line="240" w:lineRule="auto"/>
        <w:ind w:firstLine="706"/>
        <w:jc w:val="both"/>
        <w:textAlignment w:val="baseline"/>
        <w:rPr>
          <w:sz w:val="28"/>
          <w:szCs w:val="28"/>
        </w:rPr>
      </w:pPr>
      <w:r>
        <w:rPr>
          <w:sz w:val="28"/>
          <w:szCs w:val="28"/>
        </w:rPr>
        <w:tab/>
      </w:r>
      <w:r>
        <w:rPr>
          <w:sz w:val="28"/>
          <w:szCs w:val="28"/>
        </w:rPr>
        <w:t>Chủ tàu có tàu cá vi phạm một trong những hành vi sau:</w:t>
      </w:r>
    </w:p>
    <w:p w14:paraId="156FF385">
      <w:pPr>
        <w:shd w:val="clear" w:color="auto" w:fill="FFFFFF"/>
        <w:spacing w:before="120" w:after="0" w:line="240" w:lineRule="auto"/>
        <w:ind w:firstLine="706"/>
        <w:jc w:val="both"/>
        <w:textAlignment w:val="baseline"/>
        <w:rPr>
          <w:rStyle w:val="28"/>
          <w:b w:val="0"/>
          <w:color w:val="auto"/>
        </w:rPr>
      </w:pPr>
      <w:r>
        <w:rPr>
          <w:sz w:val="28"/>
          <w:szCs w:val="28"/>
        </w:rPr>
        <w:tab/>
      </w:r>
      <w:r>
        <w:rPr>
          <w:rFonts w:eastAsia="Times New Roman"/>
          <w:sz w:val="28"/>
          <w:szCs w:val="28"/>
        </w:rPr>
        <w:t xml:space="preserve">1. Hành vi được coi là khai thác thủy sản bất hợp pháp quy định tại khoản 1 Điều 60 </w:t>
      </w:r>
      <w:r>
        <w:rPr>
          <w:sz w:val="28"/>
          <w:szCs w:val="28"/>
        </w:rPr>
        <w:t xml:space="preserve">Luật Thủy sản </w:t>
      </w:r>
      <w:r>
        <w:rPr>
          <w:rStyle w:val="28"/>
          <w:b w:val="0"/>
          <w:color w:val="auto"/>
        </w:rPr>
        <w:t>số 18/2017/QH14.</w:t>
      </w:r>
    </w:p>
    <w:p w14:paraId="1E253B87">
      <w:pPr>
        <w:shd w:val="clear" w:color="auto" w:fill="FFFFFF"/>
        <w:spacing w:before="120" w:after="0" w:line="240" w:lineRule="auto"/>
        <w:ind w:firstLine="706"/>
        <w:jc w:val="both"/>
        <w:textAlignment w:val="baseline"/>
        <w:rPr>
          <w:sz w:val="28"/>
          <w:szCs w:val="28"/>
        </w:rPr>
      </w:pPr>
      <w:r>
        <w:rPr>
          <w:rStyle w:val="28"/>
          <w:b w:val="0"/>
          <w:color w:val="auto"/>
        </w:rPr>
        <w:tab/>
      </w:r>
      <w:r>
        <w:rPr>
          <w:sz w:val="28"/>
          <w:szCs w:val="28"/>
        </w:rPr>
        <w:t>2. Không duy trì hoặc vô hiệu hóa thiết bị giám sát hành trình theo quy định (trừ trường hợp bất khả kháng).</w:t>
      </w:r>
    </w:p>
    <w:p w14:paraId="073B1D39">
      <w:pPr>
        <w:shd w:val="clear" w:color="auto" w:fill="FFFFFF"/>
        <w:spacing w:before="120" w:after="0" w:line="240" w:lineRule="auto"/>
        <w:ind w:firstLine="706"/>
        <w:jc w:val="both"/>
        <w:textAlignment w:val="baseline"/>
        <w:rPr>
          <w:i/>
          <w:sz w:val="28"/>
          <w:szCs w:val="28"/>
        </w:rPr>
      </w:pPr>
      <w:r>
        <w:rPr>
          <w:sz w:val="28"/>
          <w:szCs w:val="28"/>
        </w:rPr>
        <w:tab/>
      </w:r>
      <w:r>
        <w:rPr>
          <w:i/>
          <w:sz w:val="28"/>
          <w:szCs w:val="28"/>
        </w:rPr>
        <w:t>(</w:t>
      </w:r>
      <w:r>
        <w:rPr>
          <w:rFonts w:ascii="TimesNewRomanPS-ItalicMT" w:hAnsi="TimesNewRomanPS-ItalicMT"/>
          <w:i/>
          <w:iCs/>
          <w:sz w:val="28"/>
          <w:szCs w:val="28"/>
        </w:rPr>
        <w:t xml:space="preserve">Dựa trên dữ liệu phần mềm hệ thống giám sát tàu cá </w:t>
      </w:r>
      <w:r>
        <w:rPr>
          <w:rStyle w:val="28"/>
          <w:b w:val="0"/>
          <w:i/>
          <w:color w:val="auto"/>
        </w:rPr>
        <w:t>của</w:t>
      </w:r>
      <w:r>
        <w:rPr>
          <w:b/>
          <w:i/>
          <w:sz w:val="28"/>
          <w:szCs w:val="28"/>
          <w:shd w:val="clear" w:color="auto" w:fill="FFFFFF"/>
        </w:rPr>
        <w:t xml:space="preserve"> </w:t>
      </w:r>
      <w:r>
        <w:rPr>
          <w:i/>
          <w:sz w:val="28"/>
          <w:szCs w:val="28"/>
          <w:shd w:val="clear" w:color="auto" w:fill="FFFFFF"/>
        </w:rPr>
        <w:t>cơ quan quản lý nhà nước về thủy sản thuộc</w:t>
      </w:r>
      <w:r>
        <w:rPr>
          <w:rFonts w:ascii="TimesNewRomanPS-ItalicMT" w:hAnsi="TimesNewRomanPS-ItalicMT"/>
          <w:i/>
          <w:iCs/>
          <w:sz w:val="28"/>
          <w:szCs w:val="28"/>
        </w:rPr>
        <w:t xml:space="preserve"> Bộ Nông nghiệp và Môi trường).</w:t>
      </w:r>
    </w:p>
    <w:p w14:paraId="15696457">
      <w:pPr>
        <w:shd w:val="clear" w:color="auto" w:fill="FFFFFF"/>
        <w:spacing w:before="120" w:after="0" w:line="240" w:lineRule="auto"/>
        <w:ind w:firstLine="706"/>
        <w:jc w:val="both"/>
        <w:textAlignment w:val="baseline"/>
        <w:rPr>
          <w:sz w:val="28"/>
          <w:szCs w:val="28"/>
        </w:rPr>
      </w:pPr>
      <w:r>
        <w:rPr>
          <w:sz w:val="28"/>
          <w:szCs w:val="28"/>
        </w:rPr>
        <w:tab/>
      </w:r>
      <w:r>
        <w:rPr>
          <w:sz w:val="28"/>
          <w:szCs w:val="28"/>
        </w:rPr>
        <w:t xml:space="preserve">3. </w:t>
      </w:r>
      <w:r>
        <w:rPr>
          <w:sz w:val="28"/>
          <w:szCs w:val="28"/>
        </w:rPr>
        <w:t>Không cung cấp đầy đủ các loại giấy tờ được nêu tại khoản 2 Điều 3 của Nghị quyết này.</w:t>
      </w:r>
      <w:r>
        <w:rPr>
          <w:sz w:val="28"/>
          <w:szCs w:val="28"/>
        </w:rPr>
        <w:t xml:space="preserve"> </w:t>
      </w:r>
    </w:p>
    <w:p w14:paraId="1D3F6B0B">
      <w:pPr>
        <w:shd w:val="clear" w:color="auto" w:fill="FFFFFF"/>
        <w:spacing w:before="120" w:after="0" w:line="240" w:lineRule="auto"/>
        <w:ind w:firstLine="706"/>
        <w:jc w:val="both"/>
        <w:textAlignment w:val="baseline"/>
        <w:rPr>
          <w:b/>
          <w:sz w:val="28"/>
          <w:szCs w:val="28"/>
        </w:rPr>
      </w:pPr>
      <w:r>
        <w:rPr>
          <w:sz w:val="28"/>
          <w:szCs w:val="28"/>
        </w:rPr>
        <w:tab/>
      </w:r>
      <w:r>
        <w:rPr>
          <w:b/>
          <w:bCs/>
          <w:sz w:val="28"/>
          <w:szCs w:val="28"/>
          <w:shd w:val="clear" w:color="auto" w:fill="FFFFFF"/>
        </w:rPr>
        <w:t xml:space="preserve">Điều 5. </w:t>
      </w:r>
      <w:r>
        <w:rPr>
          <w:sz w:val="28"/>
          <w:szCs w:val="28"/>
          <w:shd w:val="clear" w:color="auto" w:fill="FFFFFF"/>
        </w:rPr>
        <w:t>Tổ chức thực hiện</w:t>
      </w:r>
    </w:p>
    <w:p w14:paraId="24FA3D0B">
      <w:pPr>
        <w:shd w:val="clear" w:color="auto" w:fill="FFFFFF"/>
        <w:spacing w:before="120" w:after="0" w:line="240" w:lineRule="auto"/>
        <w:ind w:firstLine="706"/>
        <w:jc w:val="both"/>
        <w:textAlignment w:val="baseline"/>
        <w:rPr>
          <w:sz w:val="28"/>
          <w:szCs w:val="28"/>
        </w:rPr>
      </w:pPr>
      <w:r>
        <w:rPr>
          <w:sz w:val="28"/>
          <w:szCs w:val="28"/>
        </w:rPr>
        <w:tab/>
      </w:r>
      <w:r>
        <w:rPr>
          <w:sz w:val="28"/>
          <w:szCs w:val="28"/>
        </w:rPr>
        <w:t>1. Hội đồng nhân dân thành phố giao Ủy ban nhân dân thành phố tổ chức thực hiện Nghị quyết này theo chức năng, nhiệm vụ, quyền hạn được pháp luật quy định.</w:t>
      </w:r>
    </w:p>
    <w:p w14:paraId="2F04A3BE">
      <w:pPr>
        <w:shd w:val="clear" w:color="auto" w:fill="FFFFFF"/>
        <w:spacing w:before="120" w:after="0" w:line="240" w:lineRule="auto"/>
        <w:ind w:firstLine="706"/>
        <w:jc w:val="both"/>
        <w:textAlignment w:val="baseline"/>
        <w:rPr>
          <w:sz w:val="28"/>
          <w:szCs w:val="28"/>
        </w:rPr>
      </w:pPr>
      <w:r>
        <w:rPr>
          <w:sz w:val="28"/>
          <w:szCs w:val="28"/>
        </w:rPr>
        <w:tab/>
      </w:r>
      <w:r>
        <w:rPr>
          <w:sz w:val="28"/>
          <w:szCs w:val="28"/>
        </w:rPr>
        <w:t>2. Hội đồng nhân dân giao Thường trực Hội đồng nhân dân, các Ban của Hội đồng nhân dân, Tổ đại biểu Hội đồng nhân dân và đại biểu Hội đồng nhân dân thành phố theo chức năng, nhiệm vụ thường xuyên giám sát việc triển khai thực hiện Nghị quyết.</w:t>
      </w:r>
    </w:p>
    <w:bookmarkEnd w:id="0"/>
    <w:p w14:paraId="0514E7F3">
      <w:pPr>
        <w:widowControl w:val="0"/>
        <w:tabs>
          <w:tab w:val="left" w:pos="360"/>
          <w:tab w:val="left" w:pos="720"/>
          <w:tab w:val="left" w:pos="1080"/>
          <w:tab w:val="left" w:pos="1440"/>
          <w:tab w:val="left" w:pos="1800"/>
          <w:tab w:val="right" w:pos="8640"/>
        </w:tabs>
        <w:spacing w:before="120" w:after="0" w:line="240" w:lineRule="auto"/>
        <w:ind w:firstLine="706"/>
        <w:jc w:val="both"/>
        <w:rPr>
          <w:b/>
          <w:sz w:val="28"/>
          <w:szCs w:val="28"/>
        </w:rPr>
      </w:pPr>
      <w:r>
        <w:rPr>
          <w:rFonts w:eastAsia="Times New Roman"/>
          <w:b/>
          <w:bCs/>
          <w:sz w:val="28"/>
          <w:szCs w:val="28"/>
        </w:rPr>
        <w:t xml:space="preserve">Điều 6.  </w:t>
      </w:r>
      <w:r>
        <w:rPr>
          <w:bCs/>
          <w:sz w:val="28"/>
          <w:szCs w:val="28"/>
        </w:rPr>
        <w:t>Hiệu lực thi hành</w:t>
      </w:r>
    </w:p>
    <w:p w14:paraId="7C00CB0E">
      <w:pPr>
        <w:widowControl w:val="0"/>
        <w:tabs>
          <w:tab w:val="left" w:pos="360"/>
          <w:tab w:val="left" w:pos="720"/>
          <w:tab w:val="left" w:pos="1080"/>
          <w:tab w:val="left" w:pos="1440"/>
          <w:tab w:val="left" w:pos="1800"/>
          <w:tab w:val="right" w:pos="8640"/>
        </w:tabs>
        <w:spacing w:before="120" w:after="0" w:line="240" w:lineRule="auto"/>
        <w:ind w:firstLine="706"/>
        <w:jc w:val="both"/>
        <w:rPr>
          <w:sz w:val="28"/>
          <w:szCs w:val="28"/>
        </w:rPr>
      </w:pPr>
      <w:r>
        <w:rPr>
          <w:bCs/>
          <w:sz w:val="28"/>
          <w:szCs w:val="28"/>
        </w:rPr>
        <w:t xml:space="preserve">1. </w:t>
      </w:r>
      <w:r>
        <w:rPr>
          <w:sz w:val="28"/>
          <w:szCs w:val="28"/>
        </w:rPr>
        <w:t>Nghị quyết này có hiệu lực thi hành kể từ ngày 01 tháng 5 năm 2026.</w:t>
      </w:r>
    </w:p>
    <w:p w14:paraId="6CB711E3">
      <w:pPr>
        <w:widowControl w:val="0"/>
        <w:tabs>
          <w:tab w:val="left" w:pos="360"/>
          <w:tab w:val="left" w:pos="720"/>
          <w:tab w:val="left" w:pos="1080"/>
          <w:tab w:val="left" w:pos="1440"/>
          <w:tab w:val="left" w:pos="1800"/>
          <w:tab w:val="right" w:pos="8640"/>
        </w:tabs>
        <w:spacing w:before="120" w:after="0" w:line="240" w:lineRule="auto"/>
        <w:ind w:firstLine="706"/>
        <w:jc w:val="both"/>
        <w:rPr>
          <w:bCs/>
          <w:sz w:val="28"/>
          <w:szCs w:val="28"/>
        </w:rPr>
      </w:pPr>
      <w:r>
        <w:rPr>
          <w:rStyle w:val="23"/>
          <w:color w:val="auto"/>
        </w:rPr>
        <w:t>2. Nghị quyết số 22/2024/NQ-HĐND ngày 06 tháng 12 năm 2024 của Hội đồng nhân dân tỉnh Sóc Trăng quy định chính sách hỗ trợ cước phí thuê bao vệ tinh thiết bị giám sát hành trình tàu cá (VMS) trên địa bàn tỉnh Sóc Trăng hết hiệu lực kể từ ngày Nghị quyết này có hiệu lực thi hành.</w:t>
      </w:r>
    </w:p>
    <w:p w14:paraId="4EA33A2C">
      <w:pPr>
        <w:widowControl w:val="0"/>
        <w:tabs>
          <w:tab w:val="left" w:pos="360"/>
          <w:tab w:val="left" w:pos="720"/>
          <w:tab w:val="left" w:pos="1080"/>
          <w:tab w:val="left" w:pos="1440"/>
          <w:tab w:val="left" w:pos="1800"/>
          <w:tab w:val="right" w:pos="8640"/>
        </w:tabs>
        <w:spacing w:before="120" w:after="0" w:line="240" w:lineRule="auto"/>
        <w:ind w:firstLine="706"/>
        <w:jc w:val="both"/>
        <w:rPr>
          <w:bCs/>
          <w:sz w:val="28"/>
          <w:szCs w:val="28"/>
        </w:rPr>
      </w:pPr>
      <w:r>
        <w:rPr>
          <w:bCs/>
          <w:sz w:val="28"/>
          <w:szCs w:val="28"/>
        </w:rPr>
        <w:t xml:space="preserve">3. </w:t>
      </w:r>
      <w:r>
        <w:rPr>
          <w:sz w:val="28"/>
          <w:szCs w:val="28"/>
        </w:rPr>
        <w:t>Trường hợp văn bản viện dẫn tại Nghị quyết này được sửa đổi, bổ sung hoặc thay thế bằng văn bản mới thì được áp dụng theo các văn bản được sửa đổi bổ sung hoặc thay thế.</w:t>
      </w:r>
    </w:p>
    <w:p w14:paraId="4AD048C2">
      <w:pPr>
        <w:shd w:val="clear" w:color="auto" w:fill="FFFFFF"/>
        <w:spacing w:before="120" w:after="120" w:line="240" w:lineRule="auto"/>
        <w:ind w:firstLine="706"/>
        <w:jc w:val="both"/>
        <w:textAlignment w:val="baseline"/>
        <w:rPr>
          <w:i/>
          <w:iCs/>
          <w:sz w:val="28"/>
          <w:szCs w:val="28"/>
        </w:rPr>
      </w:pPr>
      <w:r>
        <w:rPr>
          <w:i/>
          <w:iCs/>
          <w:sz w:val="28"/>
          <w:szCs w:val="28"/>
        </w:rPr>
        <w:tab/>
      </w:r>
      <w:r>
        <w:rPr>
          <w:i/>
          <w:iCs/>
          <w:sz w:val="28"/>
          <w:szCs w:val="28"/>
        </w:rPr>
        <w:t>Nghị quyết này đã được Hội đồng nhân dân thành phố Cần Thơ khóa XI, Kỳ họp thứ Hai thông qua ngày 29 tháng 4 năm 2026./.</w:t>
      </w:r>
    </w:p>
    <w:tbl>
      <w:tblPr>
        <w:tblStyle w:val="6"/>
        <w:tblW w:w="5000" w:type="pct"/>
        <w:tblInd w:w="0" w:type="dxa"/>
        <w:shd w:val="clear" w:color="auto" w:fill="FFFFFF"/>
        <w:tblLayout w:type="autofit"/>
        <w:tblCellMar>
          <w:top w:w="0" w:type="dxa"/>
          <w:left w:w="0" w:type="dxa"/>
          <w:bottom w:w="0" w:type="dxa"/>
          <w:right w:w="0" w:type="dxa"/>
        </w:tblCellMar>
      </w:tblPr>
      <w:tblGrid>
        <w:gridCol w:w="5640"/>
        <w:gridCol w:w="3648"/>
      </w:tblGrid>
      <w:tr w14:paraId="4B8E526A">
        <w:tblPrEx>
          <w:shd w:val="clear" w:color="auto" w:fill="FFFFFF"/>
          <w:tblCellMar>
            <w:top w:w="0" w:type="dxa"/>
            <w:left w:w="0" w:type="dxa"/>
            <w:bottom w:w="0" w:type="dxa"/>
            <w:right w:w="0" w:type="dxa"/>
          </w:tblCellMar>
        </w:tblPrEx>
        <w:tc>
          <w:tcPr>
            <w:tcW w:w="3036" w:type="pct"/>
            <w:shd w:val="clear" w:color="auto" w:fill="FFFFFF"/>
            <w:tcMar>
              <w:top w:w="0" w:type="dxa"/>
              <w:left w:w="108" w:type="dxa"/>
              <w:bottom w:w="0" w:type="dxa"/>
              <w:right w:w="108" w:type="dxa"/>
            </w:tcMar>
          </w:tcPr>
          <w:p w14:paraId="38FDA557">
            <w:pPr>
              <w:spacing w:before="120" w:after="0" w:line="240" w:lineRule="auto"/>
              <w:rPr>
                <w:rFonts w:eastAsia="Times New Roman"/>
                <w:b/>
                <w:bCs/>
                <w:i/>
                <w:iCs/>
                <w:sz w:val="24"/>
                <w:szCs w:val="24"/>
              </w:rPr>
            </w:pPr>
            <w:r>
              <w:rPr>
                <w:rFonts w:eastAsia="Times New Roman"/>
                <w:szCs w:val="26"/>
              </w:rPr>
              <w:t> </w:t>
            </w:r>
            <w:r>
              <w:rPr>
                <w:rFonts w:eastAsia="Times New Roman"/>
                <w:b/>
                <w:bCs/>
                <w:i/>
                <w:iCs/>
                <w:sz w:val="24"/>
                <w:szCs w:val="24"/>
              </w:rPr>
              <w:t>Nơi nhận:</w:t>
            </w:r>
          </w:p>
          <w:p w14:paraId="7B761EC1">
            <w:pPr>
              <w:spacing w:before="0" w:after="0" w:line="240" w:lineRule="auto"/>
              <w:rPr>
                <w:sz w:val="22"/>
              </w:rPr>
            </w:pPr>
            <w:r>
              <w:rPr>
                <w:sz w:val="22"/>
                <w:lang w:val="fr-FR"/>
              </w:rPr>
              <w:t xml:space="preserve">- </w:t>
            </w:r>
            <w:r>
              <w:rPr>
                <w:sz w:val="22"/>
              </w:rPr>
              <w:t xml:space="preserve">Ủy ban Thường vụ Quốc hội; </w:t>
            </w:r>
          </w:p>
          <w:p w14:paraId="35A45D2D">
            <w:pPr>
              <w:spacing w:before="0" w:after="0" w:line="240" w:lineRule="auto"/>
              <w:rPr>
                <w:sz w:val="22"/>
              </w:rPr>
            </w:pPr>
            <w:r>
              <w:rPr>
                <w:sz w:val="22"/>
              </w:rPr>
              <w:t xml:space="preserve">- Chính phủ; </w:t>
            </w:r>
          </w:p>
          <w:p w14:paraId="26B96A1C">
            <w:pPr>
              <w:spacing w:before="0" w:after="0" w:line="240" w:lineRule="auto"/>
              <w:rPr>
                <w:sz w:val="22"/>
              </w:rPr>
            </w:pPr>
            <w:r>
              <w:rPr>
                <w:sz w:val="22"/>
              </w:rPr>
              <w:t xml:space="preserve">- Bộ Tài chính; </w:t>
            </w:r>
          </w:p>
          <w:p w14:paraId="340239E7">
            <w:pPr>
              <w:spacing w:before="0" w:after="0" w:line="240" w:lineRule="auto"/>
              <w:rPr>
                <w:sz w:val="22"/>
              </w:rPr>
            </w:pPr>
            <w:r>
              <w:rPr>
                <w:sz w:val="22"/>
              </w:rPr>
              <w:t xml:space="preserve">- Bộ Nông nghiệp và Môi trường; </w:t>
            </w:r>
          </w:p>
          <w:p w14:paraId="06F46B04">
            <w:pPr>
              <w:spacing w:before="0" w:after="0" w:line="240" w:lineRule="auto"/>
              <w:rPr>
                <w:sz w:val="22"/>
              </w:rPr>
            </w:pPr>
            <w:r>
              <w:rPr>
                <w:sz w:val="22"/>
              </w:rPr>
              <w:t>- Bộ Tư pháp (Cục KTVB&amp;TCTHPL);</w:t>
            </w:r>
          </w:p>
          <w:p w14:paraId="762BCDE8">
            <w:pPr>
              <w:spacing w:before="0" w:after="0" w:line="240" w:lineRule="auto"/>
              <w:rPr>
                <w:sz w:val="22"/>
              </w:rPr>
            </w:pPr>
            <w:r>
              <w:rPr>
                <w:sz w:val="22"/>
              </w:rPr>
              <w:t xml:space="preserve">- Đoàn đại biểu Quốc hội thành phố; </w:t>
            </w:r>
          </w:p>
          <w:p w14:paraId="4891F9A8">
            <w:pPr>
              <w:spacing w:before="0" w:after="0" w:line="240" w:lineRule="auto"/>
              <w:rPr>
                <w:sz w:val="22"/>
              </w:rPr>
            </w:pPr>
            <w:r>
              <w:rPr>
                <w:sz w:val="22"/>
              </w:rPr>
              <w:t xml:space="preserve">- Thường trực Thành ủy; </w:t>
            </w:r>
          </w:p>
          <w:p w14:paraId="7322F9C7">
            <w:pPr>
              <w:spacing w:before="0" w:after="0" w:line="240" w:lineRule="auto"/>
              <w:rPr>
                <w:sz w:val="22"/>
              </w:rPr>
            </w:pPr>
            <w:r>
              <w:rPr>
                <w:sz w:val="22"/>
              </w:rPr>
              <w:t xml:space="preserve">- Thường trực HĐND thành phố; </w:t>
            </w:r>
          </w:p>
          <w:p w14:paraId="5122478B">
            <w:pPr>
              <w:spacing w:before="0" w:after="0" w:line="240" w:lineRule="auto"/>
              <w:rPr>
                <w:sz w:val="22"/>
              </w:rPr>
            </w:pPr>
            <w:r>
              <w:rPr>
                <w:sz w:val="22"/>
              </w:rPr>
              <w:t xml:space="preserve">- UBND thành phố; </w:t>
            </w:r>
          </w:p>
          <w:p w14:paraId="71424CA1">
            <w:pPr>
              <w:spacing w:before="0" w:after="0" w:line="240" w:lineRule="auto"/>
              <w:rPr>
                <w:sz w:val="22"/>
              </w:rPr>
            </w:pPr>
            <w:r>
              <w:rPr>
                <w:sz w:val="22"/>
              </w:rPr>
              <w:t xml:space="preserve">- UBMTTQVN thành phố; </w:t>
            </w:r>
          </w:p>
          <w:p w14:paraId="09353607">
            <w:pPr>
              <w:spacing w:before="0" w:after="0" w:line="240" w:lineRule="auto"/>
              <w:rPr>
                <w:sz w:val="22"/>
              </w:rPr>
            </w:pPr>
            <w:r>
              <w:rPr>
                <w:sz w:val="22"/>
              </w:rPr>
              <w:t xml:space="preserve">- Đại biểu HĐND thành phố; </w:t>
            </w:r>
          </w:p>
          <w:p w14:paraId="44AAF496">
            <w:pPr>
              <w:spacing w:before="0" w:after="0" w:line="240" w:lineRule="auto"/>
              <w:rPr>
                <w:sz w:val="22"/>
              </w:rPr>
            </w:pPr>
            <w:r>
              <w:rPr>
                <w:sz w:val="22"/>
              </w:rPr>
              <w:t xml:space="preserve">- Sở, ban, ngành, đoàn thể thành phố; </w:t>
            </w:r>
          </w:p>
          <w:p w14:paraId="1FC6F6E7">
            <w:pPr>
              <w:spacing w:before="0" w:after="0" w:line="240" w:lineRule="auto"/>
              <w:rPr>
                <w:sz w:val="22"/>
              </w:rPr>
            </w:pPr>
            <w:r>
              <w:rPr>
                <w:sz w:val="22"/>
              </w:rPr>
              <w:t>- Văn phòng UBND thành phố (Công báo thành phố);</w:t>
            </w:r>
          </w:p>
          <w:p w14:paraId="62AD7C13">
            <w:pPr>
              <w:spacing w:before="0" w:after="0" w:line="240" w:lineRule="auto"/>
              <w:rPr>
                <w:sz w:val="22"/>
              </w:rPr>
            </w:pPr>
            <w:r>
              <w:rPr>
                <w:sz w:val="22"/>
              </w:rPr>
              <w:t xml:space="preserve">- Thường trực HĐND, UBND các xã, phường; </w:t>
            </w:r>
          </w:p>
          <w:p w14:paraId="205EC353">
            <w:pPr>
              <w:spacing w:before="0" w:after="0" w:line="240" w:lineRule="auto"/>
              <w:rPr>
                <w:sz w:val="22"/>
              </w:rPr>
            </w:pPr>
            <w:r>
              <w:rPr>
                <w:sz w:val="22"/>
              </w:rPr>
              <w:t xml:space="preserve">- Trung tâm Lưu trữ lịch sử thành phố; </w:t>
            </w:r>
          </w:p>
          <w:p w14:paraId="0C1BC10F">
            <w:pPr>
              <w:spacing w:before="0" w:after="0" w:line="240" w:lineRule="auto"/>
              <w:rPr>
                <w:sz w:val="22"/>
              </w:rPr>
            </w:pPr>
            <w:r>
              <w:rPr>
                <w:sz w:val="22"/>
              </w:rPr>
              <w:t xml:space="preserve">- Báo và Phát thanh, Truyền hình Cần Thơ; </w:t>
            </w:r>
          </w:p>
          <w:p w14:paraId="50742847">
            <w:pPr>
              <w:spacing w:before="0" w:after="0" w:line="240" w:lineRule="auto"/>
              <w:rPr>
                <w:sz w:val="22"/>
                <w:lang w:val="fr-FR"/>
              </w:rPr>
            </w:pPr>
            <w:r>
              <w:rPr>
                <w:sz w:val="22"/>
              </w:rPr>
              <w:t>- Lưu: VT.</w:t>
            </w:r>
          </w:p>
          <w:p w14:paraId="5EA50130">
            <w:pPr>
              <w:spacing w:before="0" w:after="0" w:line="240" w:lineRule="auto"/>
              <w:rPr>
                <w:rFonts w:eastAsia="Times New Roman"/>
                <w:sz w:val="22"/>
              </w:rPr>
            </w:pPr>
          </w:p>
          <w:p w14:paraId="3102668B">
            <w:pPr>
              <w:spacing w:before="0" w:after="0" w:line="240" w:lineRule="auto"/>
              <w:rPr>
                <w:rFonts w:eastAsia="Times New Roman"/>
                <w:sz w:val="28"/>
                <w:szCs w:val="28"/>
              </w:rPr>
            </w:pPr>
          </w:p>
        </w:tc>
        <w:tc>
          <w:tcPr>
            <w:tcW w:w="1964" w:type="pct"/>
            <w:shd w:val="clear" w:color="auto" w:fill="FFFFFF"/>
            <w:tcMar>
              <w:top w:w="0" w:type="dxa"/>
              <w:left w:w="108" w:type="dxa"/>
              <w:bottom w:w="0" w:type="dxa"/>
              <w:right w:w="108" w:type="dxa"/>
            </w:tcMar>
          </w:tcPr>
          <w:p w14:paraId="4424A016">
            <w:pPr>
              <w:spacing w:before="120" w:after="0" w:line="240" w:lineRule="auto"/>
              <w:jc w:val="center"/>
              <w:rPr>
                <w:rFonts w:eastAsia="Times New Roman"/>
                <w:b/>
                <w:bCs/>
                <w:szCs w:val="26"/>
              </w:rPr>
            </w:pPr>
            <w:r>
              <w:rPr>
                <w:rFonts w:eastAsia="Times New Roman"/>
                <w:b/>
                <w:bCs/>
                <w:szCs w:val="26"/>
              </w:rPr>
              <w:t>CHỦ TỊCH</w:t>
            </w:r>
            <w:r>
              <w:rPr>
                <w:rFonts w:eastAsia="Times New Roman"/>
                <w:szCs w:val="26"/>
              </w:rPr>
              <w:br w:type="textWrapping"/>
            </w:r>
          </w:p>
          <w:p w14:paraId="4C1E51AB">
            <w:pPr>
              <w:spacing w:before="120" w:after="0" w:line="240" w:lineRule="auto"/>
              <w:jc w:val="center"/>
              <w:rPr>
                <w:rFonts w:eastAsia="Times New Roman"/>
                <w:b/>
                <w:bCs/>
                <w:szCs w:val="26"/>
              </w:rPr>
            </w:pPr>
          </w:p>
          <w:p w14:paraId="422FF99E">
            <w:pPr>
              <w:spacing w:before="120" w:after="0" w:line="240" w:lineRule="auto"/>
              <w:jc w:val="center"/>
              <w:rPr>
                <w:rFonts w:eastAsia="Times New Roman"/>
                <w:b/>
                <w:bCs/>
                <w:szCs w:val="26"/>
              </w:rPr>
            </w:pPr>
          </w:p>
          <w:p w14:paraId="4587FCD6">
            <w:pPr>
              <w:spacing w:before="120" w:after="0" w:line="240" w:lineRule="auto"/>
              <w:jc w:val="center"/>
              <w:rPr>
                <w:rFonts w:eastAsia="Times New Roman"/>
                <w:b/>
                <w:bCs/>
                <w:szCs w:val="26"/>
              </w:rPr>
            </w:pPr>
          </w:p>
          <w:p w14:paraId="06F1E38F">
            <w:pPr>
              <w:spacing w:before="120" w:after="0" w:line="240" w:lineRule="auto"/>
              <w:jc w:val="center"/>
              <w:rPr>
                <w:rFonts w:eastAsia="Times New Roman"/>
                <w:sz w:val="28"/>
                <w:szCs w:val="28"/>
              </w:rPr>
            </w:pPr>
          </w:p>
          <w:p w14:paraId="6CC32114">
            <w:pPr>
              <w:spacing w:before="120" w:after="0" w:line="240" w:lineRule="auto"/>
              <w:jc w:val="center"/>
              <w:rPr>
                <w:rFonts w:eastAsia="Times New Roman"/>
                <w:sz w:val="28"/>
                <w:szCs w:val="28"/>
              </w:rPr>
            </w:pPr>
          </w:p>
          <w:p w14:paraId="2788F0E5">
            <w:pPr>
              <w:spacing w:before="120" w:after="0" w:line="240" w:lineRule="auto"/>
              <w:jc w:val="center"/>
              <w:rPr>
                <w:rFonts w:eastAsia="Times New Roman"/>
                <w:b/>
                <w:sz w:val="28"/>
                <w:szCs w:val="28"/>
              </w:rPr>
            </w:pPr>
            <w:r>
              <w:rPr>
                <w:rFonts w:eastAsia="Times New Roman"/>
                <w:b/>
                <w:sz w:val="28"/>
                <w:szCs w:val="28"/>
              </w:rPr>
              <w:t>Đồng Văn Thanh</w:t>
            </w:r>
          </w:p>
        </w:tc>
      </w:tr>
    </w:tbl>
    <w:p w14:paraId="3608FD5C">
      <w:pPr>
        <w:tabs>
          <w:tab w:val="left" w:pos="1145"/>
        </w:tabs>
        <w:rPr>
          <w:szCs w:val="26"/>
        </w:rPr>
      </w:pPr>
    </w:p>
    <w:p w14:paraId="4767FAB3">
      <w:pPr>
        <w:tabs>
          <w:tab w:val="left" w:pos="1145"/>
        </w:tabs>
        <w:rPr>
          <w:szCs w:val="26"/>
        </w:rPr>
      </w:pPr>
    </w:p>
    <w:p w14:paraId="280FEF78">
      <w:pPr>
        <w:tabs>
          <w:tab w:val="left" w:pos="1145"/>
        </w:tabs>
        <w:rPr>
          <w:szCs w:val="26"/>
        </w:rPr>
      </w:pPr>
    </w:p>
    <w:p w14:paraId="43715354">
      <w:pPr>
        <w:tabs>
          <w:tab w:val="left" w:pos="1145"/>
        </w:tabs>
        <w:rPr>
          <w:b/>
          <w:i/>
          <w:szCs w:val="26"/>
        </w:rPr>
      </w:pPr>
    </w:p>
    <w:sectPr>
      <w:headerReference r:id="rId6" w:type="first"/>
      <w:headerReference r:id="rId5" w:type="default"/>
      <w:footerReference r:id="rId7" w:type="default"/>
      <w:footerReference r:id="rId8" w:type="even"/>
      <w:pgSz w:w="11907" w:h="16840"/>
      <w:pgMar w:top="1134" w:right="1134" w:bottom="1134" w:left="1701" w:header="720" w:footer="720" w:gutter="0"/>
      <w:pgNumType w:start="1"/>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imesNewRomanPS-ItalicMT">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C2DB2">
    <w:pPr>
      <w:pStyle w:val="14"/>
      <w:framePr w:wrap="around" w:vAnchor="text" w:hAnchor="page" w:x="5842" w:y="57"/>
      <w:rPr>
        <w:rStyle w:val="20"/>
      </w:rPr>
    </w:pPr>
  </w:p>
  <w:p w14:paraId="15D1C282">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EAD3B">
    <w:pPr>
      <w:pStyle w:val="14"/>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2</w:t>
    </w:r>
    <w:r>
      <w:rPr>
        <w:rStyle w:val="20"/>
      </w:rPr>
      <w:fldChar w:fldCharType="end"/>
    </w:r>
  </w:p>
  <w:p w14:paraId="23F8681B">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89838455"/>
      <w:docPartObj>
        <w:docPartGallery w:val="AutoText"/>
      </w:docPartObj>
    </w:sdtPr>
    <w:sdtContent>
      <w:p w14:paraId="54FDD4E9">
        <w:pPr>
          <w:pStyle w:val="17"/>
          <w:jc w:val="center"/>
        </w:pPr>
        <w:r>
          <w:fldChar w:fldCharType="begin"/>
        </w:r>
        <w:r>
          <w:instrText xml:space="preserve"> PAGE   \* MERGEFORMAT </w:instrText>
        </w:r>
        <w:r>
          <w:fldChar w:fldCharType="separate"/>
        </w:r>
        <w:r>
          <w:t>2</w:t>
        </w:r>
        <w:r>
          <w:fldChar w:fldCharType="end"/>
        </w:r>
      </w:p>
    </w:sdtContent>
  </w:sdt>
  <w:p w14:paraId="28DDDAFE">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3278">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454"/>
    <w:rsid w:val="0000309D"/>
    <w:rsid w:val="000113A6"/>
    <w:rsid w:val="00013D63"/>
    <w:rsid w:val="00014A5D"/>
    <w:rsid w:val="00015BD1"/>
    <w:rsid w:val="00015F38"/>
    <w:rsid w:val="0003059F"/>
    <w:rsid w:val="00030712"/>
    <w:rsid w:val="00052D73"/>
    <w:rsid w:val="00054E52"/>
    <w:rsid w:val="000556D4"/>
    <w:rsid w:val="000563E6"/>
    <w:rsid w:val="00056F6D"/>
    <w:rsid w:val="000655A4"/>
    <w:rsid w:val="00066529"/>
    <w:rsid w:val="00066A51"/>
    <w:rsid w:val="000679B9"/>
    <w:rsid w:val="000706AD"/>
    <w:rsid w:val="000747C1"/>
    <w:rsid w:val="00077351"/>
    <w:rsid w:val="000865BA"/>
    <w:rsid w:val="00095F05"/>
    <w:rsid w:val="000A0FC8"/>
    <w:rsid w:val="000A21F0"/>
    <w:rsid w:val="000B164A"/>
    <w:rsid w:val="000B6F21"/>
    <w:rsid w:val="000C0B08"/>
    <w:rsid w:val="000C1F47"/>
    <w:rsid w:val="000E52DC"/>
    <w:rsid w:val="000E5A03"/>
    <w:rsid w:val="000F12E5"/>
    <w:rsid w:val="000F6ABE"/>
    <w:rsid w:val="00101454"/>
    <w:rsid w:val="001043E8"/>
    <w:rsid w:val="00110EBA"/>
    <w:rsid w:val="00113EBF"/>
    <w:rsid w:val="00123272"/>
    <w:rsid w:val="00133E22"/>
    <w:rsid w:val="001407AE"/>
    <w:rsid w:val="00150DD2"/>
    <w:rsid w:val="00151342"/>
    <w:rsid w:val="00153109"/>
    <w:rsid w:val="001543BC"/>
    <w:rsid w:val="00154F07"/>
    <w:rsid w:val="0015554E"/>
    <w:rsid w:val="00156298"/>
    <w:rsid w:val="00160754"/>
    <w:rsid w:val="0016175E"/>
    <w:rsid w:val="001629F7"/>
    <w:rsid w:val="001632BA"/>
    <w:rsid w:val="00170BEB"/>
    <w:rsid w:val="00174E6A"/>
    <w:rsid w:val="00182311"/>
    <w:rsid w:val="00184445"/>
    <w:rsid w:val="001909B1"/>
    <w:rsid w:val="00190E83"/>
    <w:rsid w:val="00191336"/>
    <w:rsid w:val="00191DDC"/>
    <w:rsid w:val="00192509"/>
    <w:rsid w:val="00193766"/>
    <w:rsid w:val="00194B47"/>
    <w:rsid w:val="001955A2"/>
    <w:rsid w:val="001B12D0"/>
    <w:rsid w:val="001B3AE4"/>
    <w:rsid w:val="001B4A92"/>
    <w:rsid w:val="001B5511"/>
    <w:rsid w:val="001B7EAF"/>
    <w:rsid w:val="001C07F2"/>
    <w:rsid w:val="001C6110"/>
    <w:rsid w:val="001C63EC"/>
    <w:rsid w:val="001C678C"/>
    <w:rsid w:val="001D21EC"/>
    <w:rsid w:val="001D7D9C"/>
    <w:rsid w:val="001D7EC5"/>
    <w:rsid w:val="001E21E5"/>
    <w:rsid w:val="001E60B8"/>
    <w:rsid w:val="001E7E43"/>
    <w:rsid w:val="001E7F73"/>
    <w:rsid w:val="001F133A"/>
    <w:rsid w:val="001F3E12"/>
    <w:rsid w:val="00200037"/>
    <w:rsid w:val="00201015"/>
    <w:rsid w:val="00201E4B"/>
    <w:rsid w:val="00201E68"/>
    <w:rsid w:val="00204141"/>
    <w:rsid w:val="00204926"/>
    <w:rsid w:val="00211CDC"/>
    <w:rsid w:val="00221ABD"/>
    <w:rsid w:val="00224D32"/>
    <w:rsid w:val="00226C79"/>
    <w:rsid w:val="002306E7"/>
    <w:rsid w:val="002355FF"/>
    <w:rsid w:val="00235AFE"/>
    <w:rsid w:val="00235B2B"/>
    <w:rsid w:val="0023630E"/>
    <w:rsid w:val="00241D28"/>
    <w:rsid w:val="002503D0"/>
    <w:rsid w:val="00253158"/>
    <w:rsid w:val="002540DC"/>
    <w:rsid w:val="00264647"/>
    <w:rsid w:val="002652A8"/>
    <w:rsid w:val="00265381"/>
    <w:rsid w:val="0027170D"/>
    <w:rsid w:val="00274B87"/>
    <w:rsid w:val="00277A46"/>
    <w:rsid w:val="00283C31"/>
    <w:rsid w:val="0028479E"/>
    <w:rsid w:val="00284CC6"/>
    <w:rsid w:val="00285B86"/>
    <w:rsid w:val="002879C3"/>
    <w:rsid w:val="002917B0"/>
    <w:rsid w:val="002933C6"/>
    <w:rsid w:val="002937B9"/>
    <w:rsid w:val="002A2FCE"/>
    <w:rsid w:val="002A3267"/>
    <w:rsid w:val="002A3E96"/>
    <w:rsid w:val="002A705C"/>
    <w:rsid w:val="002A70C2"/>
    <w:rsid w:val="002A777D"/>
    <w:rsid w:val="002B0A48"/>
    <w:rsid w:val="002B1924"/>
    <w:rsid w:val="002B1AB9"/>
    <w:rsid w:val="002C3442"/>
    <w:rsid w:val="002C4416"/>
    <w:rsid w:val="002C5FDF"/>
    <w:rsid w:val="002C6578"/>
    <w:rsid w:val="002D1EC8"/>
    <w:rsid w:val="002D7D11"/>
    <w:rsid w:val="002E2583"/>
    <w:rsid w:val="002E2D13"/>
    <w:rsid w:val="002E451B"/>
    <w:rsid w:val="002E6370"/>
    <w:rsid w:val="002F0A72"/>
    <w:rsid w:val="002F17B3"/>
    <w:rsid w:val="002F317A"/>
    <w:rsid w:val="002F5BAA"/>
    <w:rsid w:val="00301765"/>
    <w:rsid w:val="0030195B"/>
    <w:rsid w:val="003043A9"/>
    <w:rsid w:val="00305ABD"/>
    <w:rsid w:val="0031275B"/>
    <w:rsid w:val="003166DD"/>
    <w:rsid w:val="003209D6"/>
    <w:rsid w:val="00320EC6"/>
    <w:rsid w:val="003401BD"/>
    <w:rsid w:val="003452F3"/>
    <w:rsid w:val="003468BD"/>
    <w:rsid w:val="00356126"/>
    <w:rsid w:val="003573F3"/>
    <w:rsid w:val="00357BF8"/>
    <w:rsid w:val="00363090"/>
    <w:rsid w:val="003679EA"/>
    <w:rsid w:val="00367C8C"/>
    <w:rsid w:val="0037085F"/>
    <w:rsid w:val="00371CE8"/>
    <w:rsid w:val="0038129F"/>
    <w:rsid w:val="0039095E"/>
    <w:rsid w:val="0039736F"/>
    <w:rsid w:val="003A0FD0"/>
    <w:rsid w:val="003A1C56"/>
    <w:rsid w:val="003A3382"/>
    <w:rsid w:val="003A3436"/>
    <w:rsid w:val="003A3797"/>
    <w:rsid w:val="003B374C"/>
    <w:rsid w:val="003C6056"/>
    <w:rsid w:val="003C60AB"/>
    <w:rsid w:val="003C6180"/>
    <w:rsid w:val="003D0B22"/>
    <w:rsid w:val="003D3506"/>
    <w:rsid w:val="003D4BC5"/>
    <w:rsid w:val="003D5195"/>
    <w:rsid w:val="003D5A9C"/>
    <w:rsid w:val="003E3E30"/>
    <w:rsid w:val="003F2BF0"/>
    <w:rsid w:val="003F5F1B"/>
    <w:rsid w:val="003F6EDC"/>
    <w:rsid w:val="003F770A"/>
    <w:rsid w:val="00400232"/>
    <w:rsid w:val="004012F9"/>
    <w:rsid w:val="00401986"/>
    <w:rsid w:val="004023FB"/>
    <w:rsid w:val="00403F27"/>
    <w:rsid w:val="00420C62"/>
    <w:rsid w:val="00422029"/>
    <w:rsid w:val="00422081"/>
    <w:rsid w:val="0042331A"/>
    <w:rsid w:val="0043025C"/>
    <w:rsid w:val="00436992"/>
    <w:rsid w:val="00437624"/>
    <w:rsid w:val="0045234E"/>
    <w:rsid w:val="00456EE7"/>
    <w:rsid w:val="0046066B"/>
    <w:rsid w:val="0046083A"/>
    <w:rsid w:val="0046327A"/>
    <w:rsid w:val="00465F37"/>
    <w:rsid w:val="004713D8"/>
    <w:rsid w:val="00473ADA"/>
    <w:rsid w:val="0047435E"/>
    <w:rsid w:val="00483AAF"/>
    <w:rsid w:val="00483E5C"/>
    <w:rsid w:val="0048662A"/>
    <w:rsid w:val="00486791"/>
    <w:rsid w:val="00486EFA"/>
    <w:rsid w:val="004875B1"/>
    <w:rsid w:val="0049581D"/>
    <w:rsid w:val="00496C2C"/>
    <w:rsid w:val="004A20BB"/>
    <w:rsid w:val="004A290F"/>
    <w:rsid w:val="004A4319"/>
    <w:rsid w:val="004A5D06"/>
    <w:rsid w:val="004B0AD9"/>
    <w:rsid w:val="004B3D2D"/>
    <w:rsid w:val="004C427E"/>
    <w:rsid w:val="004C4DDA"/>
    <w:rsid w:val="004C5574"/>
    <w:rsid w:val="004C67CB"/>
    <w:rsid w:val="004D09EE"/>
    <w:rsid w:val="004D52A6"/>
    <w:rsid w:val="004D6D74"/>
    <w:rsid w:val="004D7FD8"/>
    <w:rsid w:val="004E0D3D"/>
    <w:rsid w:val="004E15C1"/>
    <w:rsid w:val="004E2D62"/>
    <w:rsid w:val="004E3730"/>
    <w:rsid w:val="004E3DDA"/>
    <w:rsid w:val="004F4AA5"/>
    <w:rsid w:val="004F65E2"/>
    <w:rsid w:val="005057B9"/>
    <w:rsid w:val="00510602"/>
    <w:rsid w:val="00513253"/>
    <w:rsid w:val="00515083"/>
    <w:rsid w:val="00516314"/>
    <w:rsid w:val="00523CDC"/>
    <w:rsid w:val="00530242"/>
    <w:rsid w:val="00532F5A"/>
    <w:rsid w:val="00536727"/>
    <w:rsid w:val="00537594"/>
    <w:rsid w:val="005438CC"/>
    <w:rsid w:val="005456C7"/>
    <w:rsid w:val="00550FBB"/>
    <w:rsid w:val="0055172F"/>
    <w:rsid w:val="0055312D"/>
    <w:rsid w:val="00553C46"/>
    <w:rsid w:val="00554617"/>
    <w:rsid w:val="00556409"/>
    <w:rsid w:val="0056257E"/>
    <w:rsid w:val="005629B0"/>
    <w:rsid w:val="00567499"/>
    <w:rsid w:val="005677A7"/>
    <w:rsid w:val="00577028"/>
    <w:rsid w:val="005853D5"/>
    <w:rsid w:val="005864A3"/>
    <w:rsid w:val="005A2A05"/>
    <w:rsid w:val="005A4F16"/>
    <w:rsid w:val="005A50C4"/>
    <w:rsid w:val="005A52F9"/>
    <w:rsid w:val="005B2101"/>
    <w:rsid w:val="005B2620"/>
    <w:rsid w:val="005B61D1"/>
    <w:rsid w:val="005C0839"/>
    <w:rsid w:val="005C4B52"/>
    <w:rsid w:val="005C58CC"/>
    <w:rsid w:val="005D0497"/>
    <w:rsid w:val="005D4AEB"/>
    <w:rsid w:val="005D7C15"/>
    <w:rsid w:val="005E5046"/>
    <w:rsid w:val="005F0B9B"/>
    <w:rsid w:val="005F169D"/>
    <w:rsid w:val="005F2FB9"/>
    <w:rsid w:val="005F719F"/>
    <w:rsid w:val="005F784B"/>
    <w:rsid w:val="00600DA5"/>
    <w:rsid w:val="006061E0"/>
    <w:rsid w:val="006120F8"/>
    <w:rsid w:val="00614EB4"/>
    <w:rsid w:val="006156E8"/>
    <w:rsid w:val="00615958"/>
    <w:rsid w:val="00616077"/>
    <w:rsid w:val="00620C32"/>
    <w:rsid w:val="0063208C"/>
    <w:rsid w:val="00633482"/>
    <w:rsid w:val="006352C2"/>
    <w:rsid w:val="00636D6A"/>
    <w:rsid w:val="00637F86"/>
    <w:rsid w:val="00651DB0"/>
    <w:rsid w:val="006635A9"/>
    <w:rsid w:val="00664FD3"/>
    <w:rsid w:val="0066777E"/>
    <w:rsid w:val="00667BCE"/>
    <w:rsid w:val="00674BC3"/>
    <w:rsid w:val="00677229"/>
    <w:rsid w:val="006875F3"/>
    <w:rsid w:val="00693D0C"/>
    <w:rsid w:val="0069785F"/>
    <w:rsid w:val="00697AB7"/>
    <w:rsid w:val="006B1182"/>
    <w:rsid w:val="006B260A"/>
    <w:rsid w:val="006B5C8F"/>
    <w:rsid w:val="006B6FFF"/>
    <w:rsid w:val="006B73B7"/>
    <w:rsid w:val="006B790E"/>
    <w:rsid w:val="006B7F24"/>
    <w:rsid w:val="006C28DB"/>
    <w:rsid w:val="006C2E58"/>
    <w:rsid w:val="006C54F5"/>
    <w:rsid w:val="006E1953"/>
    <w:rsid w:val="006E4D02"/>
    <w:rsid w:val="006E65FF"/>
    <w:rsid w:val="006F11DA"/>
    <w:rsid w:val="006F1252"/>
    <w:rsid w:val="006F432B"/>
    <w:rsid w:val="00700CD4"/>
    <w:rsid w:val="007037A4"/>
    <w:rsid w:val="0070424F"/>
    <w:rsid w:val="00713371"/>
    <w:rsid w:val="00716987"/>
    <w:rsid w:val="00722109"/>
    <w:rsid w:val="00723BB3"/>
    <w:rsid w:val="007365A0"/>
    <w:rsid w:val="00744640"/>
    <w:rsid w:val="0074774E"/>
    <w:rsid w:val="00763274"/>
    <w:rsid w:val="00763CF4"/>
    <w:rsid w:val="00770549"/>
    <w:rsid w:val="00773444"/>
    <w:rsid w:val="00774089"/>
    <w:rsid w:val="007765A8"/>
    <w:rsid w:val="00776BE7"/>
    <w:rsid w:val="00780501"/>
    <w:rsid w:val="0078190E"/>
    <w:rsid w:val="00783431"/>
    <w:rsid w:val="00784367"/>
    <w:rsid w:val="00786628"/>
    <w:rsid w:val="00792A25"/>
    <w:rsid w:val="007947CA"/>
    <w:rsid w:val="00796D79"/>
    <w:rsid w:val="007A2AD5"/>
    <w:rsid w:val="007A4AB1"/>
    <w:rsid w:val="007A4FEC"/>
    <w:rsid w:val="007B7BFA"/>
    <w:rsid w:val="007C27FC"/>
    <w:rsid w:val="007C39F3"/>
    <w:rsid w:val="007C5537"/>
    <w:rsid w:val="007C58AB"/>
    <w:rsid w:val="007C7652"/>
    <w:rsid w:val="007D106B"/>
    <w:rsid w:val="007D1E4B"/>
    <w:rsid w:val="007D348B"/>
    <w:rsid w:val="007D4833"/>
    <w:rsid w:val="007D492C"/>
    <w:rsid w:val="007D582A"/>
    <w:rsid w:val="007E1614"/>
    <w:rsid w:val="007E4695"/>
    <w:rsid w:val="007E5BB8"/>
    <w:rsid w:val="007F2E79"/>
    <w:rsid w:val="00805FEF"/>
    <w:rsid w:val="00807DCB"/>
    <w:rsid w:val="008156D0"/>
    <w:rsid w:val="00815986"/>
    <w:rsid w:val="00817AC9"/>
    <w:rsid w:val="00822284"/>
    <w:rsid w:val="0082703D"/>
    <w:rsid w:val="0083456C"/>
    <w:rsid w:val="0084211F"/>
    <w:rsid w:val="008447CD"/>
    <w:rsid w:val="00845879"/>
    <w:rsid w:val="00847E2D"/>
    <w:rsid w:val="00852AF9"/>
    <w:rsid w:val="00853CBC"/>
    <w:rsid w:val="00856382"/>
    <w:rsid w:val="00862134"/>
    <w:rsid w:val="008678D4"/>
    <w:rsid w:val="00870CAC"/>
    <w:rsid w:val="00873621"/>
    <w:rsid w:val="0087617C"/>
    <w:rsid w:val="00880CD7"/>
    <w:rsid w:val="008870FE"/>
    <w:rsid w:val="008A389F"/>
    <w:rsid w:val="008A60BB"/>
    <w:rsid w:val="008C07D2"/>
    <w:rsid w:val="008C08B2"/>
    <w:rsid w:val="008D14AE"/>
    <w:rsid w:val="008D3F96"/>
    <w:rsid w:val="008D4FE6"/>
    <w:rsid w:val="008E2E52"/>
    <w:rsid w:val="008E6652"/>
    <w:rsid w:val="008E6781"/>
    <w:rsid w:val="008E78CE"/>
    <w:rsid w:val="008F4C53"/>
    <w:rsid w:val="009006AB"/>
    <w:rsid w:val="0091357D"/>
    <w:rsid w:val="00927EAF"/>
    <w:rsid w:val="00933E73"/>
    <w:rsid w:val="009346E3"/>
    <w:rsid w:val="009354BD"/>
    <w:rsid w:val="0094316D"/>
    <w:rsid w:val="009445B1"/>
    <w:rsid w:val="00952729"/>
    <w:rsid w:val="00953D83"/>
    <w:rsid w:val="009602AA"/>
    <w:rsid w:val="009610A7"/>
    <w:rsid w:val="00965258"/>
    <w:rsid w:val="0096532C"/>
    <w:rsid w:val="009742CE"/>
    <w:rsid w:val="009764F8"/>
    <w:rsid w:val="00976B5F"/>
    <w:rsid w:val="00983FDB"/>
    <w:rsid w:val="009878FD"/>
    <w:rsid w:val="0099100A"/>
    <w:rsid w:val="009A0091"/>
    <w:rsid w:val="009A5361"/>
    <w:rsid w:val="009A72F1"/>
    <w:rsid w:val="009A7468"/>
    <w:rsid w:val="009A7982"/>
    <w:rsid w:val="009B0558"/>
    <w:rsid w:val="009C1FBF"/>
    <w:rsid w:val="009D579E"/>
    <w:rsid w:val="009D6B3C"/>
    <w:rsid w:val="009D7DE2"/>
    <w:rsid w:val="009E37C7"/>
    <w:rsid w:val="009F7931"/>
    <w:rsid w:val="00A0263D"/>
    <w:rsid w:val="00A04D4A"/>
    <w:rsid w:val="00A04FA2"/>
    <w:rsid w:val="00A061D1"/>
    <w:rsid w:val="00A06636"/>
    <w:rsid w:val="00A10AB6"/>
    <w:rsid w:val="00A123C6"/>
    <w:rsid w:val="00A137C6"/>
    <w:rsid w:val="00A14423"/>
    <w:rsid w:val="00A14E73"/>
    <w:rsid w:val="00A15FBF"/>
    <w:rsid w:val="00A2124C"/>
    <w:rsid w:val="00A22298"/>
    <w:rsid w:val="00A2409C"/>
    <w:rsid w:val="00A3018C"/>
    <w:rsid w:val="00A30759"/>
    <w:rsid w:val="00A31245"/>
    <w:rsid w:val="00A35399"/>
    <w:rsid w:val="00A419B7"/>
    <w:rsid w:val="00A41E36"/>
    <w:rsid w:val="00A47368"/>
    <w:rsid w:val="00A51290"/>
    <w:rsid w:val="00A545F3"/>
    <w:rsid w:val="00A667DE"/>
    <w:rsid w:val="00A678AA"/>
    <w:rsid w:val="00A70C38"/>
    <w:rsid w:val="00A73AF0"/>
    <w:rsid w:val="00A75734"/>
    <w:rsid w:val="00A81034"/>
    <w:rsid w:val="00A8405F"/>
    <w:rsid w:val="00A87AAD"/>
    <w:rsid w:val="00A87AB0"/>
    <w:rsid w:val="00A9282F"/>
    <w:rsid w:val="00A933CE"/>
    <w:rsid w:val="00A97CB8"/>
    <w:rsid w:val="00AA0FEC"/>
    <w:rsid w:val="00AA3993"/>
    <w:rsid w:val="00AA3B58"/>
    <w:rsid w:val="00AA54DB"/>
    <w:rsid w:val="00AB4510"/>
    <w:rsid w:val="00AB4590"/>
    <w:rsid w:val="00AB5A3C"/>
    <w:rsid w:val="00AB69B5"/>
    <w:rsid w:val="00AB734B"/>
    <w:rsid w:val="00AC52B1"/>
    <w:rsid w:val="00AC6D9E"/>
    <w:rsid w:val="00AD5CAB"/>
    <w:rsid w:val="00AE77DC"/>
    <w:rsid w:val="00AF521B"/>
    <w:rsid w:val="00AF545E"/>
    <w:rsid w:val="00B00A78"/>
    <w:rsid w:val="00B01D76"/>
    <w:rsid w:val="00B0235B"/>
    <w:rsid w:val="00B030FD"/>
    <w:rsid w:val="00B04651"/>
    <w:rsid w:val="00B05643"/>
    <w:rsid w:val="00B060BF"/>
    <w:rsid w:val="00B07E30"/>
    <w:rsid w:val="00B123D3"/>
    <w:rsid w:val="00B12A80"/>
    <w:rsid w:val="00B153A1"/>
    <w:rsid w:val="00B16AE4"/>
    <w:rsid w:val="00B20FFA"/>
    <w:rsid w:val="00B2667C"/>
    <w:rsid w:val="00B3353B"/>
    <w:rsid w:val="00B343D1"/>
    <w:rsid w:val="00B34AAE"/>
    <w:rsid w:val="00B43EE1"/>
    <w:rsid w:val="00B4530F"/>
    <w:rsid w:val="00B476F0"/>
    <w:rsid w:val="00B53F9B"/>
    <w:rsid w:val="00B55FD6"/>
    <w:rsid w:val="00B56799"/>
    <w:rsid w:val="00B60DAF"/>
    <w:rsid w:val="00B6304A"/>
    <w:rsid w:val="00B648F8"/>
    <w:rsid w:val="00B70F0A"/>
    <w:rsid w:val="00B718B2"/>
    <w:rsid w:val="00B72C79"/>
    <w:rsid w:val="00B77A92"/>
    <w:rsid w:val="00B83CB4"/>
    <w:rsid w:val="00B86E0A"/>
    <w:rsid w:val="00B90648"/>
    <w:rsid w:val="00B94E2E"/>
    <w:rsid w:val="00BA1137"/>
    <w:rsid w:val="00BB4847"/>
    <w:rsid w:val="00BC29F8"/>
    <w:rsid w:val="00BC69CF"/>
    <w:rsid w:val="00BD0C99"/>
    <w:rsid w:val="00BD2414"/>
    <w:rsid w:val="00BE1052"/>
    <w:rsid w:val="00BE1BAF"/>
    <w:rsid w:val="00BE4B8F"/>
    <w:rsid w:val="00BE5E1A"/>
    <w:rsid w:val="00BF0355"/>
    <w:rsid w:val="00BF1EBF"/>
    <w:rsid w:val="00BF3AAA"/>
    <w:rsid w:val="00C01C89"/>
    <w:rsid w:val="00C0755D"/>
    <w:rsid w:val="00C11851"/>
    <w:rsid w:val="00C128CC"/>
    <w:rsid w:val="00C16DAB"/>
    <w:rsid w:val="00C219E8"/>
    <w:rsid w:val="00C30D28"/>
    <w:rsid w:val="00C36378"/>
    <w:rsid w:val="00C3799A"/>
    <w:rsid w:val="00C402B0"/>
    <w:rsid w:val="00C40F51"/>
    <w:rsid w:val="00C448C7"/>
    <w:rsid w:val="00C50F53"/>
    <w:rsid w:val="00C52EB8"/>
    <w:rsid w:val="00C54109"/>
    <w:rsid w:val="00C544C3"/>
    <w:rsid w:val="00C568EA"/>
    <w:rsid w:val="00C60CB1"/>
    <w:rsid w:val="00C70C89"/>
    <w:rsid w:val="00C70DA0"/>
    <w:rsid w:val="00C70E39"/>
    <w:rsid w:val="00C70FAE"/>
    <w:rsid w:val="00C73734"/>
    <w:rsid w:val="00C77731"/>
    <w:rsid w:val="00C77BAB"/>
    <w:rsid w:val="00C82533"/>
    <w:rsid w:val="00C82D79"/>
    <w:rsid w:val="00C844DA"/>
    <w:rsid w:val="00C927FA"/>
    <w:rsid w:val="00C93E13"/>
    <w:rsid w:val="00C97972"/>
    <w:rsid w:val="00CA1271"/>
    <w:rsid w:val="00CA1F4C"/>
    <w:rsid w:val="00CA3699"/>
    <w:rsid w:val="00CA4679"/>
    <w:rsid w:val="00CA5D64"/>
    <w:rsid w:val="00CA6E5E"/>
    <w:rsid w:val="00CB4D66"/>
    <w:rsid w:val="00CC72DF"/>
    <w:rsid w:val="00CC7471"/>
    <w:rsid w:val="00CD029E"/>
    <w:rsid w:val="00CD0D8F"/>
    <w:rsid w:val="00CD219F"/>
    <w:rsid w:val="00CD5054"/>
    <w:rsid w:val="00CD54AA"/>
    <w:rsid w:val="00CE4013"/>
    <w:rsid w:val="00CE7053"/>
    <w:rsid w:val="00CE727C"/>
    <w:rsid w:val="00CF2CA1"/>
    <w:rsid w:val="00CF601E"/>
    <w:rsid w:val="00D00209"/>
    <w:rsid w:val="00D04542"/>
    <w:rsid w:val="00D0747F"/>
    <w:rsid w:val="00D1266A"/>
    <w:rsid w:val="00D12DE9"/>
    <w:rsid w:val="00D314F8"/>
    <w:rsid w:val="00D35FF1"/>
    <w:rsid w:val="00D363F7"/>
    <w:rsid w:val="00D36C95"/>
    <w:rsid w:val="00D37A24"/>
    <w:rsid w:val="00D4296F"/>
    <w:rsid w:val="00D43E80"/>
    <w:rsid w:val="00D44948"/>
    <w:rsid w:val="00D50164"/>
    <w:rsid w:val="00D53DB4"/>
    <w:rsid w:val="00D60536"/>
    <w:rsid w:val="00D62A16"/>
    <w:rsid w:val="00D66FDC"/>
    <w:rsid w:val="00D72A62"/>
    <w:rsid w:val="00D74A53"/>
    <w:rsid w:val="00D90E1D"/>
    <w:rsid w:val="00D92720"/>
    <w:rsid w:val="00D9309D"/>
    <w:rsid w:val="00D9512D"/>
    <w:rsid w:val="00D95B37"/>
    <w:rsid w:val="00D96469"/>
    <w:rsid w:val="00DB0439"/>
    <w:rsid w:val="00DB6044"/>
    <w:rsid w:val="00DC12E7"/>
    <w:rsid w:val="00DC362C"/>
    <w:rsid w:val="00DC4EA8"/>
    <w:rsid w:val="00DC5C18"/>
    <w:rsid w:val="00DC6D0C"/>
    <w:rsid w:val="00DD5111"/>
    <w:rsid w:val="00DD7125"/>
    <w:rsid w:val="00DE087A"/>
    <w:rsid w:val="00DE2703"/>
    <w:rsid w:val="00DE6C67"/>
    <w:rsid w:val="00DF002D"/>
    <w:rsid w:val="00DF1187"/>
    <w:rsid w:val="00DF3416"/>
    <w:rsid w:val="00DF57CF"/>
    <w:rsid w:val="00E017FF"/>
    <w:rsid w:val="00E04267"/>
    <w:rsid w:val="00E07111"/>
    <w:rsid w:val="00E13396"/>
    <w:rsid w:val="00E16A42"/>
    <w:rsid w:val="00E20FF2"/>
    <w:rsid w:val="00E21040"/>
    <w:rsid w:val="00E21F19"/>
    <w:rsid w:val="00E226EF"/>
    <w:rsid w:val="00E26432"/>
    <w:rsid w:val="00E300CA"/>
    <w:rsid w:val="00E44DAE"/>
    <w:rsid w:val="00E47772"/>
    <w:rsid w:val="00E531CD"/>
    <w:rsid w:val="00E53524"/>
    <w:rsid w:val="00E61CEC"/>
    <w:rsid w:val="00E62106"/>
    <w:rsid w:val="00E64914"/>
    <w:rsid w:val="00E85088"/>
    <w:rsid w:val="00E93E49"/>
    <w:rsid w:val="00EA22C6"/>
    <w:rsid w:val="00EA2E2D"/>
    <w:rsid w:val="00EA5E4D"/>
    <w:rsid w:val="00EB2B73"/>
    <w:rsid w:val="00EC2670"/>
    <w:rsid w:val="00EC38CE"/>
    <w:rsid w:val="00ED23EB"/>
    <w:rsid w:val="00ED70E4"/>
    <w:rsid w:val="00EE0023"/>
    <w:rsid w:val="00EE50F8"/>
    <w:rsid w:val="00EF19C2"/>
    <w:rsid w:val="00EF4B12"/>
    <w:rsid w:val="00EF5424"/>
    <w:rsid w:val="00EF7EDE"/>
    <w:rsid w:val="00F05482"/>
    <w:rsid w:val="00F07E71"/>
    <w:rsid w:val="00F17FB4"/>
    <w:rsid w:val="00F21EF4"/>
    <w:rsid w:val="00F2491A"/>
    <w:rsid w:val="00F34EC0"/>
    <w:rsid w:val="00F35474"/>
    <w:rsid w:val="00F40BD9"/>
    <w:rsid w:val="00F41E5C"/>
    <w:rsid w:val="00F42686"/>
    <w:rsid w:val="00F4483A"/>
    <w:rsid w:val="00F47BBE"/>
    <w:rsid w:val="00F53BC9"/>
    <w:rsid w:val="00F60AA5"/>
    <w:rsid w:val="00F6363B"/>
    <w:rsid w:val="00F75408"/>
    <w:rsid w:val="00F8204B"/>
    <w:rsid w:val="00F83F71"/>
    <w:rsid w:val="00F87A07"/>
    <w:rsid w:val="00F935A5"/>
    <w:rsid w:val="00F96963"/>
    <w:rsid w:val="00FA348E"/>
    <w:rsid w:val="00FA699C"/>
    <w:rsid w:val="00FB1666"/>
    <w:rsid w:val="00FB41C4"/>
    <w:rsid w:val="00FB7181"/>
    <w:rsid w:val="00FD0666"/>
    <w:rsid w:val="00FD13B3"/>
    <w:rsid w:val="00FD23E0"/>
    <w:rsid w:val="00FD5144"/>
    <w:rsid w:val="00FE1527"/>
    <w:rsid w:val="00FF5CDE"/>
    <w:rsid w:val="00FF6C53"/>
    <w:rsid w:val="43283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12" w:lineRule="auto"/>
    </w:pPr>
    <w:rPr>
      <w:rFonts w:ascii="Times New Roman" w:hAnsi="Times New Roman" w:eastAsia="Calibri" w:cs="Times New Roman"/>
      <w:sz w:val="26"/>
      <w:szCs w:val="22"/>
      <w:lang w:val="en-US" w:eastAsia="en-US" w:bidi="ar-SA"/>
    </w:rPr>
  </w:style>
  <w:style w:type="paragraph" w:styleId="2">
    <w:name w:val="heading 1"/>
    <w:next w:val="1"/>
    <w:link w:val="30"/>
    <w:unhideWhenUsed/>
    <w:qFormat/>
    <w:uiPriority w:val="9"/>
    <w:pPr>
      <w:keepNext/>
      <w:keepLines/>
      <w:spacing w:after="22" w:line="259" w:lineRule="auto"/>
      <w:ind w:right="732"/>
      <w:jc w:val="center"/>
      <w:outlineLvl w:val="0"/>
    </w:pPr>
    <w:rPr>
      <w:rFonts w:ascii="Times New Roman" w:hAnsi="Times New Roman" w:eastAsia="Times New Roman" w:cs="Times New Roman"/>
      <w:b/>
      <w:color w:val="000000"/>
      <w:sz w:val="28"/>
      <w:szCs w:val="22"/>
      <w:lang w:val="en-US" w:eastAsia="en-US" w:bidi="ar-SA"/>
    </w:rPr>
  </w:style>
  <w:style w:type="paragraph" w:styleId="3">
    <w:name w:val="heading 2"/>
    <w:next w:val="1"/>
    <w:link w:val="31"/>
    <w:unhideWhenUsed/>
    <w:qFormat/>
    <w:uiPriority w:val="9"/>
    <w:pPr>
      <w:keepNext/>
      <w:keepLines/>
      <w:spacing w:after="0" w:line="259" w:lineRule="auto"/>
      <w:ind w:left="10" w:hanging="10"/>
      <w:outlineLvl w:val="1"/>
    </w:pPr>
    <w:rPr>
      <w:rFonts w:ascii="Times New Roman" w:hAnsi="Times New Roman" w:eastAsia="Times New Roman" w:cs="Times New Roman"/>
      <w:b/>
      <w:color w:val="000000"/>
      <w:sz w:val="26"/>
      <w:szCs w:val="22"/>
      <w:lang w:val="en-US" w:eastAsia="en-US" w:bidi="ar-SA"/>
    </w:rPr>
  </w:style>
  <w:style w:type="paragraph" w:styleId="4">
    <w:name w:val="heading 9"/>
    <w:basedOn w:val="1"/>
    <w:next w:val="1"/>
    <w:link w:val="35"/>
    <w:qFormat/>
    <w:uiPriority w:val="0"/>
    <w:pPr>
      <w:keepNext/>
      <w:tabs>
        <w:tab w:val="center" w:pos="1701"/>
        <w:tab w:val="center" w:pos="6237"/>
      </w:tabs>
      <w:spacing w:before="0" w:after="0" w:line="240" w:lineRule="auto"/>
      <w:outlineLvl w:val="8"/>
    </w:pPr>
    <w:rPr>
      <w:rFonts w:ascii="VNI-Times" w:hAnsi="VNI-Times" w:eastAsia="Times New Roman"/>
      <w:b/>
      <w:sz w:val="25"/>
      <w:szCs w:val="20"/>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38"/>
    <w:semiHidden/>
    <w:unhideWhenUsed/>
    <w:uiPriority w:val="99"/>
    <w:pPr>
      <w:spacing w:before="0" w:after="0" w:line="240" w:lineRule="auto"/>
    </w:pPr>
    <w:rPr>
      <w:rFonts w:ascii="Segoe UI" w:hAnsi="Segoe UI" w:cs="Segoe UI"/>
      <w:sz w:val="18"/>
      <w:szCs w:val="18"/>
    </w:rPr>
  </w:style>
  <w:style w:type="paragraph" w:styleId="8">
    <w:name w:val="Body Text"/>
    <w:basedOn w:val="1"/>
    <w:link w:val="42"/>
    <w:qFormat/>
    <w:uiPriority w:val="0"/>
    <w:pPr>
      <w:spacing w:before="0" w:after="120" w:line="240" w:lineRule="auto"/>
    </w:pPr>
    <w:rPr>
      <w:rFonts w:eastAsia="Times New Roman"/>
      <w:sz w:val="24"/>
      <w:szCs w:val="24"/>
    </w:rPr>
  </w:style>
  <w:style w:type="paragraph" w:styleId="9">
    <w:name w:val="Body Text Indent"/>
    <w:basedOn w:val="1"/>
    <w:link w:val="24"/>
    <w:unhideWhenUsed/>
    <w:qFormat/>
    <w:uiPriority w:val="99"/>
    <w:pPr>
      <w:spacing w:before="0" w:after="120" w:line="240" w:lineRule="auto"/>
      <w:ind w:left="360"/>
    </w:pPr>
    <w:rPr>
      <w:rFonts w:eastAsia="Times New Roman"/>
      <w:sz w:val="24"/>
      <w:szCs w:val="24"/>
    </w:rPr>
  </w:style>
  <w:style w:type="character" w:styleId="10">
    <w:name w:val="annotation reference"/>
    <w:basedOn w:val="5"/>
    <w:semiHidden/>
    <w:unhideWhenUsed/>
    <w:uiPriority w:val="99"/>
    <w:rPr>
      <w:sz w:val="16"/>
      <w:szCs w:val="16"/>
    </w:rPr>
  </w:style>
  <w:style w:type="paragraph" w:styleId="11">
    <w:name w:val="annotation text"/>
    <w:basedOn w:val="1"/>
    <w:link w:val="37"/>
    <w:unhideWhenUsed/>
    <w:uiPriority w:val="99"/>
    <w:pPr>
      <w:spacing w:line="240" w:lineRule="auto"/>
    </w:pPr>
    <w:rPr>
      <w:sz w:val="20"/>
      <w:szCs w:val="20"/>
    </w:rPr>
  </w:style>
  <w:style w:type="paragraph" w:styleId="12">
    <w:name w:val="annotation subject"/>
    <w:basedOn w:val="11"/>
    <w:next w:val="11"/>
    <w:link w:val="39"/>
    <w:semiHidden/>
    <w:unhideWhenUsed/>
    <w:uiPriority w:val="99"/>
    <w:rPr>
      <w:b/>
      <w:bCs/>
    </w:rPr>
  </w:style>
  <w:style w:type="character" w:styleId="13">
    <w:name w:val="Emphasis"/>
    <w:qFormat/>
    <w:uiPriority w:val="20"/>
    <w:rPr>
      <w:i/>
      <w:iCs/>
    </w:rPr>
  </w:style>
  <w:style w:type="paragraph" w:styleId="14">
    <w:name w:val="footer"/>
    <w:basedOn w:val="1"/>
    <w:link w:val="27"/>
    <w:unhideWhenUsed/>
    <w:qFormat/>
    <w:uiPriority w:val="0"/>
    <w:pPr>
      <w:tabs>
        <w:tab w:val="center" w:pos="4680"/>
        <w:tab w:val="right" w:pos="9360"/>
      </w:tabs>
      <w:spacing w:before="0" w:after="0" w:line="240" w:lineRule="auto"/>
    </w:pPr>
  </w:style>
  <w:style w:type="character" w:styleId="15">
    <w:name w:val="footnote reference"/>
    <w:unhideWhenUsed/>
    <w:qFormat/>
    <w:uiPriority w:val="99"/>
    <w:rPr>
      <w:vertAlign w:val="superscript"/>
    </w:rPr>
  </w:style>
  <w:style w:type="paragraph" w:styleId="16">
    <w:name w:val="footnote text"/>
    <w:basedOn w:val="1"/>
    <w:link w:val="36"/>
    <w:unhideWhenUsed/>
    <w:uiPriority w:val="99"/>
    <w:pPr>
      <w:spacing w:before="0" w:after="0" w:line="240" w:lineRule="auto"/>
    </w:pPr>
    <w:rPr>
      <w:rFonts w:eastAsia="Times New Roman"/>
      <w:sz w:val="20"/>
      <w:szCs w:val="20"/>
    </w:rPr>
  </w:style>
  <w:style w:type="paragraph" w:styleId="17">
    <w:name w:val="header"/>
    <w:basedOn w:val="1"/>
    <w:link w:val="26"/>
    <w:unhideWhenUsed/>
    <w:qFormat/>
    <w:uiPriority w:val="99"/>
    <w:pPr>
      <w:tabs>
        <w:tab w:val="center" w:pos="4680"/>
        <w:tab w:val="right" w:pos="9360"/>
      </w:tabs>
      <w:spacing w:before="0" w:after="0" w:line="240" w:lineRule="auto"/>
    </w:pPr>
  </w:style>
  <w:style w:type="character" w:styleId="18">
    <w:name w:val="Hyperlink"/>
    <w:basedOn w:val="5"/>
    <w:unhideWhenUsed/>
    <w:qFormat/>
    <w:uiPriority w:val="99"/>
    <w:rPr>
      <w:color w:val="0563C1" w:themeColor="hyperlink"/>
      <w:u w:val="single"/>
      <w14:textFill>
        <w14:solidFill>
          <w14:schemeClr w14:val="hlink"/>
        </w14:solidFill>
      </w14:textFill>
    </w:rPr>
  </w:style>
  <w:style w:type="paragraph" w:styleId="19">
    <w:name w:val="Normal (Web)"/>
    <w:basedOn w:val="1"/>
    <w:link w:val="34"/>
    <w:unhideWhenUsed/>
    <w:qFormat/>
    <w:uiPriority w:val="99"/>
    <w:pPr>
      <w:spacing w:before="100" w:beforeAutospacing="1" w:after="100" w:afterAutospacing="1" w:line="240" w:lineRule="auto"/>
    </w:pPr>
    <w:rPr>
      <w:rFonts w:eastAsia="Times New Roman"/>
      <w:sz w:val="24"/>
      <w:szCs w:val="24"/>
    </w:rPr>
  </w:style>
  <w:style w:type="character" w:styleId="20">
    <w:name w:val="page number"/>
    <w:basedOn w:val="5"/>
    <w:qFormat/>
    <w:uiPriority w:val="0"/>
  </w:style>
  <w:style w:type="table" w:styleId="21">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List Paragraph"/>
    <w:basedOn w:val="1"/>
    <w:link w:val="25"/>
    <w:qFormat/>
    <w:uiPriority w:val="34"/>
    <w:pPr>
      <w:ind w:left="720"/>
      <w:contextualSpacing/>
    </w:pPr>
  </w:style>
  <w:style w:type="character" w:customStyle="1" w:styleId="23">
    <w:name w:val="fontstyle01"/>
    <w:basedOn w:val="5"/>
    <w:qFormat/>
    <w:uiPriority w:val="0"/>
    <w:rPr>
      <w:rFonts w:hint="default" w:ascii="Times New Roman" w:hAnsi="Times New Roman" w:cs="Times New Roman"/>
      <w:color w:val="000000"/>
      <w:sz w:val="28"/>
      <w:szCs w:val="28"/>
    </w:rPr>
  </w:style>
  <w:style w:type="character" w:customStyle="1" w:styleId="24">
    <w:name w:val="Body Text Indent Char"/>
    <w:basedOn w:val="5"/>
    <w:link w:val="9"/>
    <w:qFormat/>
    <w:uiPriority w:val="99"/>
    <w:rPr>
      <w:rFonts w:ascii="Times New Roman" w:hAnsi="Times New Roman" w:eastAsia="Times New Roman" w:cs="Times New Roman"/>
      <w:sz w:val="24"/>
      <w:szCs w:val="24"/>
    </w:rPr>
  </w:style>
  <w:style w:type="character" w:customStyle="1" w:styleId="25">
    <w:name w:val="List Paragraph Char"/>
    <w:link w:val="22"/>
    <w:qFormat/>
    <w:uiPriority w:val="34"/>
    <w:rPr>
      <w:rFonts w:ascii="Times New Roman" w:hAnsi="Times New Roman" w:eastAsia="Calibri" w:cs="Times New Roman"/>
      <w:sz w:val="26"/>
    </w:rPr>
  </w:style>
  <w:style w:type="character" w:customStyle="1" w:styleId="26">
    <w:name w:val="Header Char"/>
    <w:basedOn w:val="5"/>
    <w:link w:val="17"/>
    <w:qFormat/>
    <w:uiPriority w:val="99"/>
    <w:rPr>
      <w:rFonts w:ascii="Times New Roman" w:hAnsi="Times New Roman" w:eastAsia="Calibri" w:cs="Times New Roman"/>
      <w:sz w:val="26"/>
    </w:rPr>
  </w:style>
  <w:style w:type="character" w:customStyle="1" w:styleId="27">
    <w:name w:val="Footer Char"/>
    <w:basedOn w:val="5"/>
    <w:link w:val="14"/>
    <w:qFormat/>
    <w:uiPriority w:val="99"/>
    <w:rPr>
      <w:rFonts w:ascii="Times New Roman" w:hAnsi="Times New Roman" w:eastAsia="Calibri" w:cs="Times New Roman"/>
      <w:sz w:val="26"/>
    </w:rPr>
  </w:style>
  <w:style w:type="character" w:customStyle="1" w:styleId="28">
    <w:name w:val="fontstyle21"/>
    <w:basedOn w:val="5"/>
    <w:qFormat/>
    <w:uiPriority w:val="0"/>
    <w:rPr>
      <w:rFonts w:hint="default" w:ascii="Times New Roman" w:hAnsi="Times New Roman" w:cs="Times New Roman"/>
      <w:b/>
      <w:bCs/>
      <w:color w:val="000000"/>
      <w:sz w:val="28"/>
      <w:szCs w:val="28"/>
    </w:rPr>
  </w:style>
  <w:style w:type="character" w:customStyle="1" w:styleId="29">
    <w:name w:val="fontstyle31"/>
    <w:basedOn w:val="5"/>
    <w:qFormat/>
    <w:uiPriority w:val="0"/>
    <w:rPr>
      <w:rFonts w:hint="default" w:ascii="Times New Roman" w:hAnsi="Times New Roman" w:cs="Times New Roman"/>
      <w:color w:val="000000"/>
      <w:sz w:val="28"/>
      <w:szCs w:val="28"/>
    </w:rPr>
  </w:style>
  <w:style w:type="character" w:customStyle="1" w:styleId="30">
    <w:name w:val="Heading 1 Char"/>
    <w:basedOn w:val="5"/>
    <w:link w:val="2"/>
    <w:qFormat/>
    <w:uiPriority w:val="0"/>
    <w:rPr>
      <w:rFonts w:ascii="Times New Roman" w:hAnsi="Times New Roman" w:eastAsia="Times New Roman" w:cs="Times New Roman"/>
      <w:b/>
      <w:color w:val="000000"/>
      <w:sz w:val="28"/>
    </w:rPr>
  </w:style>
  <w:style w:type="character" w:customStyle="1" w:styleId="31">
    <w:name w:val="Heading 2 Char"/>
    <w:basedOn w:val="5"/>
    <w:link w:val="3"/>
    <w:qFormat/>
    <w:uiPriority w:val="0"/>
    <w:rPr>
      <w:rFonts w:ascii="Times New Roman" w:hAnsi="Times New Roman" w:eastAsia="Times New Roman" w:cs="Times New Roman"/>
      <w:b/>
      <w:color w:val="000000"/>
      <w:sz w:val="26"/>
    </w:rPr>
  </w:style>
  <w:style w:type="character" w:customStyle="1" w:styleId="32">
    <w:name w:val="Body text_"/>
    <w:link w:val="33"/>
    <w:qFormat/>
    <w:locked/>
    <w:uiPriority w:val="0"/>
    <w:rPr>
      <w:sz w:val="26"/>
      <w:shd w:val="clear" w:color="auto" w:fill="FFFFFF"/>
    </w:rPr>
  </w:style>
  <w:style w:type="paragraph" w:customStyle="1" w:styleId="33">
    <w:name w:val="Body text1"/>
    <w:basedOn w:val="1"/>
    <w:link w:val="32"/>
    <w:qFormat/>
    <w:uiPriority w:val="0"/>
    <w:pPr>
      <w:widowControl w:val="0"/>
      <w:shd w:val="clear" w:color="auto" w:fill="FFFFFF"/>
      <w:spacing w:before="660" w:after="900" w:line="240" w:lineRule="atLeast"/>
      <w:ind w:hanging="280"/>
      <w:jc w:val="center"/>
    </w:pPr>
    <w:rPr>
      <w:rFonts w:asciiTheme="minorHAnsi" w:hAnsiTheme="minorHAnsi" w:eastAsiaTheme="minorHAnsi" w:cstheme="minorBidi"/>
      <w:shd w:val="clear" w:color="auto" w:fill="FFFFFF"/>
    </w:rPr>
  </w:style>
  <w:style w:type="character" w:customStyle="1" w:styleId="34">
    <w:name w:val="Normal (Web) Char"/>
    <w:link w:val="19"/>
    <w:locked/>
    <w:uiPriority w:val="0"/>
    <w:rPr>
      <w:rFonts w:ascii="Times New Roman" w:hAnsi="Times New Roman" w:eastAsia="Times New Roman" w:cs="Times New Roman"/>
      <w:sz w:val="24"/>
      <w:szCs w:val="24"/>
    </w:rPr>
  </w:style>
  <w:style w:type="character" w:customStyle="1" w:styleId="35">
    <w:name w:val="Heading 9 Char"/>
    <w:basedOn w:val="5"/>
    <w:link w:val="4"/>
    <w:qFormat/>
    <w:uiPriority w:val="0"/>
    <w:rPr>
      <w:rFonts w:ascii="VNI-Times" w:hAnsi="VNI-Times" w:eastAsia="Times New Roman" w:cs="Times New Roman"/>
      <w:b/>
      <w:sz w:val="25"/>
      <w:szCs w:val="20"/>
    </w:rPr>
  </w:style>
  <w:style w:type="character" w:customStyle="1" w:styleId="36">
    <w:name w:val="Footnote Text Char"/>
    <w:basedOn w:val="5"/>
    <w:link w:val="16"/>
    <w:qFormat/>
    <w:uiPriority w:val="99"/>
    <w:rPr>
      <w:rFonts w:ascii="Times New Roman" w:hAnsi="Times New Roman" w:eastAsia="Times New Roman" w:cs="Times New Roman"/>
      <w:sz w:val="20"/>
      <w:szCs w:val="20"/>
    </w:rPr>
  </w:style>
  <w:style w:type="character" w:customStyle="1" w:styleId="37">
    <w:name w:val="Comment Text Char"/>
    <w:basedOn w:val="5"/>
    <w:link w:val="11"/>
    <w:qFormat/>
    <w:uiPriority w:val="99"/>
    <w:rPr>
      <w:rFonts w:ascii="Times New Roman" w:hAnsi="Times New Roman" w:eastAsia="Calibri" w:cs="Times New Roman"/>
      <w:sz w:val="20"/>
      <w:szCs w:val="20"/>
    </w:rPr>
  </w:style>
  <w:style w:type="character" w:customStyle="1" w:styleId="38">
    <w:name w:val="Balloon Text Char"/>
    <w:basedOn w:val="5"/>
    <w:link w:val="7"/>
    <w:semiHidden/>
    <w:uiPriority w:val="99"/>
    <w:rPr>
      <w:rFonts w:ascii="Segoe UI" w:hAnsi="Segoe UI" w:eastAsia="Calibri" w:cs="Segoe UI"/>
      <w:sz w:val="18"/>
      <w:szCs w:val="18"/>
    </w:rPr>
  </w:style>
  <w:style w:type="character" w:customStyle="1" w:styleId="39">
    <w:name w:val="Comment Subject Char"/>
    <w:basedOn w:val="37"/>
    <w:link w:val="12"/>
    <w:semiHidden/>
    <w:uiPriority w:val="99"/>
    <w:rPr>
      <w:rFonts w:ascii="Times New Roman" w:hAnsi="Times New Roman" w:eastAsia="Calibri" w:cs="Times New Roman"/>
      <w:b/>
      <w:bCs/>
      <w:sz w:val="20"/>
      <w:szCs w:val="20"/>
    </w:rPr>
  </w:style>
  <w:style w:type="character" w:customStyle="1" w:styleId="40">
    <w:name w:val="Body text (3)_"/>
    <w:link w:val="41"/>
    <w:uiPriority w:val="99"/>
    <w:rPr>
      <w:b/>
      <w:bCs/>
      <w:sz w:val="26"/>
      <w:szCs w:val="26"/>
      <w:shd w:val="clear" w:color="auto" w:fill="FFFFFF"/>
    </w:rPr>
  </w:style>
  <w:style w:type="paragraph" w:customStyle="1" w:styleId="41">
    <w:name w:val="Body text (3)"/>
    <w:basedOn w:val="1"/>
    <w:link w:val="40"/>
    <w:uiPriority w:val="99"/>
    <w:pPr>
      <w:widowControl w:val="0"/>
      <w:shd w:val="clear" w:color="auto" w:fill="FFFFFF"/>
      <w:spacing w:before="540" w:after="240" w:line="341" w:lineRule="exact"/>
    </w:pPr>
    <w:rPr>
      <w:rFonts w:asciiTheme="minorHAnsi" w:hAnsiTheme="minorHAnsi" w:eastAsiaTheme="minorHAnsi" w:cstheme="minorBidi"/>
      <w:b/>
      <w:bCs/>
      <w:szCs w:val="26"/>
    </w:rPr>
  </w:style>
  <w:style w:type="character" w:customStyle="1" w:styleId="42">
    <w:name w:val="Body Text Char"/>
    <w:basedOn w:val="5"/>
    <w:link w:val="8"/>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7C7F83-8596-4B08-A158-8873CA909FFA}">
  <ds:schemaRefs/>
</ds:datastoreItem>
</file>

<file path=docProps/app.xml><?xml version="1.0" encoding="utf-8"?>
<Properties xmlns="http://schemas.openxmlformats.org/officeDocument/2006/extended-properties" xmlns:vt="http://schemas.openxmlformats.org/officeDocument/2006/docPropsVTypes">
  <Template>Normal</Template>
  <Pages>3</Pages>
  <Words>1093</Words>
  <Characters>3882</Characters>
  <Lines>36</Lines>
  <Paragraphs>10</Paragraphs>
  <TotalTime>81</TotalTime>
  <ScaleCrop>false</ScaleCrop>
  <LinksUpToDate>false</LinksUpToDate>
  <CharactersWithSpaces>4948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2026-04-23T07:25:00Z</dcterms:created>
  <dc:creator>admin</dc:creator>
  <cp:lastModifiedBy>Huu</cp:lastModifiedBy>
  <cp:lastPrinted>2026-04-23T07:25:00Z</cp:lastPrinted>
  <dcterms:modified xsi:type="dcterms:W3CDTF">2026-05-12T00:52:42Z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E8AB50AD3D2447479C2A5FB7807B839B_13</vt:lpwstr>
  </property>
</Properties>
</file>