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center" w:leader="none" w:pos="1350"/>
          <w:tab w:val="center" w:leader="none" w:pos="6379"/>
        </w:tabs>
        <w:spacing/>
        <w:ind/>
        <w:rPr>
          <w:b/>
          <w:sz w:val="26"/>
          <w:szCs w:val="29"/>
        </w:rPr>
      </w:pPr>
      <w:r/>
      <w:bookmarkStart w:id="0" w:name="loai_1_name"/>
      <w:r>
        <w:rPr>
          <w:sz w:val="28"/>
          <w:szCs w:val="28"/>
        </w:rPr>
        <w:tab/>
      </w:r>
      <w:r>
        <w:rPr>
          <w:b/>
          <w:sz w:val="26"/>
          <w:szCs w:val="29"/>
        </w:rPr>
        <w:t xml:space="preserve">ỦY BAN NHÂN DÂN </w:t>
      </w:r>
      <w:r>
        <w:rPr>
          <w:b/>
          <w:sz w:val="26"/>
          <w:szCs w:val="29"/>
        </w:rPr>
        <w:tab/>
        <w:t xml:space="preserve">CỘNG HÒA XÃ HỘI CHỦ NGHĨA VIỆT NAM</w:t>
      </w:r>
      <w:r>
        <w:rPr>
          <w:b/>
          <w:sz w:val="26"/>
          <w:szCs w:val="29"/>
        </w:rPr>
      </w:r>
      <w:r>
        <w:rPr>
          <w:b/>
          <w:sz w:val="26"/>
          <w:szCs w:val="29"/>
        </w:rPr>
      </w:r>
    </w:p>
    <w:p>
      <w:pPr>
        <w:pBdr/>
        <w:tabs>
          <w:tab w:val="center" w:leader="none" w:pos="1350"/>
          <w:tab w:val="center" w:leader="none" w:pos="6379"/>
        </w:tabs>
        <w:spacing/>
        <w:ind/>
        <w:rPr>
          <w:sz w:val="29"/>
          <w:szCs w:val="29"/>
        </w:rPr>
      </w:pPr>
      <w:r>
        <w:rPr>
          <w:b/>
          <w:sz w:val="26"/>
          <w:szCs w:val="29"/>
        </w:rPr>
        <w:tab/>
        <w:t xml:space="preserve">TỈNH TÂY NINH</w:t>
      </w:r>
      <w:r>
        <w:rPr>
          <w:b/>
          <w:sz w:val="26"/>
          <w:szCs w:val="29"/>
        </w:rPr>
        <w:tab/>
      </w:r>
      <w:r>
        <w:rPr>
          <w:b/>
          <w:sz w:val="28"/>
          <w:szCs w:val="29"/>
        </w:rPr>
        <w:t xml:space="preserve">Độc lập - Tự do - Hạnh phúc</w:t>
      </w:r>
      <w:r>
        <w:rPr>
          <w:sz w:val="29"/>
          <w:szCs w:val="29"/>
        </w:rPr>
      </w:r>
      <w:r>
        <w:rPr>
          <w:sz w:val="29"/>
          <w:szCs w:val="29"/>
        </w:rPr>
      </w:r>
    </w:p>
    <w:p>
      <w:pPr>
        <w:pBdr/>
        <w:tabs>
          <w:tab w:val="center" w:leader="none" w:pos="1350"/>
          <w:tab w:val="center" w:leader="none" w:pos="6379"/>
        </w:tabs>
        <w:spacing w:line="240" w:lineRule="exact"/>
        <w:ind/>
        <w:rPr>
          <w:sz w:val="29"/>
          <w:szCs w:val="29"/>
        </w:rPr>
      </w:pPr>
      <w:r>
        <w:rPr>
          <w:sz w:val="29"/>
          <w:szCs w:val="29"/>
        </w:rPr>
        <w:tab/>
      </w:r>
      <w:r>
        <w:rPr>
          <w:sz w:val="29"/>
          <w:szCs w:val="29"/>
          <w:vertAlign w:val="superscript"/>
        </w:rPr>
        <w:t xml:space="preserve">_________</w:t>
      </w:r>
      <w:r>
        <w:rPr>
          <w:sz w:val="29"/>
          <w:szCs w:val="29"/>
          <w:vertAlign w:val="superscript"/>
        </w:rPr>
        <w:tab/>
        <w:t xml:space="preserve">____________________________________</w:t>
      </w:r>
      <w:r>
        <w:rPr>
          <w:sz w:val="29"/>
          <w:szCs w:val="29"/>
        </w:rPr>
      </w:r>
      <w:r>
        <w:rPr>
          <w:sz w:val="29"/>
          <w:szCs w:val="29"/>
        </w:rPr>
      </w:r>
    </w:p>
    <w:p>
      <w:pPr>
        <w:pBdr/>
        <w:tabs>
          <w:tab w:val="center" w:leader="none" w:pos="1350"/>
          <w:tab w:val="center" w:leader="none" w:pos="6379"/>
        </w:tabs>
        <w:spacing/>
        <w:ind w:left="-283"/>
        <w:rPr>
          <w:i/>
          <w:sz w:val="29"/>
          <w:szCs w:val="28"/>
        </w:rPr>
      </w:pPr>
      <w:r>
        <w:rPr>
          <w:sz w:val="28"/>
          <w:szCs w:val="28"/>
        </w:rPr>
        <w:tab/>
        <w:t xml:space="preserve">Số: 54</w:t>
      </w:r>
      <w:r>
        <w:rPr>
          <w:sz w:val="28"/>
          <w:szCs w:val="28"/>
        </w:rPr>
        <w:t xml:space="preserve">  /2025/QĐ-UBND</w:t>
      </w:r>
      <w:r>
        <w:rPr>
          <w:sz w:val="29"/>
          <w:szCs w:val="28"/>
        </w:rPr>
        <w:tab/>
      </w:r>
      <w:r>
        <w:rPr>
          <w:i/>
          <w:sz w:val="28"/>
          <w:szCs w:val="28"/>
        </w:rPr>
        <w:t xml:space="preserve">Tây Ninh, ngày     19   tháng  </w:t>
      </w:r>
      <w:r>
        <w:rPr>
          <w:i/>
          <w:sz w:val="28"/>
          <w:szCs w:val="28"/>
          <w:lang w:val="vi-VN"/>
        </w:rPr>
        <w:t xml:space="preserve">12</w:t>
      </w:r>
      <w:r>
        <w:rPr>
          <w:i/>
          <w:sz w:val="28"/>
          <w:szCs w:val="28"/>
        </w:rPr>
        <w:t xml:space="preserve">  năm  2025</w:t>
      </w:r>
      <w:r>
        <w:rPr>
          <w:i/>
          <w:sz w:val="29"/>
          <w:szCs w:val="28"/>
        </w:rPr>
      </w:r>
      <w:r>
        <w:rPr>
          <w:i/>
          <w:sz w:val="29"/>
          <w:szCs w:val="28"/>
        </w:rPr>
      </w:r>
    </w:p>
    <w:p>
      <w:pPr>
        <w:pBdr/>
        <w:tabs>
          <w:tab w:val="left" w:leader="none" w:pos="795"/>
        </w:tabs>
        <w:spacing/>
        <w:ind w:left="567"/>
        <w:jc w:val="center"/>
        <w:rPr>
          <w:b/>
          <w:sz w:val="40"/>
          <w:szCs w:val="28"/>
        </w:rPr>
      </w:pPr>
      <w:r>
        <w:rPr>
          <w:b/>
          <w:sz w:val="40"/>
          <w:szCs w:val="28"/>
        </w:rPr>
      </w:r>
      <w:r>
        <w:rPr>
          <w:b/>
          <w:sz w:val="40"/>
          <w:szCs w:val="28"/>
        </w:rPr>
      </w:r>
      <w:r>
        <w:rPr>
          <w:b/>
          <w:sz w:val="40"/>
          <w:szCs w:val="28"/>
        </w:rPr>
      </w:r>
    </w:p>
    <w:p>
      <w:pPr>
        <w:pBdr/>
        <w:spacing/>
        <w:ind/>
        <w:jc w:val="center"/>
        <w:rPr>
          <w:b/>
          <w:sz w:val="28"/>
          <w:szCs w:val="28"/>
        </w:rPr>
      </w:pPr>
      <w:r>
        <w:rPr>
          <w:b/>
          <w:sz w:val="28"/>
          <w:szCs w:val="28"/>
        </w:rPr>
        <w:t xml:space="preserve">QUYẾT ĐỊNH</w:t>
      </w:r>
      <w:r>
        <w:rPr>
          <w:b/>
          <w:sz w:val="28"/>
          <w:szCs w:val="28"/>
        </w:rPr>
      </w:r>
      <w:r>
        <w:rPr>
          <w:b/>
          <w:sz w:val="28"/>
          <w:szCs w:val="28"/>
        </w:rPr>
      </w:r>
    </w:p>
    <w:p>
      <w:pPr>
        <w:pBdr/>
        <w:spacing/>
        <w:ind/>
        <w:jc w:val="center"/>
        <w:rPr>
          <w:b/>
          <w:sz w:val="28"/>
          <w:szCs w:val="28"/>
        </w:rPr>
      </w:pPr>
      <w:r>
        <w:rPr>
          <w:b/>
          <w:sz w:val="28"/>
          <w:szCs w:val="28"/>
        </w:rPr>
        <w:t xml:space="preserve">Ban hành Bảng giá tính thuế tài nguyên năm 2026</w:t>
      </w:r>
      <w:r>
        <w:rPr>
          <w:b/>
          <w:sz w:val="28"/>
          <w:szCs w:val="28"/>
        </w:rPr>
      </w:r>
      <w:r>
        <w:rPr>
          <w:b/>
          <w:sz w:val="28"/>
          <w:szCs w:val="28"/>
        </w:rPr>
      </w:r>
    </w:p>
    <w:p>
      <w:pPr>
        <w:pBdr/>
        <w:spacing/>
        <w:ind/>
        <w:jc w:val="center"/>
        <w:rPr>
          <w:b/>
          <w:sz w:val="28"/>
          <w:szCs w:val="28"/>
        </w:rPr>
      </w:pPr>
      <w:r>
        <w:rPr>
          <w:b/>
          <w:sz w:val="28"/>
          <w:szCs w:val="28"/>
        </w:rPr>
        <w:t xml:space="preserve">trên địa bàn tỉnh Tây Ninh</w:t>
      </w:r>
      <w:bookmarkEnd w:id="0"/>
      <w:r>
        <w:rPr>
          <w:b/>
          <w:sz w:val="28"/>
          <w:szCs w:val="28"/>
        </w:rPr>
      </w:r>
      <w:r>
        <w:rPr>
          <w:b/>
          <w:sz w:val="28"/>
          <w:szCs w:val="28"/>
        </w:rPr>
      </w:r>
    </w:p>
    <w:p>
      <w:pPr>
        <w:widowControl w:val="false"/>
        <w:pBdr/>
        <w:tabs>
          <w:tab w:val="left" w:leader="none" w:pos="3828"/>
        </w:tabs>
        <w:spacing/>
        <w:ind/>
        <w:jc w:val="center"/>
        <w:rPr>
          <w:b/>
          <w:bCs/>
          <w:sz w:val="22"/>
          <w:vertAlign w:val="superscript"/>
        </w:rPr>
      </w:pPr>
      <w:r>
        <w:rPr>
          <w:b/>
          <w:bCs/>
          <w:sz w:val="22"/>
          <w:vertAlign w:val="superscript"/>
        </w:rPr>
        <w:t xml:space="preserve">_____________________________________</w:t>
      </w:r>
      <w:r>
        <w:rPr>
          <w:b/>
          <w:bCs/>
          <w:sz w:val="22"/>
          <w:vertAlign w:val="superscript"/>
        </w:rPr>
      </w:r>
      <w:r>
        <w:rPr>
          <w:b/>
          <w:bCs/>
          <w:sz w:val="22"/>
          <w:vertAlign w:val="superscript"/>
        </w:rPr>
      </w:r>
    </w:p>
    <w:p>
      <w:pPr>
        <w:pBdr/>
        <w:spacing w:after="120" w:before="120"/>
        <w:ind w:firstLine="680"/>
        <w:jc w:val="both"/>
        <w:rPr>
          <w:bCs/>
          <w:i/>
          <w:sz w:val="28"/>
          <w:szCs w:val="28"/>
        </w:rPr>
      </w:pPr>
      <w:r>
        <w:rPr>
          <w:b/>
          <w:bCs/>
          <w:sz w:val="28"/>
          <w:szCs w:val="28"/>
        </w:rPr>
        <w:tab/>
      </w:r>
      <w:r>
        <w:rPr>
          <w:bCs/>
          <w:i/>
          <w:sz w:val="28"/>
          <w:szCs w:val="28"/>
        </w:rPr>
        <w:t xml:space="preserve">Căn cứ Luật Tổ chức chính quyền địa phương số 72/2025/QH15;</w:t>
      </w:r>
      <w:r>
        <w:rPr>
          <w:bCs/>
          <w:i/>
          <w:sz w:val="28"/>
          <w:szCs w:val="28"/>
        </w:rPr>
      </w:r>
      <w:r>
        <w:rPr>
          <w:bCs/>
          <w:i/>
          <w:sz w:val="28"/>
          <w:szCs w:val="28"/>
        </w:rPr>
      </w:r>
    </w:p>
    <w:p>
      <w:pPr>
        <w:pBdr/>
        <w:spacing w:after="120" w:before="120"/>
        <w:ind w:firstLine="680"/>
        <w:jc w:val="both"/>
        <w:rPr>
          <w:i/>
          <w:iCs/>
          <w:sz w:val="28"/>
          <w:szCs w:val="28"/>
          <w14:ligatures w14:val="none"/>
        </w:rPr>
      </w:pPr>
      <w:r>
        <w:rPr>
          <w:i/>
          <w:iCs/>
          <w:sz w:val="28"/>
          <w:szCs w:val="28"/>
          <w:lang w:val="vi-VN"/>
        </w:rPr>
        <w:t xml:space="preserve">Căn cứ Luật Thuế </w:t>
      </w:r>
      <w:r>
        <w:rPr>
          <w:i/>
          <w:iCs/>
          <w:sz w:val="28"/>
          <w:szCs w:val="28"/>
        </w:rPr>
        <w:t xml:space="preserve">t</w:t>
      </w:r>
      <w:r>
        <w:rPr>
          <w:i/>
          <w:iCs/>
          <w:sz w:val="28"/>
          <w:szCs w:val="28"/>
          <w:lang w:val="vi-VN"/>
        </w:rPr>
        <w:t xml:space="preserve">ài nguyên số 45/2009/QH12;</w:t>
      </w:r>
      <w:r>
        <w:rPr>
          <w:i/>
          <w:iCs/>
          <w:sz w:val="28"/>
          <w:szCs w:val="28"/>
          <w:lang w:val="vi-VN"/>
        </w:rPr>
      </w:r>
      <w:r>
        <w:rPr>
          <w:i/>
          <w:iCs/>
          <w:sz w:val="28"/>
          <w:szCs w:val="28"/>
          <w14:ligatures w14:val="none"/>
        </w:rPr>
      </w:r>
    </w:p>
    <w:p>
      <w:pPr>
        <w:pBdr/>
        <w:spacing w:after="120" w:before="120"/>
        <w:ind w:firstLine="680"/>
        <w:jc w:val="both"/>
        <w:rPr>
          <w:i/>
          <w:iCs/>
          <w:sz w:val="28"/>
          <w:szCs w:val="28"/>
          <w14:ligatures w14:val="none"/>
        </w:rPr>
      </w:pPr>
      <w:r>
        <w:rPr>
          <w:i/>
          <w:iCs/>
          <w:sz w:val="28"/>
          <w:szCs w:val="28"/>
          <w:lang w:val="vi-VN"/>
        </w:rPr>
        <w:t xml:space="preserve">Căn cứ Luật Giá </w:t>
      </w:r>
      <w:r>
        <w:rPr>
          <w:i/>
          <w:iCs/>
          <w:sz w:val="28"/>
          <w:szCs w:val="28"/>
        </w:rPr>
        <w:t xml:space="preserve">số </w:t>
      </w:r>
      <w:r>
        <w:rPr>
          <w:i/>
          <w:iCs/>
          <w:sz w:val="28"/>
          <w:szCs w:val="28"/>
          <w:lang w:val="vi-VN"/>
        </w:rPr>
        <w:t xml:space="preserve">16/2023/QH15;</w:t>
      </w:r>
      <w:r>
        <w:rPr>
          <w:i/>
          <w:iCs/>
          <w:sz w:val="28"/>
          <w:szCs w:val="28"/>
          <w:lang w:val="vi-VN"/>
        </w:rPr>
      </w:r>
      <w:r>
        <w:rPr>
          <w:i/>
          <w:iCs/>
          <w:sz w:val="28"/>
          <w:szCs w:val="28"/>
          <w14:ligatures w14:val="none"/>
        </w:rPr>
      </w:r>
    </w:p>
    <w:p>
      <w:pPr>
        <w:pBdr/>
        <w:spacing w:after="120" w:before="120"/>
        <w:ind w:firstLine="680"/>
        <w:jc w:val="both"/>
        <w:rPr>
          <w:i/>
          <w:iCs/>
          <w:sz w:val="28"/>
          <w:szCs w:val="28"/>
          <w14:ligatures w14:val="none"/>
        </w:rPr>
      </w:pPr>
      <w:r>
        <w:rPr>
          <w:i/>
          <w:iCs/>
          <w:sz w:val="28"/>
          <w:szCs w:val="28"/>
          <w:lang w:val="vi-VN"/>
        </w:rPr>
        <w:t xml:space="preserve">Căn cứ Luật sửa đổi, bổ sung một số điều </w:t>
      </w:r>
      <w:r>
        <w:rPr>
          <w:i/>
          <w:iCs/>
          <w:sz w:val="28"/>
          <w:szCs w:val="28"/>
        </w:rPr>
        <w:t xml:space="preserve">của</w:t>
      </w:r>
      <w:r>
        <w:rPr>
          <w:i/>
          <w:iCs/>
          <w:sz w:val="28"/>
          <w:szCs w:val="28"/>
          <w:lang w:val="vi-VN"/>
        </w:rPr>
        <w:t xml:space="preserve"> các Luật về thuế số 71/2014/QH13;</w:t>
      </w:r>
      <w:r>
        <w:rPr>
          <w:i/>
          <w:iCs/>
          <w:sz w:val="28"/>
          <w:szCs w:val="28"/>
          <w:lang w:val="vi-VN"/>
        </w:rPr>
      </w:r>
      <w:r>
        <w:rPr>
          <w:i/>
          <w:iCs/>
          <w:sz w:val="28"/>
          <w:szCs w:val="28"/>
          <w14:ligatures w14:val="none"/>
        </w:rPr>
      </w:r>
    </w:p>
    <w:p>
      <w:pPr>
        <w:pBdr/>
        <w:spacing w:after="120" w:before="120"/>
        <w:ind w:firstLine="680"/>
        <w:jc w:val="both"/>
        <w:rPr>
          <w:i/>
          <w:iCs/>
          <w:sz w:val="28"/>
          <w:szCs w:val="28"/>
          <w14:ligatures w14:val="none"/>
        </w:rPr>
      </w:pPr>
      <w:r>
        <w:rPr>
          <w:i/>
          <w:iCs/>
          <w:sz w:val="28"/>
          <w:szCs w:val="28"/>
          <w:lang w:val="vi-VN"/>
        </w:rPr>
        <w:t xml:space="preserve">Căn cứ Nghị định số 50/2010/NĐ-CP ngày 14/5/2010 của Chính phủ quy định chi tiết và hướng dẫn thi hành một số điều của Luật Thuế tài nguyên;</w:t>
      </w:r>
      <w:r>
        <w:rPr>
          <w:i/>
          <w:iCs/>
          <w:sz w:val="28"/>
          <w:szCs w:val="28"/>
          <w:lang w:val="vi-VN"/>
        </w:rPr>
      </w:r>
      <w:r>
        <w:rPr>
          <w:i/>
          <w:iCs/>
          <w:sz w:val="28"/>
          <w:szCs w:val="28"/>
          <w14:ligatures w14:val="none"/>
        </w:rPr>
      </w:r>
    </w:p>
    <w:p>
      <w:pPr>
        <w:pBdr/>
        <w:spacing w:after="120" w:before="120"/>
        <w:ind w:firstLine="680"/>
        <w:jc w:val="both"/>
        <w:rPr>
          <w:bCs/>
          <w:i/>
          <w:sz w:val="28"/>
          <w:szCs w:val="28"/>
          <w14:ligatures w14:val="none"/>
        </w:rPr>
      </w:pPr>
      <w:r>
        <w:rPr>
          <w:i/>
          <w:iCs/>
          <w:sz w:val="28"/>
          <w:szCs w:val="28"/>
          <w:lang w:val="vi-VN"/>
        </w:rPr>
        <w:t xml:space="preserve">Căn cứ </w:t>
      </w:r>
      <w:r>
        <w:rPr>
          <w:i/>
          <w:iCs/>
          <w:sz w:val="28"/>
          <w:szCs w:val="28"/>
        </w:rPr>
        <w:t xml:space="preserve">Nghị định số 85/2024/NĐ-CP ngày 10/7/2024 của Chính phủ quy định chi tiết một số điều của Luật Giá;</w:t>
      </w:r>
      <w:r>
        <w:rPr>
          <w:i/>
          <w:iCs/>
          <w:sz w:val="28"/>
          <w:szCs w:val="28"/>
        </w:rPr>
      </w:r>
      <w:r>
        <w:rPr>
          <w:bCs/>
          <w:i/>
          <w:sz w:val="28"/>
          <w:szCs w:val="28"/>
          <w14:ligatures w14:val="none"/>
        </w:rPr>
      </w:r>
    </w:p>
    <w:p>
      <w:pPr>
        <w:pBdr/>
        <w:spacing w:after="120" w:before="120"/>
        <w:ind w:firstLine="680"/>
        <w:jc w:val="both"/>
        <w:rPr>
          <w:i/>
          <w:iCs/>
          <w:sz w:val="28"/>
          <w:szCs w:val="28"/>
          <w14:ligatures w14:val="none"/>
        </w:rPr>
      </w:pPr>
      <w:r>
        <w:rPr>
          <w:i/>
          <w:iCs/>
          <w:sz w:val="28"/>
          <w:szCs w:val="28"/>
          <w:lang w:val="vi-VN"/>
        </w:rPr>
        <w:t xml:space="preserve">Căn cứ Nghị định số </w:t>
      </w:r>
      <w:hyperlink r:id="rId9" w:tooltip="https://thuvienphapluat.vn/phap-luat/tim-van-ban.aspx?keyword=12/2015/N%C4%90-CP&amp;area=2&amp;type=0&amp;match=False&amp;vc=True&amp;lan=1" w:history="1">
        <w:r>
          <w:rPr>
            <w:i/>
            <w:iCs/>
            <w:sz w:val="28"/>
            <w:szCs w:val="28"/>
            <w:lang w:val="vi-VN"/>
          </w:rPr>
          <w:t xml:space="preserve">12/2015/NĐ-CP</w:t>
        </w:r>
      </w:hyperlink>
      <w:r>
        <w:rPr>
          <w:i/>
          <w:iCs/>
          <w:sz w:val="28"/>
          <w:szCs w:val="28"/>
          <w:lang w:val="vi-VN"/>
        </w:rPr>
        <w:t xml:space="preserve"> ngày 12/02/2015 của Chính phủ quy định chi tiết thi hành Luật sửa đổi, bổ sung một số điều </w:t>
      </w:r>
      <w:r>
        <w:rPr>
          <w:i/>
          <w:iCs/>
          <w:sz w:val="28"/>
          <w:szCs w:val="28"/>
        </w:rPr>
        <w:t xml:space="preserve">của</w:t>
      </w:r>
      <w:r>
        <w:rPr>
          <w:i/>
          <w:iCs/>
          <w:sz w:val="28"/>
          <w:szCs w:val="28"/>
          <w:lang w:val="vi-VN"/>
        </w:rPr>
        <w:t xml:space="preserve"> các Luật về thuế và sửa đổi, bổ sung một số điều của các Nghị định về thuế;</w:t>
      </w:r>
      <w:r>
        <w:rPr>
          <w:i/>
          <w:iCs/>
          <w:sz w:val="28"/>
          <w:szCs w:val="28"/>
        </w:rPr>
      </w:r>
      <w:r>
        <w:rPr>
          <w:i/>
          <w:iCs/>
          <w:sz w:val="28"/>
          <w:szCs w:val="28"/>
          <w14:ligatures w14:val="none"/>
        </w:rPr>
      </w:r>
    </w:p>
    <w:p>
      <w:pPr>
        <w:pBdr/>
        <w:spacing w:after="120" w:before="120"/>
        <w:ind w:firstLine="680"/>
        <w:jc w:val="both"/>
        <w:rPr>
          <w:i/>
          <w:iCs/>
          <w:sz w:val="28"/>
          <w:szCs w:val="28"/>
          <w14:ligatures w14:val="none"/>
        </w:rPr>
      </w:pPr>
      <w:r>
        <w:rPr>
          <w:i/>
          <w:iCs/>
          <w:sz w:val="28"/>
          <w:szCs w:val="28"/>
          <w:lang w:val="vi-VN"/>
        </w:rPr>
        <w:t xml:space="preserve">Căn cứ Nghị định số </w:t>
      </w:r>
      <w:r>
        <w:rPr>
          <w:i/>
          <w:iCs/>
          <w:sz w:val="28"/>
          <w:szCs w:val="28"/>
        </w:rPr>
        <w:t xml:space="preserve">126</w:t>
      </w:r>
      <w:r>
        <w:rPr>
          <w:i/>
          <w:iCs/>
          <w:sz w:val="28"/>
          <w:szCs w:val="28"/>
          <w:lang w:val="vi-VN"/>
        </w:rPr>
        <w:t xml:space="preserve">/20</w:t>
      </w:r>
      <w:r>
        <w:rPr>
          <w:i/>
          <w:iCs/>
          <w:sz w:val="28"/>
          <w:szCs w:val="28"/>
        </w:rPr>
        <w:t xml:space="preserve">20</w:t>
      </w:r>
      <w:r>
        <w:rPr>
          <w:i/>
          <w:iCs/>
          <w:sz w:val="28"/>
          <w:szCs w:val="28"/>
          <w:lang w:val="vi-VN"/>
        </w:rPr>
        <w:t xml:space="preserve">/NĐ-CP ngày </w:t>
      </w:r>
      <w:r>
        <w:rPr>
          <w:i/>
          <w:iCs/>
          <w:sz w:val="28"/>
          <w:szCs w:val="28"/>
        </w:rPr>
        <w:t xml:space="preserve">19/10/2020</w:t>
      </w:r>
      <w:r>
        <w:rPr>
          <w:i/>
          <w:iCs/>
          <w:sz w:val="28"/>
          <w:szCs w:val="28"/>
          <w:lang w:val="vi-VN"/>
        </w:rPr>
        <w:t xml:space="preserve"> của Chính phủ quy định chi tiết </w:t>
      </w:r>
      <w:r>
        <w:rPr>
          <w:i/>
          <w:iCs/>
          <w:sz w:val="28"/>
          <w:szCs w:val="28"/>
        </w:rPr>
        <w:t xml:space="preserve">một số điều </w:t>
      </w:r>
      <w:r>
        <w:rPr>
          <w:i/>
          <w:iCs/>
          <w:sz w:val="28"/>
          <w:szCs w:val="28"/>
          <w:lang w:val="vi-VN"/>
        </w:rPr>
        <w:t xml:space="preserve">Luật </w:t>
      </w:r>
      <w:r>
        <w:rPr>
          <w:i/>
          <w:iCs/>
          <w:sz w:val="28"/>
          <w:szCs w:val="28"/>
        </w:rPr>
        <w:t xml:space="preserve">Quản lý thuế</w:t>
      </w:r>
      <w:r>
        <w:rPr>
          <w:i/>
          <w:iCs/>
          <w:sz w:val="28"/>
          <w:szCs w:val="28"/>
          <w:lang w:val="vi-VN"/>
        </w:rPr>
        <w:t xml:space="preserve">;</w:t>
      </w:r>
      <w:r>
        <w:rPr>
          <w:i/>
          <w:iCs/>
          <w:sz w:val="28"/>
          <w:szCs w:val="28"/>
          <w:lang w:val="vi-VN"/>
        </w:rPr>
      </w:r>
      <w:r>
        <w:rPr>
          <w:i/>
          <w:iCs/>
          <w:sz w:val="28"/>
          <w:szCs w:val="28"/>
          <w14:ligatures w14:val="none"/>
        </w:rPr>
      </w:r>
    </w:p>
    <w:p>
      <w:pPr>
        <w:pBdr/>
        <w:spacing w:after="120" w:before="120"/>
        <w:ind w:firstLine="680"/>
        <w:jc w:val="both"/>
        <w:rPr>
          <w:i/>
          <w:iCs/>
          <w:sz w:val="28"/>
          <w:szCs w:val="28"/>
          <w14:ligatures w14:val="none"/>
        </w:rPr>
      </w:pPr>
      <w:r>
        <w:rPr>
          <w:i/>
          <w:iCs/>
          <w:sz w:val="28"/>
          <w:szCs w:val="28"/>
          <w:lang w:val="vi-VN"/>
        </w:rPr>
        <w:t xml:space="preserve">Căn cứ Nghị định số 91/2022/NĐ-CP ngày 30/10/2022 của Chính phủ sửa đổi, bổ sung một số điều của Nghị định số 126/2020/NĐ-CP ngày 19/10/2020 của Chính phủ quy định chi tiết một số điều của Luật Quản lý thuế;</w:t>
      </w:r>
      <w:r>
        <w:rPr>
          <w:i/>
          <w:iCs/>
          <w:sz w:val="28"/>
          <w:szCs w:val="28"/>
          <w:lang w:val="vi-VN"/>
        </w:rPr>
      </w:r>
      <w:r>
        <w:rPr>
          <w:i/>
          <w:iCs/>
          <w:sz w:val="28"/>
          <w:szCs w:val="28"/>
          <w14:ligatures w14:val="none"/>
        </w:rPr>
      </w:r>
    </w:p>
    <w:p>
      <w:pPr>
        <w:pBdr/>
        <w:spacing w:after="120" w:before="120"/>
        <w:ind w:firstLine="680"/>
        <w:jc w:val="both"/>
        <w:rPr>
          <w:i/>
          <w:iCs/>
          <w:sz w:val="28"/>
          <w:szCs w:val="28"/>
          <w14:ligatures w14:val="none"/>
        </w:rPr>
      </w:pPr>
      <w:r>
        <w:rPr>
          <w:i/>
          <w:iCs/>
          <w:sz w:val="28"/>
          <w:szCs w:val="28"/>
          <w:lang w:val="vi-VN"/>
        </w:rPr>
        <w:t xml:space="preserve">Căn cứ Thông tư số 152/2015/TT-BTC ngày 02/10/2015 của </w:t>
      </w:r>
      <w:r>
        <w:rPr>
          <w:i/>
          <w:iCs/>
          <w:sz w:val="28"/>
          <w:szCs w:val="28"/>
        </w:rPr>
        <w:t xml:space="preserve">Bộ trưởng </w:t>
      </w:r>
      <w:r>
        <w:rPr>
          <w:i/>
          <w:iCs/>
          <w:sz w:val="28"/>
          <w:szCs w:val="28"/>
          <w:lang w:val="vi-VN"/>
        </w:rPr>
        <w:t xml:space="preserve">Bộ Tài chính hướng dẫn về thuế tài nguyên</w:t>
      </w:r>
      <w:r>
        <w:rPr>
          <w:i/>
          <w:iCs/>
          <w:sz w:val="28"/>
          <w:szCs w:val="28"/>
        </w:rPr>
        <w:t xml:space="preserve">;</w:t>
      </w:r>
      <w:r>
        <w:rPr>
          <w:i/>
          <w:iCs/>
          <w:sz w:val="28"/>
          <w:szCs w:val="28"/>
        </w:rPr>
      </w:r>
      <w:r>
        <w:rPr>
          <w:i/>
          <w:iCs/>
          <w:sz w:val="28"/>
          <w:szCs w:val="28"/>
          <w14:ligatures w14:val="none"/>
        </w:rPr>
      </w:r>
    </w:p>
    <w:p>
      <w:pPr>
        <w:pBdr/>
        <w:spacing w:after="120" w:before="120"/>
        <w:ind w:firstLine="680"/>
        <w:jc w:val="both"/>
        <w:rPr>
          <w:i/>
          <w:iCs/>
          <w:sz w:val="28"/>
          <w:szCs w:val="28"/>
          <w14:ligatures w14:val="none"/>
        </w:rPr>
      </w:pPr>
      <w:r>
        <w:rPr>
          <w:i/>
          <w:iCs/>
          <w:sz w:val="28"/>
          <w:szCs w:val="28"/>
        </w:rPr>
        <w:t xml:space="preserve">Căn cứ </w:t>
      </w:r>
      <w:r>
        <w:rPr>
          <w:i/>
          <w:iCs/>
          <w:sz w:val="28"/>
          <w:szCs w:val="28"/>
          <w:lang w:val="vi-VN"/>
        </w:rPr>
        <w:t xml:space="preserve">Thông tư số </w:t>
      </w:r>
      <w:r>
        <w:rPr>
          <w:i/>
          <w:iCs/>
          <w:sz w:val="28"/>
          <w:szCs w:val="28"/>
        </w:rPr>
        <w:t xml:space="preserve">12</w:t>
      </w:r>
      <w:r>
        <w:rPr>
          <w:i/>
          <w:iCs/>
          <w:sz w:val="28"/>
          <w:szCs w:val="28"/>
          <w:lang w:val="vi-VN"/>
        </w:rPr>
        <w:t xml:space="preserve">/2016/TT-BTC ngày 2</w:t>
      </w:r>
      <w:r>
        <w:rPr>
          <w:i/>
          <w:iCs/>
          <w:sz w:val="28"/>
          <w:szCs w:val="28"/>
        </w:rPr>
        <w:t xml:space="preserve">0/0</w:t>
      </w:r>
      <w:r>
        <w:rPr>
          <w:i/>
          <w:iCs/>
          <w:sz w:val="28"/>
          <w:szCs w:val="28"/>
          <w:lang w:val="vi-VN"/>
        </w:rPr>
        <w:t xml:space="preserve">1</w:t>
      </w:r>
      <w:r>
        <w:rPr>
          <w:i/>
          <w:iCs/>
          <w:sz w:val="28"/>
          <w:szCs w:val="28"/>
        </w:rPr>
        <w:t xml:space="preserve">/</w:t>
      </w:r>
      <w:r>
        <w:rPr>
          <w:i/>
          <w:iCs/>
          <w:sz w:val="28"/>
          <w:szCs w:val="28"/>
          <w:lang w:val="vi-VN"/>
        </w:rPr>
        <w:t xml:space="preserve">2016 của </w:t>
      </w:r>
      <w:r>
        <w:rPr>
          <w:i/>
          <w:iCs/>
          <w:sz w:val="28"/>
          <w:szCs w:val="28"/>
        </w:rPr>
        <w:t xml:space="preserve">Bộ trưởng </w:t>
      </w:r>
      <w:r>
        <w:rPr>
          <w:i/>
          <w:iCs/>
          <w:sz w:val="28"/>
          <w:szCs w:val="28"/>
          <w:lang w:val="vi-VN"/>
        </w:rPr>
        <w:t xml:space="preserve">Bộ Tài chính sửa đổi, bổ sung </w:t>
      </w:r>
      <w:r>
        <w:rPr>
          <w:i/>
          <w:iCs/>
          <w:sz w:val="28"/>
          <w:szCs w:val="28"/>
        </w:rPr>
        <w:t xml:space="preserve">k</w:t>
      </w:r>
      <w:r>
        <w:rPr>
          <w:i/>
          <w:iCs/>
          <w:sz w:val="28"/>
          <w:szCs w:val="28"/>
          <w:lang w:val="vi-VN"/>
        </w:rPr>
        <w:t xml:space="preserve">hoản </w:t>
      </w:r>
      <w:r>
        <w:rPr>
          <w:i/>
          <w:iCs/>
          <w:sz w:val="28"/>
          <w:szCs w:val="28"/>
        </w:rPr>
        <w:t xml:space="preserve">1</w:t>
      </w:r>
      <w:r>
        <w:rPr>
          <w:i/>
          <w:iCs/>
          <w:sz w:val="28"/>
          <w:szCs w:val="28"/>
          <w:lang w:val="vi-VN"/>
        </w:rPr>
        <w:t xml:space="preserve"> Điều </w:t>
      </w:r>
      <w:r>
        <w:rPr>
          <w:i/>
          <w:iCs/>
          <w:sz w:val="28"/>
          <w:szCs w:val="28"/>
        </w:rPr>
        <w:t xml:space="preserve">7</w:t>
      </w:r>
      <w:r>
        <w:rPr>
          <w:i/>
          <w:iCs/>
          <w:sz w:val="28"/>
          <w:szCs w:val="28"/>
          <w:lang w:val="vi-VN"/>
        </w:rPr>
        <w:t xml:space="preserve"> Thông tư số 152/2015/TT-BTC ngày 02/10/2015 của </w:t>
      </w:r>
      <w:r>
        <w:rPr>
          <w:i/>
          <w:iCs/>
          <w:sz w:val="28"/>
          <w:szCs w:val="28"/>
        </w:rPr>
        <w:t xml:space="preserve">Bộ trưởng </w:t>
      </w:r>
      <w:r>
        <w:rPr>
          <w:i/>
          <w:iCs/>
          <w:sz w:val="28"/>
          <w:szCs w:val="28"/>
          <w:lang w:val="vi-VN"/>
        </w:rPr>
        <w:t xml:space="preserve">Bộ Tài chín</w:t>
      </w:r>
      <w:r>
        <w:rPr>
          <w:i/>
          <w:iCs/>
          <w:sz w:val="28"/>
          <w:szCs w:val="28"/>
        </w:rPr>
        <w:t xml:space="preserve">h</w:t>
      </w:r>
      <w:r>
        <w:rPr>
          <w:i/>
          <w:iCs/>
          <w:sz w:val="28"/>
          <w:szCs w:val="28"/>
          <w:lang w:val="vi-VN"/>
        </w:rPr>
        <w:t xml:space="preserve"> hướng dẫn về thuế tài nguyên;</w:t>
      </w:r>
      <w:r>
        <w:rPr>
          <w:i/>
          <w:iCs/>
          <w:sz w:val="28"/>
          <w:szCs w:val="28"/>
        </w:rPr>
      </w:r>
      <w:r>
        <w:rPr>
          <w:i/>
          <w:iCs/>
          <w:sz w:val="28"/>
          <w:szCs w:val="28"/>
          <w14:ligatures w14:val="none"/>
        </w:rPr>
      </w:r>
    </w:p>
    <w:p>
      <w:pPr>
        <w:pBdr/>
        <w:spacing w:after="120" w:before="120"/>
        <w:ind w:firstLine="680"/>
        <w:jc w:val="both"/>
        <w:rPr>
          <w:i/>
          <w:iCs/>
          <w:sz w:val="28"/>
          <w:szCs w:val="28"/>
          <w14:ligatures w14:val="none"/>
        </w:rPr>
      </w:pPr>
      <w:r>
        <w:rPr>
          <w:i/>
          <w:iCs/>
          <w:sz w:val="28"/>
          <w:szCs w:val="28"/>
          <w:lang w:val="vi-VN"/>
        </w:rPr>
        <w:t xml:space="preserve">Căn cứ Thông tư số 44/2017/TT-BTC ngày 12</w:t>
      </w:r>
      <w:r>
        <w:rPr>
          <w:i/>
          <w:iCs/>
          <w:sz w:val="28"/>
          <w:szCs w:val="28"/>
        </w:rPr>
        <w:t xml:space="preserve">/</w:t>
      </w:r>
      <w:r>
        <w:rPr>
          <w:i/>
          <w:iCs/>
          <w:sz w:val="28"/>
          <w:szCs w:val="28"/>
          <w:lang w:val="vi-VN"/>
        </w:rPr>
        <w:t xml:space="preserve">5</w:t>
      </w:r>
      <w:r>
        <w:rPr>
          <w:i/>
          <w:iCs/>
          <w:sz w:val="28"/>
          <w:szCs w:val="28"/>
        </w:rPr>
        <w:t xml:space="preserve">/</w:t>
      </w:r>
      <w:r>
        <w:rPr>
          <w:i/>
          <w:iCs/>
          <w:sz w:val="28"/>
          <w:szCs w:val="28"/>
          <w:lang w:val="vi-VN"/>
        </w:rPr>
        <w:t xml:space="preserve">2017 của </w:t>
      </w:r>
      <w:r>
        <w:rPr>
          <w:i/>
          <w:iCs/>
          <w:sz w:val="28"/>
          <w:szCs w:val="28"/>
        </w:rPr>
        <w:t xml:space="preserve">Bộ trưởng </w:t>
      </w:r>
      <w:r>
        <w:rPr>
          <w:i/>
          <w:iCs/>
          <w:sz w:val="28"/>
          <w:szCs w:val="28"/>
          <w:lang w:val="vi-VN"/>
        </w:rPr>
        <w:t xml:space="preserve">Bộ Tài chính quy định về khung giá tính thuế tài nguyên đối với nhóm, loại tài nguyên có tính chất lý, hóa giống nha</w:t>
      </w:r>
      <w:r>
        <w:rPr>
          <w:i/>
          <w:iCs/>
          <w:sz w:val="28"/>
          <w:szCs w:val="28"/>
        </w:rPr>
        <w:t xml:space="preserve">u; </w:t>
      </w:r>
      <w:r>
        <w:rPr>
          <w:i/>
          <w:iCs/>
          <w:sz w:val="28"/>
          <w:szCs w:val="28"/>
        </w:rPr>
      </w:r>
      <w:r>
        <w:rPr>
          <w:i/>
          <w:iCs/>
          <w:sz w:val="28"/>
          <w:szCs w:val="28"/>
          <w14:ligatures w14:val="none"/>
        </w:rPr>
      </w:r>
    </w:p>
    <w:p>
      <w:pPr>
        <w:pBdr/>
        <w:spacing w:after="120" w:before="120"/>
        <w:ind w:firstLine="680"/>
        <w:jc w:val="both"/>
        <w:rPr>
          <w:i/>
          <w:iCs/>
          <w:sz w:val="28"/>
          <w:szCs w:val="28"/>
          <w14:ligatures w14:val="none"/>
        </w:rPr>
      </w:pPr>
      <w:r>
        <w:rPr>
          <w:i/>
          <w:iCs/>
          <w:sz w:val="28"/>
          <w:szCs w:val="28"/>
        </w:rPr>
        <w:t xml:space="preserve">Căn cứ Thông tư số 05/2020/TT-BTC ngày 20/01/2020 của Bộ trưởng Bộ Tài chính sửa đổi, bổ sung một số điều của Thông tư số 44/2017/TT-BTC ngày 12/5/2017 của Bộ trưởng Bộ Tài chính</w:t>
      </w:r>
      <w:r>
        <w:rPr>
          <w:i/>
          <w:iCs/>
          <w:sz w:val="28"/>
          <w:szCs w:val="28"/>
          <w:lang w:val="vi-VN"/>
        </w:rPr>
        <w:t xml:space="preserve"> quy định về khung giá tính thuế tài nguyên đối với nhóm, loại tài nguyên có tính chất lý, hóa giống nhau</w:t>
      </w:r>
      <w:r>
        <w:rPr>
          <w:i/>
          <w:iCs/>
          <w:sz w:val="28"/>
          <w:szCs w:val="28"/>
        </w:rPr>
        <w:t xml:space="preserve">; </w:t>
      </w:r>
      <w:r>
        <w:rPr>
          <w:i/>
          <w:iCs/>
          <w:sz w:val="28"/>
          <w:szCs w:val="28"/>
        </w:rPr>
      </w:r>
      <w:r>
        <w:rPr>
          <w:i/>
          <w:iCs/>
          <w:sz w:val="28"/>
          <w:szCs w:val="28"/>
          <w14:ligatures w14:val="none"/>
        </w:rPr>
      </w:r>
    </w:p>
    <w:p>
      <w:pPr>
        <w:pBdr/>
        <w:spacing w:after="120" w:before="120"/>
        <w:ind w:firstLine="680"/>
        <w:jc w:val="both"/>
        <w:rPr>
          <w:i/>
          <w:iCs/>
          <w:sz w:val="28"/>
          <w:szCs w:val="28"/>
          <w14:ligatures w14:val="none"/>
        </w:rPr>
      </w:pPr>
      <w:r>
        <w:rPr>
          <w:i/>
          <w:iCs/>
          <w:sz w:val="28"/>
          <w:szCs w:val="28"/>
        </w:rPr>
        <w:t xml:space="preserve">Căn cứ </w:t>
      </w:r>
      <w:r>
        <w:rPr>
          <w:i/>
          <w:iCs/>
          <w:sz w:val="28"/>
          <w:szCs w:val="28"/>
          <w:lang w:val="vi-VN"/>
        </w:rPr>
        <w:t xml:space="preserve">Thông tư số 41/2024/TT-BTC ngày 20/5/2024 của </w:t>
      </w:r>
      <w:r>
        <w:rPr>
          <w:i/>
          <w:iCs/>
          <w:sz w:val="28"/>
          <w:szCs w:val="28"/>
        </w:rPr>
        <w:t xml:space="preserve">Bộ trưởng </w:t>
      </w:r>
      <w:r>
        <w:rPr>
          <w:i/>
          <w:iCs/>
          <w:sz w:val="28"/>
          <w:szCs w:val="28"/>
          <w:lang w:val="vi-VN"/>
        </w:rPr>
        <w:t xml:space="preserve">Bộ Tài chính sửa đổi, bổ sung một số điều của Thông tư số 44/2017/TT-BTC ngày </w:t>
      </w:r>
      <w:r>
        <w:rPr>
          <w:i/>
          <w:iCs/>
          <w:sz w:val="28"/>
          <w:szCs w:val="28"/>
          <w:lang w:val="vi-VN"/>
        </w:rPr>
        <w:t xml:space="preserve">12/5/2017 của Bộ trưởng Bộ Tài chính quy định khung giá tính thuế tài nguyên đối với nhóm, loại tài nguyên có tính chất lý, hóa giống nhau và Thông tư số 152/2015/TT-BTC ngày 02/10/2015 của Bộ Trưởng Bộ Tài chính hướng dẫn về thuế tài nguyên.</w:t>
      </w:r>
      <w:r>
        <w:rPr>
          <w:i/>
          <w:iCs/>
          <w:sz w:val="28"/>
          <w:szCs w:val="28"/>
          <w:lang w:val="vi-VN"/>
        </w:rPr>
      </w:r>
      <w:r>
        <w:rPr>
          <w:i/>
          <w:iCs/>
          <w:sz w:val="28"/>
          <w:szCs w:val="28"/>
          <w14:ligatures w14:val="none"/>
        </w:rPr>
      </w:r>
    </w:p>
    <w:p>
      <w:pPr>
        <w:pBdr/>
        <w:spacing w:after="120" w:before="120"/>
        <w:ind w:firstLine="680"/>
        <w:jc w:val="both"/>
        <w:rPr>
          <w:i/>
          <w:iCs/>
          <w:sz w:val="28"/>
          <w:szCs w:val="28"/>
          <w14:ligatures w14:val="none"/>
        </w:rPr>
      </w:pPr>
      <w:r>
        <w:rPr>
          <w:i/>
          <w:iCs/>
          <w:sz w:val="28"/>
          <w:szCs w:val="28"/>
        </w:rPr>
        <w:t xml:space="preserve">Theo</w:t>
      </w:r>
      <w:r>
        <w:rPr>
          <w:i/>
          <w:iCs/>
          <w:sz w:val="28"/>
          <w:szCs w:val="28"/>
          <w:lang w:val="vi-VN"/>
        </w:rPr>
        <w:t xml:space="preserve"> đề nghị của </w:t>
      </w:r>
      <w:r>
        <w:rPr>
          <w:i/>
          <w:iCs/>
          <w:sz w:val="28"/>
          <w:szCs w:val="28"/>
        </w:rPr>
        <w:t xml:space="preserve">Giám đốc </w:t>
      </w:r>
      <w:r>
        <w:rPr>
          <w:i/>
          <w:iCs/>
          <w:sz w:val="28"/>
          <w:szCs w:val="28"/>
          <w:lang w:val="vi-VN"/>
        </w:rPr>
        <w:t xml:space="preserve">Sở Tài chính tại Tờ trình số</w:t>
      </w:r>
      <w:r>
        <w:rPr>
          <w:i/>
          <w:iCs/>
          <w:sz w:val="28"/>
          <w:szCs w:val="28"/>
          <w:lang w:val="vi-VN"/>
        </w:rPr>
        <w:t xml:space="preserve"> 87</w:t>
      </w:r>
      <w:r>
        <w:rPr>
          <w:i/>
          <w:iCs/>
          <w:sz w:val="28"/>
          <w:szCs w:val="28"/>
        </w:rPr>
        <w:t xml:space="preserve">22</w:t>
      </w:r>
      <w:r>
        <w:rPr>
          <w:i/>
          <w:iCs/>
          <w:sz w:val="28"/>
          <w:szCs w:val="28"/>
          <w:lang w:val="vi-VN"/>
        </w:rPr>
        <w:t xml:space="preserve">/TTr-STC ngày</w:t>
      </w:r>
      <w:r>
        <w:rPr>
          <w:i/>
          <w:iCs/>
          <w:sz w:val="28"/>
          <w:szCs w:val="28"/>
        </w:rPr>
        <w:t xml:space="preserve"> 12</w:t>
      </w:r>
      <w:r>
        <w:rPr>
          <w:i/>
          <w:iCs/>
          <w:sz w:val="28"/>
          <w:szCs w:val="28"/>
        </w:rPr>
        <w:t xml:space="preserve">/</w:t>
      </w:r>
      <w:r>
        <w:rPr>
          <w:i/>
          <w:iCs/>
          <w:sz w:val="28"/>
          <w:szCs w:val="28"/>
          <w:lang w:val="vi-VN"/>
        </w:rPr>
        <w:t xml:space="preserve">12</w:t>
      </w:r>
      <w:r>
        <w:rPr>
          <w:i/>
          <w:iCs/>
          <w:sz w:val="28"/>
          <w:szCs w:val="28"/>
        </w:rPr>
        <w:t xml:space="preserve">/2025.</w:t>
      </w:r>
      <w:r>
        <w:rPr>
          <w:i/>
          <w:iCs/>
          <w:sz w:val="28"/>
          <w:szCs w:val="28"/>
        </w:rPr>
      </w:r>
      <w:r>
        <w:rPr>
          <w:i/>
          <w:iCs/>
          <w:sz w:val="28"/>
          <w:szCs w:val="28"/>
          <w14:ligatures w14:val="none"/>
        </w:rPr>
      </w:r>
    </w:p>
    <w:p>
      <w:pPr>
        <w:pBdr/>
        <w:spacing w:after="120" w:before="120"/>
        <w:ind w:firstLine="680"/>
        <w:jc w:val="both"/>
        <w:rPr>
          <w:bCs/>
          <w:i/>
          <w:sz w:val="28"/>
          <w:szCs w:val="28"/>
          <w14:ligatures w14:val="none"/>
        </w:rPr>
      </w:pPr>
      <w:r>
        <w:rPr>
          <w:i/>
          <w:iCs/>
          <w:sz w:val="28"/>
          <w:szCs w:val="28"/>
        </w:rPr>
        <w:t xml:space="preserve">Ủy</w:t>
      </w:r>
      <w:r>
        <w:rPr>
          <w:i/>
          <w:iCs/>
          <w:sz w:val="28"/>
          <w:szCs w:val="28"/>
        </w:rPr>
        <w:t xml:space="preserve"> ban nhân dân </w:t>
      </w:r>
      <w:r>
        <w:rPr>
          <w:i/>
          <w:iCs/>
          <w:sz w:val="28"/>
          <w:szCs w:val="28"/>
        </w:rPr>
        <w:t xml:space="preserve">ban</w:t>
      </w:r>
      <w:r>
        <w:rPr>
          <w:i/>
          <w:iCs/>
          <w:sz w:val="28"/>
          <w:szCs w:val="28"/>
        </w:rPr>
        <w:t xml:space="preserve"> tỉnh</w:t>
      </w:r>
      <w:r>
        <w:rPr>
          <w:i/>
          <w:iCs/>
          <w:sz w:val="28"/>
          <w:szCs w:val="28"/>
        </w:rPr>
        <w:t xml:space="preserve"> hành Quyết định về Bảng giá tính thuế tài nguyên năm 2026 trên địa bàn tỉnh Tây Ninh.</w:t>
      </w:r>
      <w:r>
        <w:rPr>
          <w:i/>
          <w:iCs/>
          <w:sz w:val="28"/>
          <w:szCs w:val="28"/>
        </w:rPr>
      </w:r>
      <w:r>
        <w:rPr>
          <w:bCs/>
          <w:i/>
          <w:sz w:val="28"/>
          <w:szCs w:val="28"/>
          <w14:ligatures w14:val="none"/>
        </w:rPr>
      </w:r>
    </w:p>
    <w:p>
      <w:pPr>
        <w:pBdr>
          <w:top w:val="none" w:color="000000" w:sz="0" w:space="0"/>
          <w:left w:val="none" w:color="000000" w:sz="0" w:space="0"/>
          <w:bottom w:val="none" w:color="000000" w:sz="0" w:space="0"/>
          <w:right w:val="none" w:color="000000" w:sz="0" w:space="0"/>
          <w:between w:val="none" w:color="000000" w:sz="0" w:space="0"/>
        </w:pBdr>
        <w:shd w:val="clear" w:color="auto" w:fill="ffffff"/>
        <w:spacing w:after="120" w:before="120"/>
        <w:ind w:firstLine="680"/>
        <w:jc w:val="both"/>
        <w:rPr>
          <w:color w:val="000000"/>
          <w:sz w:val="28"/>
          <w:szCs w:val="28"/>
        </w:rPr>
      </w:pPr>
      <w:r/>
      <w:bookmarkStart w:id="1" w:name="dieu_1"/>
      <w:r/>
      <w:bookmarkStart w:id="2" w:name="chuong_pl_1"/>
      <w:r>
        <w:rPr>
          <w:b/>
          <w:bCs/>
          <w:color w:val="000000"/>
          <w:sz w:val="28"/>
          <w:szCs w:val="28"/>
        </w:rPr>
        <w:t xml:space="preserve">Điều 1.</w:t>
      </w:r>
      <w:bookmarkEnd w:id="1"/>
      <w:r>
        <w:rPr>
          <w:color w:val="000000"/>
          <w:sz w:val="28"/>
          <w:szCs w:val="28"/>
        </w:rPr>
        <w:t xml:space="preserve"> </w:t>
      </w:r>
      <w:bookmarkStart w:id="3" w:name="dieu_1_name"/>
      <w:r>
        <w:rPr>
          <w:color w:val="000000"/>
          <w:sz w:val="28"/>
          <w:szCs w:val="28"/>
        </w:rPr>
        <w:t xml:space="preserve">Ban hành kèm theo Quyết định này Bảng giá tính thuế tài nguyên năm 2026 </w:t>
      </w:r>
      <w:r>
        <w:rPr>
          <w:i/>
          <w:color w:val="000000"/>
          <w:sz w:val="28"/>
          <w:szCs w:val="28"/>
        </w:rPr>
        <w:t xml:space="preserve">(chưa bao gồm thuế giá trị gia tăng)</w:t>
      </w:r>
      <w:r>
        <w:rPr>
          <w:color w:val="000000"/>
          <w:sz w:val="28"/>
          <w:szCs w:val="28"/>
        </w:rPr>
        <w:t xml:space="preserve"> trên địa bàn tỉnh Tây Ninh</w:t>
      </w:r>
      <w:bookmarkEnd w:id="3"/>
      <w:r>
        <w:rPr>
          <w:color w:val="000000"/>
          <w:sz w:val="28"/>
          <w:szCs w:val="28"/>
        </w:rPr>
        <w:t xml:space="preserve">.</w:t>
      </w:r>
      <w:r>
        <w:rPr>
          <w:color w:val="000000"/>
          <w:sz w:val="28"/>
          <w:szCs w:val="28"/>
        </w:rPr>
      </w:r>
      <w:r>
        <w:rPr>
          <w:color w:val="000000"/>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680"/>
        <w:jc w:val="both"/>
        <w:rPr>
          <w:color w:val="000000"/>
          <w:sz w:val="28"/>
          <w:szCs w:val="28"/>
        </w:rPr>
      </w:pPr>
      <w:r/>
      <w:bookmarkStart w:id="4" w:name="dieu_3"/>
      <w:r>
        <w:rPr>
          <w:b/>
          <w:bCs/>
          <w:color w:val="000000"/>
          <w:sz w:val="28"/>
          <w:szCs w:val="28"/>
          <w:lang w:val="nl-NL"/>
        </w:rPr>
        <w:t xml:space="preserve">Điều </w:t>
      </w:r>
      <w:r>
        <w:rPr>
          <w:b/>
          <w:bCs/>
          <w:color w:val="000000"/>
          <w:sz w:val="28"/>
          <w:szCs w:val="28"/>
          <w:lang w:val="nl-NL"/>
        </w:rPr>
        <w:t xml:space="preserve">2</w:t>
      </w:r>
      <w:r>
        <w:rPr>
          <w:b/>
          <w:bCs/>
          <w:color w:val="000000"/>
          <w:sz w:val="28"/>
          <w:szCs w:val="28"/>
          <w:lang w:val="nl-NL"/>
        </w:rPr>
        <w:t xml:space="preserve">. Hiệu lực thi hành</w:t>
      </w:r>
      <w:bookmarkEnd w:id="4"/>
      <w:r>
        <w:rPr>
          <w:color w:val="000000"/>
          <w:sz w:val="28"/>
          <w:szCs w:val="28"/>
        </w:rPr>
      </w:r>
      <w:r>
        <w:rPr>
          <w:color w:val="000000"/>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680"/>
        <w:jc w:val="both"/>
        <w:rPr>
          <w:color w:val="000000"/>
          <w:sz w:val="28"/>
          <w:szCs w:val="28"/>
        </w:rPr>
      </w:pPr>
      <w:r>
        <w:rPr>
          <w:color w:val="000000"/>
          <w:sz w:val="28"/>
          <w:szCs w:val="28"/>
        </w:rPr>
        <w:t xml:space="preserve">1. </w:t>
      </w:r>
      <w:r>
        <w:rPr>
          <w:color w:val="000000"/>
          <w:sz w:val="28"/>
          <w:szCs w:val="28"/>
        </w:rPr>
        <w:t xml:space="preserve">Quyết định này có hiệu lực thi hành kể từ ngày 01/01/2026 đến hết ngày 31/12/2026, được áp dụng để kê khai, quyết toán cho kỳ tính thuế tài nguyên từ ngày 01/01/2026 đến hết ngày 31/12/2026.</w:t>
      </w:r>
      <w:r>
        <w:rPr>
          <w:color w:val="000000"/>
          <w:sz w:val="28"/>
          <w:szCs w:val="28"/>
        </w:rPr>
      </w:r>
      <w:r>
        <w:rPr>
          <w:color w:val="000000"/>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680"/>
        <w:jc w:val="both"/>
        <w:rPr>
          <w:color w:val="000000"/>
          <w:sz w:val="28"/>
          <w:szCs w:val="28"/>
        </w:rPr>
      </w:pPr>
      <w:r>
        <w:rPr>
          <w:color w:val="000000"/>
          <w:sz w:val="28"/>
          <w:szCs w:val="28"/>
        </w:rPr>
        <w:t xml:space="preserve">2. Quyết định này thay thế </w:t>
      </w:r>
      <w:r>
        <w:rPr>
          <w:color w:val="000000"/>
          <w:sz w:val="28"/>
          <w:szCs w:val="28"/>
        </w:rPr>
        <w:t xml:space="preserve">Quyết định số 38/2025/QĐ-UBND ngày 23/5/2025 của UBND tỉnh Tây Ninh (trước sáp nhập) ban hành Bảng giá tính thuế tài nguyên áp dụng trên địa bàn tỉnh Tây Ninh.</w:t>
      </w:r>
      <w:r>
        <w:rPr>
          <w:color w:val="000000"/>
          <w:sz w:val="28"/>
          <w:szCs w:val="28"/>
        </w:rPr>
      </w:r>
      <w:r>
        <w:rPr>
          <w:color w:val="000000"/>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680"/>
        <w:jc w:val="both"/>
        <w:rPr>
          <w:color w:val="000000"/>
          <w:sz w:val="28"/>
          <w:szCs w:val="28"/>
        </w:rPr>
      </w:pPr>
      <w:r>
        <w:rPr>
          <w:color w:val="000000"/>
          <w:sz w:val="28"/>
          <w:szCs w:val="28"/>
        </w:rPr>
        <w:t xml:space="preserve">3. </w:t>
      </w:r>
      <w:r>
        <w:rPr>
          <w:color w:val="000000"/>
          <w:sz w:val="28"/>
          <w:szCs w:val="28"/>
        </w:rPr>
        <w:t xml:space="preserve">Giao Sở Tài chính chủ trì, phối hợp với các cơ quan có liên quan triển khai thực hiện Quyết định này theo đúng quy định của pháp luật hiện hành.</w:t>
      </w:r>
      <w:r>
        <w:rPr>
          <w:color w:val="000000"/>
          <w:sz w:val="28"/>
          <w:szCs w:val="28"/>
        </w:rPr>
      </w:r>
      <w:r>
        <w:rPr>
          <w:color w:val="000000"/>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680"/>
        <w:jc w:val="both"/>
        <w:rPr>
          <w:color w:val="000000"/>
          <w:sz w:val="28"/>
          <w:szCs w:val="28"/>
        </w:rPr>
      </w:pPr>
      <w:r>
        <w:rPr>
          <w:b/>
          <w:bCs/>
          <w:color w:val="000000"/>
          <w:sz w:val="28"/>
          <w:szCs w:val="28"/>
        </w:rPr>
        <w:t xml:space="preserve">Điều 3. </w:t>
      </w:r>
      <w:bookmarkStart w:id="5" w:name="dieu_4"/>
      <w:r>
        <w:rPr>
          <w:b/>
          <w:bCs/>
          <w:color w:val="000000"/>
          <w:sz w:val="28"/>
          <w:szCs w:val="28"/>
        </w:rPr>
        <w:t xml:space="preserve">Tổ chức thực hiện</w:t>
      </w:r>
      <w:bookmarkEnd w:id="5"/>
      <w:r>
        <w:rPr>
          <w:color w:val="000000"/>
          <w:sz w:val="28"/>
          <w:szCs w:val="28"/>
        </w:rPr>
      </w:r>
      <w:r>
        <w:rPr>
          <w:color w:val="000000"/>
          <w:sz w:val="28"/>
          <w:szCs w:val="28"/>
        </w:rPr>
      </w:r>
    </w:p>
    <w:p>
      <w:pPr>
        <w:pBdr>
          <w:top w:val="none" w:color="000000" w:sz="0" w:space="0"/>
          <w:left w:val="none" w:color="000000" w:sz="0" w:space="0"/>
          <w:bottom w:val="none" w:color="000000" w:sz="0" w:space="0"/>
          <w:right w:val="none" w:color="000000" w:sz="0" w:space="0"/>
          <w:between w:val="none" w:color="000000" w:sz="0" w:space="0"/>
        </w:pBdr>
        <w:shd w:val="clear" w:color="auto" w:fill="ffffff"/>
        <w:spacing w:after="120" w:before="120"/>
        <w:ind w:firstLine="680"/>
        <w:jc w:val="both"/>
        <w:rPr>
          <w:color w:val="000000"/>
          <w:sz w:val="28"/>
          <w:szCs w:val="28"/>
        </w:rPr>
      </w:pPr>
      <w:r>
        <w:rPr>
          <w:color w:val="000000"/>
          <w:sz w:val="28"/>
          <w:szCs w:val="28"/>
        </w:rPr>
        <w:t xml:space="preserve">1. Chánh Văn phòng Ủy</w:t>
      </w:r>
      <w:r>
        <w:rPr>
          <w:color w:val="000000"/>
          <w:sz w:val="28"/>
          <w:szCs w:val="28"/>
        </w:rPr>
        <w:t xml:space="preserve"> ban nhân dân tỉnh, </w:t>
      </w:r>
      <w:r>
        <w:rPr>
          <w:color w:val="000000"/>
          <w:sz w:val="28"/>
          <w:szCs w:val="28"/>
        </w:rPr>
        <w:t xml:space="preserve">T</w:t>
      </w:r>
      <w:r>
        <w:rPr>
          <w:color w:val="000000"/>
          <w:sz w:val="28"/>
          <w:szCs w:val="28"/>
        </w:rPr>
        <w:t xml:space="preserve">rưởng Thuế tỉnh, Thủ trưởng các sở, ngành tỉnh; Chủ tịch UBND các xã, phường và Thủ trưởng các đơn vị, tổ chức và cá nhân có liên quan chịu trách nhiệm thi hành Quyết định này.</w:t>
      </w:r>
      <w:r>
        <w:rPr>
          <w:color w:val="000000"/>
          <w:sz w:val="28"/>
          <w:szCs w:val="28"/>
        </w:rPr>
      </w:r>
      <w:r>
        <w:rPr>
          <w:color w:val="000000"/>
          <w:sz w:val="28"/>
          <w:szCs w:val="28"/>
        </w:rPr>
      </w:r>
    </w:p>
    <w:p>
      <w:pPr>
        <w:pBdr>
          <w:top w:val="none" w:color="000000" w:sz="0" w:space="0"/>
          <w:left w:val="none" w:color="000000" w:sz="0" w:space="0"/>
          <w:bottom w:val="none" w:color="000000" w:sz="0" w:space="0"/>
          <w:right w:val="none" w:color="000000" w:sz="0" w:space="0"/>
          <w:between w:val="none" w:color="000000" w:sz="0" w:space="0"/>
        </w:pBdr>
        <w:shd w:val="clear" w:color="auto" w:fill="ffffff"/>
        <w:spacing w:after="120" w:before="120"/>
        <w:ind w:firstLine="680"/>
        <w:jc w:val="both"/>
        <w:rPr>
          <w:color w:val="000000"/>
          <w:sz w:val="28"/>
          <w:szCs w:val="28"/>
        </w:rPr>
      </w:pPr>
      <w:r>
        <w:rPr>
          <w:color w:val="000000"/>
          <w:sz w:val="28"/>
          <w:szCs w:val="28"/>
        </w:rPr>
        <w:t xml:space="preserve">2. Trong quá trình thực hiện, nếu có khó khăn, vướng mắc đề nghị các cơ quan, tổ chức, cá nhân phản ánh về Sở T</w:t>
      </w:r>
      <w:r>
        <w:rPr>
          <w:color w:val="000000"/>
          <w:sz w:val="28"/>
          <w:szCs w:val="28"/>
        </w:rPr>
        <w:t xml:space="preserve">ài chính để tổng hợp, báo cáo Ủy</w:t>
      </w:r>
      <w:r>
        <w:rPr>
          <w:color w:val="000000"/>
          <w:sz w:val="28"/>
          <w:szCs w:val="28"/>
        </w:rPr>
        <w:t xml:space="preserve"> ban nhân dân tỉnh xem xét, giải quyết./.</w:t>
      </w:r>
      <w:r>
        <w:rPr>
          <w:color w:val="000000"/>
          <w:sz w:val="28"/>
          <w:szCs w:val="28"/>
        </w:rPr>
      </w:r>
      <w:r>
        <w:rPr>
          <w:color w:val="000000"/>
          <w:sz w:val="28"/>
          <w:szCs w:val="28"/>
        </w:rPr>
      </w:r>
    </w:p>
    <w:tbl>
      <w:tblPr>
        <w:tblW w:w="5000" w:type="pct"/>
        <w:tblCellSpacing w:w="0" w:type="dxa"/>
        <w:tblBorders/>
        <w:shd w:val="clear" w:color="auto" w:fill="ffffff"/>
        <w:tblCellMar>
          <w:left w:w="0" w:type="dxa"/>
          <w:right w:w="0" w:type="dxa"/>
        </w:tblCellMar>
        <w:tblLook w:val="04A0" w:firstRow="1" w:lastRow="0" w:firstColumn="1" w:lastColumn="0" w:noHBand="0" w:noVBand="1"/>
      </w:tblPr>
      <w:tblGrid>
        <w:gridCol w:w="4536"/>
        <w:gridCol w:w="4536"/>
      </w:tblGrid>
      <w:tr>
        <w:trPr>
          <w:tblCellSpacing w:w="0" w:type="dxa"/>
          <w:trHeight w:val="1757"/>
        </w:trPr>
        <w:tc>
          <w:tcPr>
            <w:shd w:val="clear" w:color="auto" w:fill="ffffff"/>
            <w:tcBorders/>
            <w:tcMar>
              <w:left w:w="108" w:type="dxa"/>
              <w:top w:w="0" w:type="dxa"/>
              <w:right w:w="108" w:type="dxa"/>
              <w:bottom w:w="0" w:type="dxa"/>
            </w:tcMar>
            <w:tcW w:w="2500" w:type="pc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before="120" w:line="234" w:lineRule="atLeast"/>
              <w:ind/>
              <w:rPr>
                <w:b/>
                <w:bCs/>
                <w:iCs/>
                <w:color w:val="000000"/>
              </w:rPr>
            </w:pPr>
            <w:r>
              <w:rPr>
                <w:b/>
                <w:bCs/>
                <w:iCs/>
                <w:color w:val="000000"/>
              </w:rPr>
              <w:t xml:space="preserve">Nơi nhận:</w:t>
            </w:r>
            <w:r>
              <w:rPr>
                <w:b/>
                <w:bCs/>
                <w:iCs/>
                <w:color w:val="000000"/>
              </w:rPr>
            </w:r>
            <w:r>
              <w:rPr>
                <w:b/>
                <w:bCs/>
                <w:iCs/>
                <w:color w:val="000000"/>
              </w:rPr>
            </w:r>
          </w:p>
          <w:p>
            <w:pPr>
              <w:pBdr>
                <w:top w:val="none" w:color="000000" w:sz="0" w:space="0"/>
                <w:left w:val="none" w:color="000000" w:sz="0" w:space="0"/>
                <w:bottom w:val="none" w:color="000000" w:sz="0" w:space="0"/>
                <w:right w:val="none" w:color="000000" w:sz="0" w:space="0"/>
                <w:between w:val="none" w:color="000000" w:sz="0" w:space="0"/>
              </w:pBdr>
              <w:spacing/>
              <w:ind/>
              <w:rPr>
                <w:bCs/>
                <w:iCs/>
                <w:color w:val="000000"/>
                <w:sz w:val="22"/>
                <w:szCs w:val="22"/>
              </w:rPr>
            </w:pPr>
            <w:r>
              <w:rPr>
                <w:bCs/>
                <w:iCs/>
                <w:color w:val="000000"/>
                <w:sz w:val="22"/>
                <w:szCs w:val="22"/>
              </w:rPr>
              <w:t xml:space="preserve">- Như Điều </w:t>
            </w:r>
            <w:r>
              <w:rPr>
                <w:bCs/>
                <w:iCs/>
                <w:color w:val="000000"/>
                <w:sz w:val="22"/>
                <w:szCs w:val="22"/>
              </w:rPr>
              <w:t xml:space="preserve">3</w:t>
            </w:r>
            <w:r>
              <w:rPr>
                <w:bCs/>
                <w:iCs/>
                <w:color w:val="000000"/>
                <w:sz w:val="22"/>
                <w:szCs w:val="22"/>
              </w:rPr>
              <w:t xml:space="preserve">;</w:t>
            </w:r>
            <w:r>
              <w:rPr>
                <w:bCs/>
                <w:iCs/>
                <w:color w:val="000000"/>
                <w:sz w:val="22"/>
                <w:szCs w:val="22"/>
              </w:rPr>
            </w:r>
            <w:r>
              <w:rPr>
                <w:bCs/>
                <w:iCs/>
                <w:color w:val="000000"/>
                <w:sz w:val="22"/>
                <w:szCs w:val="22"/>
              </w:rPr>
            </w:r>
          </w:p>
          <w:p>
            <w:pPr>
              <w:pBdr>
                <w:top w:val="none" w:color="000000" w:sz="0" w:space="0"/>
                <w:left w:val="none" w:color="000000" w:sz="0" w:space="0"/>
                <w:bottom w:val="none" w:color="000000" w:sz="0" w:space="0"/>
                <w:right w:val="none" w:color="000000" w:sz="0" w:space="0"/>
                <w:between w:val="none" w:color="000000" w:sz="0" w:space="0"/>
              </w:pBdr>
              <w:spacing/>
              <w:ind/>
              <w:rPr>
                <w:bCs/>
                <w:iCs/>
                <w:color w:val="000000"/>
                <w:sz w:val="22"/>
                <w:szCs w:val="22"/>
              </w:rPr>
            </w:pPr>
            <w:r>
              <w:rPr>
                <w:bCs/>
                <w:iCs/>
                <w:color w:val="000000"/>
                <w:sz w:val="22"/>
                <w:szCs w:val="22"/>
              </w:rPr>
              <w:t xml:space="preserve">- Bộ Tài chính;</w:t>
            </w:r>
            <w:r>
              <w:rPr>
                <w:bCs/>
                <w:iCs/>
                <w:color w:val="000000"/>
                <w:sz w:val="22"/>
                <w:szCs w:val="22"/>
              </w:rPr>
            </w:r>
            <w:r>
              <w:rPr>
                <w:bCs/>
                <w:iCs/>
                <w:color w:val="000000"/>
                <w:sz w:val="22"/>
                <w:szCs w:val="22"/>
              </w:rPr>
            </w:r>
          </w:p>
          <w:p>
            <w:pPr>
              <w:pBdr>
                <w:top w:val="none" w:color="000000" w:sz="0" w:space="0"/>
                <w:left w:val="none" w:color="000000" w:sz="0" w:space="0"/>
                <w:bottom w:val="none" w:color="000000" w:sz="0" w:space="0"/>
                <w:right w:val="none" w:color="000000" w:sz="0" w:space="0"/>
                <w:between w:val="none" w:color="000000" w:sz="0" w:space="0"/>
              </w:pBdr>
              <w:spacing/>
              <w:ind/>
              <w:rPr>
                <w:bCs/>
                <w:iCs/>
                <w:color w:val="000000"/>
                <w:sz w:val="22"/>
                <w:szCs w:val="22"/>
              </w:rPr>
            </w:pPr>
            <w:r>
              <w:rPr>
                <w:bCs/>
                <w:iCs/>
                <w:color w:val="000000"/>
                <w:sz w:val="22"/>
                <w:szCs w:val="22"/>
              </w:rPr>
              <w:t xml:space="preserve">- Bộ </w:t>
            </w:r>
            <w:r>
              <w:rPr>
                <w:bCs/>
                <w:iCs/>
                <w:color w:val="000000"/>
                <w:sz w:val="22"/>
                <w:szCs w:val="22"/>
              </w:rPr>
              <w:t xml:space="preserve">Nông nghiệp</w:t>
            </w:r>
            <w:r>
              <w:rPr>
                <w:bCs/>
                <w:iCs/>
                <w:color w:val="000000"/>
                <w:sz w:val="22"/>
                <w:szCs w:val="22"/>
              </w:rPr>
              <w:t xml:space="preserve"> và Môi trường;</w:t>
            </w:r>
            <w:r>
              <w:rPr>
                <w:bCs/>
                <w:iCs/>
                <w:color w:val="000000"/>
                <w:sz w:val="22"/>
                <w:szCs w:val="22"/>
              </w:rPr>
            </w:r>
            <w:r>
              <w:rPr>
                <w:bCs/>
                <w:iCs/>
                <w:color w:val="000000"/>
                <w:sz w:val="22"/>
                <w:szCs w:val="22"/>
              </w:rPr>
            </w:r>
          </w:p>
          <w:p>
            <w:pPr>
              <w:pBdr>
                <w:top w:val="none" w:color="000000" w:sz="0" w:space="0"/>
                <w:left w:val="none" w:color="000000" w:sz="0" w:space="0"/>
                <w:bottom w:val="none" w:color="000000" w:sz="0" w:space="0"/>
                <w:right w:val="none" w:color="000000" w:sz="0" w:space="0"/>
                <w:between w:val="none" w:color="000000" w:sz="0" w:space="0"/>
              </w:pBdr>
              <w:spacing/>
              <w:ind/>
              <w:rPr>
                <w:bCs/>
                <w:iCs/>
                <w:color w:val="000000"/>
                <w:sz w:val="22"/>
                <w:szCs w:val="22"/>
              </w:rPr>
            </w:pPr>
            <w:r>
              <w:rPr>
                <w:bCs/>
                <w:iCs/>
                <w:color w:val="000000"/>
                <w:sz w:val="22"/>
                <w:szCs w:val="22"/>
              </w:rPr>
              <w:t xml:space="preserve">- Bộ Xây dựng;</w:t>
            </w:r>
            <w:r>
              <w:rPr>
                <w:bCs/>
                <w:iCs/>
                <w:color w:val="000000"/>
                <w:sz w:val="22"/>
                <w:szCs w:val="22"/>
              </w:rPr>
            </w:r>
            <w:r>
              <w:rPr>
                <w:bCs/>
                <w:iCs/>
                <w:color w:val="000000"/>
                <w:sz w:val="22"/>
                <w:szCs w:val="22"/>
              </w:rPr>
            </w:r>
          </w:p>
          <w:p>
            <w:pPr>
              <w:pBdr>
                <w:top w:val="none" w:color="000000" w:sz="0" w:space="0"/>
                <w:left w:val="none" w:color="000000" w:sz="0" w:space="0"/>
                <w:bottom w:val="none" w:color="000000" w:sz="0" w:space="0"/>
                <w:right w:val="none" w:color="000000" w:sz="0" w:space="0"/>
                <w:between w:val="none" w:color="000000" w:sz="0" w:space="0"/>
              </w:pBdr>
              <w:spacing/>
              <w:ind/>
              <w:rPr>
                <w:bCs/>
                <w:iCs/>
                <w:color w:val="000000"/>
                <w:sz w:val="22"/>
                <w:szCs w:val="22"/>
              </w:rPr>
            </w:pPr>
            <w:r>
              <w:rPr>
                <w:bCs/>
                <w:iCs/>
                <w:color w:val="000000"/>
                <w:sz w:val="22"/>
                <w:szCs w:val="22"/>
              </w:rPr>
              <w:t xml:space="preserve">- Cục KTVB và QLXL VPHC-Bộ Tư pháp;</w:t>
            </w:r>
            <w:r>
              <w:rPr>
                <w:bCs/>
                <w:iCs/>
                <w:color w:val="000000"/>
                <w:sz w:val="22"/>
                <w:szCs w:val="22"/>
              </w:rPr>
            </w:r>
            <w:r>
              <w:rPr>
                <w:bCs/>
                <w:iCs/>
                <w:color w:val="000000"/>
                <w:sz w:val="22"/>
                <w:szCs w:val="22"/>
              </w:rPr>
            </w:r>
          </w:p>
          <w:p>
            <w:pPr>
              <w:pBdr>
                <w:top w:val="none" w:color="000000" w:sz="0" w:space="0"/>
                <w:left w:val="none" w:color="000000" w:sz="0" w:space="0"/>
                <w:bottom w:val="none" w:color="000000" w:sz="0" w:space="0"/>
                <w:right w:val="none" w:color="000000" w:sz="0" w:space="0"/>
                <w:between w:val="none" w:color="000000" w:sz="0" w:space="0"/>
              </w:pBdr>
              <w:spacing/>
              <w:ind/>
              <w:rPr>
                <w:bCs/>
                <w:iCs/>
                <w:color w:val="000000"/>
                <w:sz w:val="22"/>
                <w:szCs w:val="22"/>
              </w:rPr>
            </w:pPr>
            <w:r>
              <w:rPr>
                <w:bCs/>
                <w:iCs/>
                <w:color w:val="000000"/>
                <w:sz w:val="22"/>
                <w:szCs w:val="22"/>
              </w:rPr>
              <w:t xml:space="preserve">- TT.TU, TT. HĐND tỉnh;</w:t>
            </w:r>
            <w:r>
              <w:rPr>
                <w:bCs/>
                <w:iCs/>
                <w:color w:val="000000"/>
                <w:sz w:val="22"/>
                <w:szCs w:val="22"/>
              </w:rPr>
            </w:r>
            <w:r>
              <w:rPr>
                <w:bCs/>
                <w:iCs/>
                <w:color w:val="000000"/>
                <w:sz w:val="22"/>
                <w:szCs w:val="22"/>
              </w:rPr>
            </w:r>
          </w:p>
          <w:p>
            <w:pPr>
              <w:pBdr>
                <w:top w:val="none" w:color="000000" w:sz="0" w:space="0"/>
                <w:left w:val="none" w:color="000000" w:sz="0" w:space="0"/>
                <w:bottom w:val="none" w:color="000000" w:sz="0" w:space="0"/>
                <w:right w:val="none" w:color="000000" w:sz="0" w:space="0"/>
                <w:between w:val="none" w:color="000000" w:sz="0" w:space="0"/>
              </w:pBdr>
              <w:spacing/>
              <w:ind/>
              <w:rPr>
                <w:bCs/>
                <w:iCs/>
                <w:color w:val="000000"/>
                <w:sz w:val="22"/>
                <w:szCs w:val="22"/>
              </w:rPr>
            </w:pPr>
            <w:r>
              <w:rPr>
                <w:bCs/>
                <w:iCs/>
                <w:color w:val="000000"/>
                <w:sz w:val="22"/>
                <w:szCs w:val="22"/>
              </w:rPr>
              <w:t xml:space="preserve">- UBMTTQ VN tỉnh;</w:t>
            </w:r>
            <w:r>
              <w:rPr>
                <w:bCs/>
                <w:iCs/>
                <w:color w:val="000000"/>
                <w:sz w:val="22"/>
                <w:szCs w:val="22"/>
              </w:rPr>
            </w:r>
            <w:r>
              <w:rPr>
                <w:bCs/>
                <w:iCs/>
                <w:color w:val="000000"/>
                <w:sz w:val="22"/>
                <w:szCs w:val="22"/>
              </w:rPr>
            </w:r>
          </w:p>
          <w:p>
            <w:pPr>
              <w:pBdr>
                <w:top w:val="none" w:color="000000" w:sz="0" w:space="0"/>
                <w:left w:val="none" w:color="000000" w:sz="0" w:space="0"/>
                <w:bottom w:val="none" w:color="000000" w:sz="0" w:space="0"/>
                <w:right w:val="none" w:color="000000" w:sz="0" w:space="0"/>
                <w:between w:val="none" w:color="000000" w:sz="0" w:space="0"/>
              </w:pBdr>
              <w:spacing/>
              <w:ind/>
              <w:rPr>
                <w:bCs/>
                <w:iCs/>
                <w:color w:val="000000"/>
                <w:sz w:val="22"/>
                <w:szCs w:val="22"/>
              </w:rPr>
            </w:pPr>
            <w:r>
              <w:rPr>
                <w:bCs/>
                <w:iCs/>
                <w:color w:val="000000"/>
                <w:sz w:val="22"/>
                <w:szCs w:val="22"/>
              </w:rPr>
              <w:t xml:space="preserve">- Chủ tịch, các Phó Chủ tịch UBND tỉnh;</w:t>
            </w:r>
            <w:r>
              <w:rPr>
                <w:bCs/>
                <w:iCs/>
                <w:color w:val="000000"/>
                <w:sz w:val="22"/>
                <w:szCs w:val="22"/>
              </w:rPr>
            </w:r>
            <w:r>
              <w:rPr>
                <w:bCs/>
                <w:iCs/>
                <w:color w:val="000000"/>
                <w:sz w:val="22"/>
                <w:szCs w:val="22"/>
              </w:rPr>
            </w:r>
          </w:p>
          <w:p>
            <w:pPr>
              <w:pBdr>
                <w:top w:val="none" w:color="000000" w:sz="0" w:space="0"/>
                <w:left w:val="none" w:color="000000" w:sz="0" w:space="0"/>
                <w:bottom w:val="none" w:color="000000" w:sz="0" w:space="0"/>
                <w:right w:val="none" w:color="000000" w:sz="0" w:space="0"/>
                <w:between w:val="none" w:color="000000" w:sz="0" w:space="0"/>
              </w:pBdr>
              <w:spacing/>
              <w:ind/>
              <w:rPr>
                <w:bCs/>
                <w:iCs/>
                <w:color w:val="000000"/>
                <w:sz w:val="22"/>
                <w:szCs w:val="22"/>
              </w:rPr>
            </w:pPr>
            <w:r>
              <w:rPr>
                <w:bCs/>
                <w:iCs/>
                <w:color w:val="000000"/>
                <w:sz w:val="22"/>
                <w:szCs w:val="22"/>
              </w:rPr>
              <w:t xml:space="preserve">- CVP, PCVP. UBND tỉnh;</w:t>
            </w:r>
            <w:r>
              <w:rPr>
                <w:bCs/>
                <w:iCs/>
                <w:color w:val="000000"/>
                <w:sz w:val="22"/>
                <w:szCs w:val="22"/>
              </w:rPr>
            </w:r>
            <w:r>
              <w:rPr>
                <w:bCs/>
                <w:iCs/>
                <w:color w:val="000000"/>
                <w:sz w:val="22"/>
                <w:szCs w:val="22"/>
              </w:rPr>
            </w:r>
          </w:p>
          <w:p>
            <w:pPr>
              <w:pBdr>
                <w:top w:val="none" w:color="000000" w:sz="0" w:space="0"/>
                <w:left w:val="none" w:color="000000" w:sz="0" w:space="0"/>
                <w:bottom w:val="none" w:color="000000" w:sz="0" w:space="0"/>
                <w:right w:val="none" w:color="000000" w:sz="0" w:space="0"/>
                <w:between w:val="none" w:color="000000" w:sz="0" w:space="0"/>
              </w:pBdr>
              <w:spacing/>
              <w:ind/>
              <w:rPr>
                <w:bCs/>
                <w:iCs/>
                <w:color w:val="000000"/>
                <w:sz w:val="22"/>
                <w:szCs w:val="22"/>
              </w:rPr>
            </w:pPr>
            <w:r>
              <w:rPr>
                <w:bCs/>
                <w:iCs/>
                <w:color w:val="000000"/>
                <w:sz w:val="22"/>
                <w:szCs w:val="22"/>
              </w:rPr>
              <w:t xml:space="preserve">- Đoàn đại biểu quốc hội </w:t>
            </w:r>
            <w:r>
              <w:rPr>
                <w:bCs/>
                <w:iCs/>
                <w:color w:val="000000"/>
                <w:sz w:val="22"/>
                <w:szCs w:val="22"/>
              </w:rPr>
              <w:t xml:space="preserve">và HĐND </w:t>
            </w:r>
            <w:r>
              <w:rPr>
                <w:bCs/>
                <w:iCs/>
                <w:color w:val="000000"/>
                <w:sz w:val="22"/>
                <w:szCs w:val="22"/>
              </w:rPr>
              <w:t xml:space="preserve">tỉnh;</w:t>
            </w:r>
            <w:r>
              <w:rPr>
                <w:bCs/>
                <w:iCs/>
                <w:color w:val="000000"/>
                <w:sz w:val="22"/>
                <w:szCs w:val="22"/>
              </w:rPr>
            </w:r>
            <w:r>
              <w:rPr>
                <w:bCs/>
                <w:iCs/>
                <w:color w:val="000000"/>
                <w:sz w:val="22"/>
                <w:szCs w:val="22"/>
              </w:rPr>
            </w:r>
          </w:p>
          <w:p>
            <w:pPr>
              <w:pBdr>
                <w:top w:val="none" w:color="000000" w:sz="0" w:space="0"/>
                <w:left w:val="none" w:color="000000" w:sz="0" w:space="0"/>
                <w:bottom w:val="none" w:color="000000" w:sz="0" w:space="0"/>
                <w:right w:val="none" w:color="000000" w:sz="0" w:space="0"/>
                <w:between w:val="none" w:color="000000" w:sz="0" w:space="0"/>
              </w:pBdr>
              <w:spacing/>
              <w:ind/>
              <w:rPr>
                <w:bCs/>
                <w:iCs/>
                <w:color w:val="000000"/>
                <w:sz w:val="22"/>
                <w:szCs w:val="22"/>
              </w:rPr>
            </w:pPr>
            <w:r>
              <w:rPr>
                <w:bCs/>
                <w:iCs/>
                <w:color w:val="000000"/>
                <w:sz w:val="22"/>
                <w:szCs w:val="22"/>
              </w:rPr>
              <w:t xml:space="preserve">- Trung tâm Công báo</w:t>
            </w:r>
            <w:r>
              <w:rPr>
                <w:bCs/>
                <w:iCs/>
                <w:color w:val="000000"/>
                <w:sz w:val="22"/>
                <w:szCs w:val="22"/>
              </w:rPr>
              <w:t xml:space="preserve"> </w:t>
            </w:r>
            <w:r>
              <w:rPr>
                <w:bCs/>
                <w:iCs/>
                <w:color w:val="000000"/>
                <w:sz w:val="22"/>
                <w:szCs w:val="22"/>
              </w:rPr>
              <w:t xml:space="preserve">-</w:t>
            </w:r>
            <w:r>
              <w:rPr>
                <w:bCs/>
                <w:iCs/>
                <w:color w:val="000000"/>
                <w:sz w:val="22"/>
                <w:szCs w:val="22"/>
              </w:rPr>
              <w:t xml:space="preserve"> </w:t>
            </w:r>
            <w:bookmarkStart w:id="6" w:name="_GoBack"/>
            <w:r/>
            <w:bookmarkEnd w:id="6"/>
            <w:r>
              <w:rPr>
                <w:bCs/>
                <w:iCs/>
                <w:color w:val="000000"/>
                <w:sz w:val="22"/>
                <w:szCs w:val="22"/>
              </w:rPr>
              <w:t xml:space="preserve">Tin học;</w:t>
            </w:r>
            <w:r>
              <w:rPr>
                <w:bCs/>
                <w:iCs/>
                <w:color w:val="000000"/>
                <w:sz w:val="22"/>
                <w:szCs w:val="22"/>
              </w:rPr>
            </w:r>
            <w:r>
              <w:rPr>
                <w:bCs/>
                <w:iCs/>
                <w:color w:val="000000"/>
                <w:sz w:val="22"/>
                <w:szCs w:val="22"/>
              </w:rPr>
            </w:r>
          </w:p>
          <w:p>
            <w:pPr>
              <w:pBdr>
                <w:top w:val="none" w:color="000000" w:sz="0" w:space="0"/>
                <w:left w:val="none" w:color="000000" w:sz="0" w:space="0"/>
                <w:bottom w:val="none" w:color="000000" w:sz="0" w:space="0"/>
                <w:right w:val="none" w:color="000000" w:sz="0" w:space="0"/>
                <w:between w:val="none" w:color="000000" w:sz="0" w:space="0"/>
              </w:pBdr>
              <w:spacing/>
              <w:ind/>
              <w:rPr>
                <w:bCs/>
                <w:iCs/>
                <w:color w:val="000000"/>
                <w:sz w:val="22"/>
                <w:szCs w:val="22"/>
              </w:rPr>
            </w:pPr>
            <w:r>
              <w:rPr>
                <w:bCs/>
                <w:iCs/>
                <w:color w:val="000000"/>
                <w:sz w:val="22"/>
                <w:szCs w:val="22"/>
              </w:rPr>
              <w:t xml:space="preserve">- Công báo tỉnh, Cổng thông tin điện tử tỉnh;</w:t>
            </w:r>
            <w:r>
              <w:rPr>
                <w:bCs/>
                <w:iCs/>
                <w:color w:val="000000"/>
                <w:sz w:val="22"/>
                <w:szCs w:val="22"/>
              </w:rPr>
            </w:r>
            <w:r>
              <w:rPr>
                <w:bCs/>
                <w:iCs/>
                <w:color w:val="000000"/>
                <w:sz w:val="22"/>
                <w:szCs w:val="22"/>
              </w:rPr>
            </w:r>
          </w:p>
          <w:p>
            <w:pPr>
              <w:pBdr>
                <w:top w:val="none" w:color="000000" w:sz="0" w:space="0"/>
                <w:left w:val="none" w:color="000000" w:sz="0" w:space="0"/>
                <w:bottom w:val="none" w:color="000000" w:sz="0" w:space="0"/>
                <w:right w:val="none" w:color="000000" w:sz="0" w:space="0"/>
                <w:between w:val="none" w:color="000000" w:sz="0" w:space="0"/>
              </w:pBdr>
              <w:spacing/>
              <w:ind/>
              <w:rPr>
                <w:bCs/>
                <w:iCs/>
                <w:color w:val="000000"/>
                <w:sz w:val="22"/>
                <w:szCs w:val="22"/>
              </w:rPr>
            </w:pPr>
            <w:r>
              <w:rPr>
                <w:bCs/>
                <w:iCs/>
                <w:color w:val="000000"/>
                <w:sz w:val="22"/>
                <w:szCs w:val="22"/>
              </w:rPr>
              <w:t xml:space="preserve">- Phòng: KTTC;</w:t>
            </w:r>
            <w:r>
              <w:rPr>
                <w:bCs/>
                <w:iCs/>
                <w:color w:val="000000"/>
                <w:sz w:val="22"/>
                <w:szCs w:val="22"/>
              </w:rPr>
            </w:r>
            <w:r>
              <w:rPr>
                <w:bCs/>
                <w:iCs/>
                <w:color w:val="000000"/>
                <w:sz w:val="22"/>
                <w:szCs w:val="22"/>
              </w:rPr>
            </w:r>
          </w:p>
          <w:p>
            <w:pPr>
              <w:pBdr>
                <w:top w:val="none" w:color="000000" w:sz="0" w:space="0"/>
                <w:left w:val="none" w:color="000000" w:sz="0" w:space="0"/>
                <w:bottom w:val="none" w:color="000000" w:sz="0" w:space="0"/>
                <w:right w:val="none" w:color="000000" w:sz="0" w:space="0"/>
                <w:between w:val="none" w:color="000000" w:sz="0" w:space="0"/>
              </w:pBdr>
              <w:spacing/>
              <w:ind/>
              <w:rPr>
                <w:b/>
                <w:bCs/>
                <w:iCs/>
                <w:color w:val="000000"/>
                <w:sz w:val="22"/>
                <w:szCs w:val="22"/>
              </w:rPr>
            </w:pPr>
            <w:r>
              <w:rPr>
                <w:bCs/>
                <w:iCs/>
                <w:color w:val="000000"/>
                <w:sz w:val="22"/>
                <w:szCs w:val="22"/>
              </w:rPr>
              <w:t xml:space="preserve">- Lưu: VT</w:t>
            </w:r>
            <w:r>
              <w:rPr>
                <w:bCs/>
                <w:iCs/>
                <w:color w:val="000000"/>
                <w:sz w:val="22"/>
                <w:szCs w:val="22"/>
              </w:rPr>
              <w:t xml:space="preserve">, Luan</w:t>
            </w:r>
            <w:r>
              <w:rPr>
                <w:bCs/>
                <w:iCs/>
                <w:color w:val="000000"/>
                <w:sz w:val="22"/>
                <w:szCs w:val="22"/>
              </w:rPr>
              <w:t xml:space="preserve">.</w:t>
            </w:r>
            <w:r>
              <w:rPr>
                <w:b/>
                <w:bCs/>
                <w:iCs/>
                <w:color w:val="000000"/>
                <w:sz w:val="22"/>
                <w:szCs w:val="22"/>
              </w:rPr>
            </w:r>
            <w:r>
              <w:rPr>
                <w:b/>
                <w:bCs/>
                <w:iCs/>
                <w:color w:val="000000"/>
                <w:sz w:val="22"/>
                <w:szCs w:val="22"/>
              </w:rPr>
            </w:r>
          </w:p>
        </w:tc>
        <w:tc>
          <w:tcPr>
            <w:shd w:val="clear" w:color="auto" w:fill="ffffff"/>
            <w:tcBorders/>
            <w:tcMar>
              <w:left w:w="108" w:type="dxa"/>
              <w:top w:w="0" w:type="dxa"/>
              <w:right w:w="108" w:type="dxa"/>
              <w:bottom w:w="0" w:type="dxa"/>
            </w:tcMar>
            <w:tcW w:w="2500" w:type="pc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line="234" w:lineRule="atLeast"/>
              <w:ind/>
              <w:jc w:val="center"/>
              <w:rPr>
                <w:b/>
                <w:bCs/>
                <w:color w:val="000000"/>
                <w:sz w:val="28"/>
                <w:szCs w:val="28"/>
              </w:rPr>
            </w:pPr>
            <w:r>
              <w:rPr>
                <w:b/>
                <w:bCs/>
                <w:color w:val="000000"/>
                <w:sz w:val="28"/>
                <w:szCs w:val="28"/>
              </w:rPr>
              <w:t xml:space="preserve">TM. ỦY BAN NHÂN DÂN</w:t>
            </w:r>
            <w:r>
              <w:rPr>
                <w:b/>
                <w:bCs/>
                <w:color w:val="000000"/>
                <w:sz w:val="28"/>
                <w:szCs w:val="28"/>
              </w:rPr>
            </w:r>
            <w:r>
              <w:rPr>
                <w:b/>
                <w:bCs/>
                <w:color w:val="000000"/>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34" w:lineRule="atLeast"/>
              <w:ind/>
              <w:jc w:val="center"/>
              <w:rPr>
                <w:b/>
                <w:bCs/>
                <w:color w:val="000000"/>
                <w:sz w:val="18"/>
                <w:szCs w:val="18"/>
              </w:rPr>
            </w:pPr>
            <w:r>
              <w:rPr>
                <w:b/>
                <w:bCs/>
                <w:color w:val="000000"/>
                <w:sz w:val="28"/>
                <w:szCs w:val="28"/>
              </w:rPr>
              <w:t xml:space="preserve">CHỦ TỊCH</w:t>
            </w:r>
            <w:bookmarkEnd w:id="2"/>
            <w:r>
              <w:rPr>
                <w:b/>
                <w:bCs/>
                <w:color w:val="000000"/>
                <w:sz w:val="18"/>
                <w:szCs w:val="18"/>
              </w:rPr>
            </w:r>
            <w:r>
              <w:rPr>
                <w:b/>
                <w:bCs/>
                <w:color w:val="000000"/>
                <w:sz w:val="18"/>
                <w:szCs w:val="18"/>
              </w:rPr>
            </w:r>
          </w:p>
        </w:tc>
      </w:tr>
    </w:tbl>
    <w:p>
      <w:pPr>
        <w:pBdr/>
        <w:spacing/>
        <w:ind/>
        <w:rPr/>
      </w:pPr>
      <w:r/>
      <w:r/>
    </w:p>
    <w:p>
      <w:pPr>
        <w:pBdr/>
        <w:spacing/>
        <w:ind/>
        <w:rPr/>
      </w:pPr>
      <w:r/>
      <w:r/>
    </w:p>
    <w:sectPr>
      <w:headerReference w:type="default" r:id="rId8"/>
      <w:footnotePr/>
      <w:endnotePr/>
      <w:type w:val="nextPage"/>
      <w:pgSz w:h="16840" w:orient="portrait" w:w="11907"/>
      <w:pgMar w:top="1134" w:right="1134" w:bottom="1134" w:left="1701" w:header="567" w:footer="255"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8"/>
      <w:pBdr/>
      <w:spacing/>
      <w:ind/>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 xml:space="preserve">2</w:t>
    </w:r>
    <w:r>
      <w:rPr>
        <w:sz w:val="28"/>
        <w:szCs w:val="28"/>
      </w:rPr>
      <w:fldChar w:fldCharType="end"/>
    </w:r>
    <w:r>
      <w:rPr>
        <w:sz w:val="28"/>
        <w:szCs w:val="28"/>
      </w:rPr>
    </w:r>
    <w:r>
      <w:rPr>
        <w:sz w:val="28"/>
        <w:szCs w:val="2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2">
    <w:name w:val="Table Grid"/>
    <w:basedOn w:val="89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Table Grid Light"/>
    <w:basedOn w:val="89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1"/>
    <w:basedOn w:val="89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2"/>
    <w:basedOn w:val="89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3"/>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4"/>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5"/>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w:basedOn w:val="8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w:basedOn w:val="8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1"/>
    <w:basedOn w:val="8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2"/>
    <w:basedOn w:val="8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3"/>
    <w:basedOn w:val="8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4"/>
    <w:basedOn w:val="8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5"/>
    <w:basedOn w:val="8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6"/>
    <w:basedOn w:val="8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1"/>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4"/>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5"/>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6"/>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5">
    <w:name w:val="Grid Table 6 Colorful - Accent 1"/>
    <w:basedOn w:val="8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6">
    <w:name w:val="Grid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7">
    <w:name w:val="Grid Table 6 Colorful - Accent 3"/>
    <w:basedOn w:val="8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8">
    <w:name w:val="Grid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9">
    <w:name w:val="Grid Table 6 Colorful - Accent 5"/>
    <w:basedOn w:val="8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6 Colorful - Accent 6"/>
    <w:basedOn w:val="8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7 Colorful"/>
    <w:basedOn w:val="8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1"/>
    <w:basedOn w:val="8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5"/>
    <w:basedOn w:val="8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6"/>
    <w:basedOn w:val="8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1"/>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2"/>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3"/>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4"/>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5"/>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6"/>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w:basedOn w:val="8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1"/>
    <w:basedOn w:val="8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2"/>
    <w:basedOn w:val="8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3"/>
    <w:basedOn w:val="8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4"/>
    <w:basedOn w:val="8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5"/>
    <w:basedOn w:val="8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6"/>
    <w:basedOn w:val="8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1"/>
    <w:basedOn w:val="8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3"/>
    <w:basedOn w:val="8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5"/>
    <w:basedOn w:val="8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6"/>
    <w:basedOn w:val="8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1"/>
    <w:basedOn w:val="8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2"/>
    <w:basedOn w:val="8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3"/>
    <w:basedOn w:val="8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4"/>
    <w:basedOn w:val="8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5"/>
    <w:basedOn w:val="8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6"/>
    <w:basedOn w:val="8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w:basedOn w:val="8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1"/>
    <w:basedOn w:val="8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2"/>
    <w:basedOn w:val="8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3"/>
    <w:basedOn w:val="8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4"/>
    <w:basedOn w:val="8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5"/>
    <w:basedOn w:val="8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6"/>
    <w:basedOn w:val="8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1"/>
    <w:basedOn w:val="8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3"/>
    <w:basedOn w:val="8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5"/>
    <w:basedOn w:val="8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6"/>
    <w:basedOn w:val="8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7 Colorful"/>
    <w:basedOn w:val="8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1">
    <w:name w:val="List Table 7 Colorful - Accent 1"/>
    <w:basedOn w:val="8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2">
    <w:name w:val="List Table 7 Colorful - Accent 2"/>
    <w:basedOn w:val="8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3">
    <w:name w:val="List Table 7 Colorful - Accent 3"/>
    <w:basedOn w:val="8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4">
    <w:name w:val="List Table 7 Colorful - Accent 4"/>
    <w:basedOn w:val="8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5">
    <w:name w:val="List Table 7 Colorful - Accent 5"/>
    <w:basedOn w:val="8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6">
    <w:name w:val="List Table 7 Colorful - Accent 6"/>
    <w:basedOn w:val="8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7">
    <w:name w:val="Lined - Accent"/>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1"/>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2"/>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3"/>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4"/>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5"/>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6"/>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w:basedOn w:val="8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1"/>
    <w:basedOn w:val="8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2"/>
    <w:basedOn w:val="8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3"/>
    <w:basedOn w:val="8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4"/>
    <w:basedOn w:val="8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5"/>
    <w:basedOn w:val="8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6"/>
    <w:basedOn w:val="8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w:basedOn w:val="8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8">
    <w:name w:val="Heading 1"/>
    <w:basedOn w:val="894"/>
    <w:next w:val="894"/>
    <w:link w:val="84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9">
    <w:name w:val="Heading 2"/>
    <w:basedOn w:val="894"/>
    <w:next w:val="894"/>
    <w:link w:val="84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0">
    <w:name w:val="Heading 3"/>
    <w:basedOn w:val="894"/>
    <w:next w:val="894"/>
    <w:link w:val="84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1">
    <w:name w:val="Heading 4"/>
    <w:basedOn w:val="894"/>
    <w:next w:val="894"/>
    <w:link w:val="85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2">
    <w:name w:val="Heading 5"/>
    <w:basedOn w:val="894"/>
    <w:next w:val="894"/>
    <w:link w:val="85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3">
    <w:name w:val="Heading 6"/>
    <w:basedOn w:val="894"/>
    <w:next w:val="894"/>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4">
    <w:name w:val="Heading 7"/>
    <w:basedOn w:val="894"/>
    <w:next w:val="894"/>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5">
    <w:name w:val="Heading 8"/>
    <w:basedOn w:val="894"/>
    <w:next w:val="894"/>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6">
    <w:name w:val="Heading 9"/>
    <w:basedOn w:val="894"/>
    <w:next w:val="894"/>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7">
    <w:name w:val="Heading 1 Char"/>
    <w:basedOn w:val="895"/>
    <w:link w:val="838"/>
    <w:uiPriority w:val="9"/>
    <w:pPr>
      <w:pBdr/>
      <w:spacing/>
      <w:ind/>
    </w:pPr>
    <w:rPr>
      <w:rFonts w:ascii="Arial" w:hAnsi="Arial" w:eastAsia="Arial" w:cs="Arial"/>
      <w:color w:val="0f4761" w:themeColor="accent1" w:themeShade="BF"/>
      <w:sz w:val="40"/>
      <w:szCs w:val="40"/>
    </w:rPr>
  </w:style>
  <w:style w:type="character" w:styleId="848">
    <w:name w:val="Heading 2 Char"/>
    <w:basedOn w:val="895"/>
    <w:link w:val="839"/>
    <w:uiPriority w:val="9"/>
    <w:pPr>
      <w:pBdr/>
      <w:spacing/>
      <w:ind/>
    </w:pPr>
    <w:rPr>
      <w:rFonts w:ascii="Arial" w:hAnsi="Arial" w:eastAsia="Arial" w:cs="Arial"/>
      <w:color w:val="0f4761" w:themeColor="accent1" w:themeShade="BF"/>
      <w:sz w:val="32"/>
      <w:szCs w:val="32"/>
    </w:rPr>
  </w:style>
  <w:style w:type="character" w:styleId="849">
    <w:name w:val="Heading 3 Char"/>
    <w:basedOn w:val="895"/>
    <w:link w:val="840"/>
    <w:uiPriority w:val="9"/>
    <w:pPr>
      <w:pBdr/>
      <w:spacing/>
      <w:ind/>
    </w:pPr>
    <w:rPr>
      <w:rFonts w:ascii="Arial" w:hAnsi="Arial" w:eastAsia="Arial" w:cs="Arial"/>
      <w:color w:val="0f4761" w:themeColor="accent1" w:themeShade="BF"/>
      <w:sz w:val="28"/>
      <w:szCs w:val="28"/>
    </w:rPr>
  </w:style>
  <w:style w:type="character" w:styleId="850">
    <w:name w:val="Heading 4 Char"/>
    <w:basedOn w:val="895"/>
    <w:link w:val="841"/>
    <w:uiPriority w:val="9"/>
    <w:pPr>
      <w:pBdr/>
      <w:spacing/>
      <w:ind/>
    </w:pPr>
    <w:rPr>
      <w:rFonts w:ascii="Arial" w:hAnsi="Arial" w:eastAsia="Arial" w:cs="Arial"/>
      <w:i/>
      <w:iCs/>
      <w:color w:val="0f4761" w:themeColor="accent1" w:themeShade="BF"/>
    </w:rPr>
  </w:style>
  <w:style w:type="character" w:styleId="851">
    <w:name w:val="Heading 5 Char"/>
    <w:basedOn w:val="895"/>
    <w:link w:val="842"/>
    <w:uiPriority w:val="9"/>
    <w:pPr>
      <w:pBdr/>
      <w:spacing/>
      <w:ind/>
    </w:pPr>
    <w:rPr>
      <w:rFonts w:ascii="Arial" w:hAnsi="Arial" w:eastAsia="Arial" w:cs="Arial"/>
      <w:color w:val="0f4761" w:themeColor="accent1" w:themeShade="BF"/>
    </w:rPr>
  </w:style>
  <w:style w:type="character" w:styleId="852">
    <w:name w:val="Heading 6 Char"/>
    <w:basedOn w:val="895"/>
    <w:link w:val="843"/>
    <w:uiPriority w:val="9"/>
    <w:pPr>
      <w:pBdr/>
      <w:spacing/>
      <w:ind/>
    </w:pPr>
    <w:rPr>
      <w:rFonts w:ascii="Arial" w:hAnsi="Arial" w:eastAsia="Arial" w:cs="Arial"/>
      <w:i/>
      <w:iCs/>
      <w:color w:val="595959" w:themeColor="text1" w:themeTint="A6"/>
    </w:rPr>
  </w:style>
  <w:style w:type="character" w:styleId="853">
    <w:name w:val="Heading 7 Char"/>
    <w:basedOn w:val="895"/>
    <w:link w:val="844"/>
    <w:uiPriority w:val="9"/>
    <w:pPr>
      <w:pBdr/>
      <w:spacing/>
      <w:ind/>
    </w:pPr>
    <w:rPr>
      <w:rFonts w:ascii="Arial" w:hAnsi="Arial" w:eastAsia="Arial" w:cs="Arial"/>
      <w:color w:val="595959" w:themeColor="text1" w:themeTint="A6"/>
    </w:rPr>
  </w:style>
  <w:style w:type="character" w:styleId="854">
    <w:name w:val="Heading 8 Char"/>
    <w:basedOn w:val="895"/>
    <w:link w:val="845"/>
    <w:uiPriority w:val="9"/>
    <w:pPr>
      <w:pBdr/>
      <w:spacing/>
      <w:ind/>
    </w:pPr>
    <w:rPr>
      <w:rFonts w:ascii="Arial" w:hAnsi="Arial" w:eastAsia="Arial" w:cs="Arial"/>
      <w:i/>
      <w:iCs/>
      <w:color w:val="272727" w:themeColor="text1" w:themeTint="D8"/>
    </w:rPr>
  </w:style>
  <w:style w:type="character" w:styleId="855">
    <w:name w:val="Heading 9 Char"/>
    <w:basedOn w:val="895"/>
    <w:link w:val="846"/>
    <w:uiPriority w:val="9"/>
    <w:pPr>
      <w:pBdr/>
      <w:spacing/>
      <w:ind/>
    </w:pPr>
    <w:rPr>
      <w:rFonts w:ascii="Arial" w:hAnsi="Arial" w:eastAsia="Arial" w:cs="Arial"/>
      <w:i/>
      <w:iCs/>
      <w:color w:val="272727" w:themeColor="text1" w:themeTint="D8"/>
    </w:rPr>
  </w:style>
  <w:style w:type="paragraph" w:styleId="856">
    <w:name w:val="Title"/>
    <w:basedOn w:val="894"/>
    <w:next w:val="894"/>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name w:val="Title Char"/>
    <w:basedOn w:val="895"/>
    <w:link w:val="856"/>
    <w:uiPriority w:val="10"/>
    <w:pPr>
      <w:pBdr/>
      <w:spacing/>
      <w:ind/>
    </w:pPr>
    <w:rPr>
      <w:rFonts w:ascii="Arial" w:hAnsi="Arial" w:eastAsia="Arial" w:cs="Arial"/>
      <w:spacing w:val="-10"/>
      <w:sz w:val="56"/>
      <w:szCs w:val="56"/>
    </w:rPr>
  </w:style>
  <w:style w:type="paragraph" w:styleId="858">
    <w:name w:val="Subtitle"/>
    <w:basedOn w:val="894"/>
    <w:next w:val="894"/>
    <w:link w:val="859"/>
    <w:uiPriority w:val="11"/>
    <w:qFormat/>
    <w:pPr>
      <w:numPr>
        <w:ilvl w:val="1"/>
      </w:numPr>
      <w:pBdr/>
      <w:spacing/>
      <w:ind/>
    </w:pPr>
    <w:rPr>
      <w:color w:val="595959" w:themeColor="text1" w:themeTint="A6"/>
      <w:spacing w:val="15"/>
      <w:sz w:val="28"/>
      <w:szCs w:val="28"/>
    </w:rPr>
  </w:style>
  <w:style w:type="character" w:styleId="859">
    <w:name w:val="Subtitle Char"/>
    <w:basedOn w:val="895"/>
    <w:link w:val="858"/>
    <w:uiPriority w:val="11"/>
    <w:pPr>
      <w:pBdr/>
      <w:spacing/>
      <w:ind/>
    </w:pPr>
    <w:rPr>
      <w:color w:val="595959" w:themeColor="text1" w:themeTint="A6"/>
      <w:spacing w:val="15"/>
      <w:sz w:val="28"/>
      <w:szCs w:val="28"/>
    </w:rPr>
  </w:style>
  <w:style w:type="paragraph" w:styleId="860">
    <w:name w:val="Quote"/>
    <w:basedOn w:val="894"/>
    <w:next w:val="894"/>
    <w:link w:val="861"/>
    <w:uiPriority w:val="29"/>
    <w:qFormat/>
    <w:pPr>
      <w:pBdr/>
      <w:spacing w:before="160"/>
      <w:ind/>
      <w:jc w:val="center"/>
    </w:pPr>
    <w:rPr>
      <w:i/>
      <w:iCs/>
      <w:color w:val="404040" w:themeColor="text1" w:themeTint="BF"/>
    </w:rPr>
  </w:style>
  <w:style w:type="character" w:styleId="861">
    <w:name w:val="Quote Char"/>
    <w:basedOn w:val="895"/>
    <w:link w:val="860"/>
    <w:uiPriority w:val="29"/>
    <w:pPr>
      <w:pBdr/>
      <w:spacing/>
      <w:ind/>
    </w:pPr>
    <w:rPr>
      <w:i/>
      <w:iCs/>
      <w:color w:val="404040" w:themeColor="text1" w:themeTint="BF"/>
    </w:rPr>
  </w:style>
  <w:style w:type="character" w:styleId="862">
    <w:name w:val="Intense Emphasis"/>
    <w:basedOn w:val="895"/>
    <w:uiPriority w:val="21"/>
    <w:qFormat/>
    <w:pPr>
      <w:pBdr/>
      <w:spacing/>
      <w:ind/>
    </w:pPr>
    <w:rPr>
      <w:i/>
      <w:iCs/>
      <w:color w:val="0f4761" w:themeColor="accent1" w:themeShade="BF"/>
    </w:rPr>
  </w:style>
  <w:style w:type="paragraph" w:styleId="863">
    <w:name w:val="Intense Quote"/>
    <w:basedOn w:val="894"/>
    <w:next w:val="894"/>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95"/>
    <w:link w:val="863"/>
    <w:uiPriority w:val="30"/>
    <w:pPr>
      <w:pBdr/>
      <w:spacing/>
      <w:ind/>
    </w:pPr>
    <w:rPr>
      <w:i/>
      <w:iCs/>
      <w:color w:val="0f4761" w:themeColor="accent1" w:themeShade="BF"/>
    </w:rPr>
  </w:style>
  <w:style w:type="character" w:styleId="865">
    <w:name w:val="Intense Reference"/>
    <w:basedOn w:val="895"/>
    <w:uiPriority w:val="32"/>
    <w:qFormat/>
    <w:pPr>
      <w:pBdr/>
      <w:spacing/>
      <w:ind/>
    </w:pPr>
    <w:rPr>
      <w:b/>
      <w:bCs/>
      <w:smallCaps/>
      <w:color w:val="0f4761" w:themeColor="accent1" w:themeShade="BF"/>
      <w:spacing w:val="5"/>
    </w:rPr>
  </w:style>
  <w:style w:type="paragraph" w:styleId="866">
    <w:name w:val="No Spacing"/>
    <w:basedOn w:val="894"/>
    <w:uiPriority w:val="1"/>
    <w:qFormat/>
    <w:pPr>
      <w:pBdr/>
      <w:spacing w:after="0" w:line="240" w:lineRule="auto"/>
      <w:ind/>
    </w:pPr>
  </w:style>
  <w:style w:type="character" w:styleId="867">
    <w:name w:val="Subtle Emphasis"/>
    <w:basedOn w:val="895"/>
    <w:uiPriority w:val="19"/>
    <w:qFormat/>
    <w:pPr>
      <w:pBdr/>
      <w:spacing/>
      <w:ind/>
    </w:pPr>
    <w:rPr>
      <w:i/>
      <w:iCs/>
      <w:color w:val="404040" w:themeColor="text1" w:themeTint="BF"/>
    </w:rPr>
  </w:style>
  <w:style w:type="character" w:styleId="868">
    <w:name w:val="Emphasis"/>
    <w:basedOn w:val="895"/>
    <w:uiPriority w:val="20"/>
    <w:qFormat/>
    <w:pPr>
      <w:pBdr/>
      <w:spacing/>
      <w:ind/>
    </w:pPr>
    <w:rPr>
      <w:i/>
      <w:iCs/>
    </w:rPr>
  </w:style>
  <w:style w:type="character" w:styleId="869">
    <w:name w:val="Strong"/>
    <w:basedOn w:val="895"/>
    <w:uiPriority w:val="22"/>
    <w:qFormat/>
    <w:pPr>
      <w:pBdr/>
      <w:spacing/>
      <w:ind/>
    </w:pPr>
    <w:rPr>
      <w:b/>
      <w:bCs/>
    </w:rPr>
  </w:style>
  <w:style w:type="character" w:styleId="870">
    <w:name w:val="Subtle Reference"/>
    <w:basedOn w:val="895"/>
    <w:uiPriority w:val="31"/>
    <w:qFormat/>
    <w:pPr>
      <w:pBdr/>
      <w:spacing/>
      <w:ind/>
    </w:pPr>
    <w:rPr>
      <w:smallCaps/>
      <w:color w:val="5a5a5a" w:themeColor="text1" w:themeTint="A5"/>
    </w:rPr>
  </w:style>
  <w:style w:type="character" w:styleId="871">
    <w:name w:val="Book Title"/>
    <w:basedOn w:val="895"/>
    <w:uiPriority w:val="33"/>
    <w:qFormat/>
    <w:pPr>
      <w:pBdr/>
      <w:spacing/>
      <w:ind/>
    </w:pPr>
    <w:rPr>
      <w:b/>
      <w:bCs/>
      <w:i/>
      <w:iCs/>
      <w:spacing w:val="5"/>
    </w:rPr>
  </w:style>
  <w:style w:type="paragraph" w:styleId="872">
    <w:name w:val="Footer"/>
    <w:basedOn w:val="894"/>
    <w:link w:val="873"/>
    <w:uiPriority w:val="99"/>
    <w:unhideWhenUsed/>
    <w:pPr>
      <w:pBdr/>
      <w:tabs>
        <w:tab w:val="center" w:leader="none" w:pos="4844"/>
        <w:tab w:val="right" w:leader="none" w:pos="9689"/>
      </w:tabs>
      <w:spacing w:after="0" w:line="240" w:lineRule="auto"/>
      <w:ind/>
    </w:pPr>
  </w:style>
  <w:style w:type="character" w:styleId="873">
    <w:name w:val="Footer Char"/>
    <w:basedOn w:val="895"/>
    <w:link w:val="872"/>
    <w:uiPriority w:val="99"/>
    <w:pPr>
      <w:pBdr/>
      <w:spacing/>
      <w:ind/>
    </w:pPr>
  </w:style>
  <w:style w:type="paragraph" w:styleId="874">
    <w:name w:val="Caption"/>
    <w:basedOn w:val="894"/>
    <w:next w:val="894"/>
    <w:uiPriority w:val="35"/>
    <w:unhideWhenUsed/>
    <w:qFormat/>
    <w:pPr>
      <w:pBdr/>
      <w:spacing w:after="200" w:line="240" w:lineRule="auto"/>
      <w:ind/>
    </w:pPr>
    <w:rPr>
      <w:i/>
      <w:iCs/>
      <w:color w:val="0e2841" w:themeColor="text2"/>
      <w:sz w:val="18"/>
      <w:szCs w:val="18"/>
    </w:rPr>
  </w:style>
  <w:style w:type="paragraph" w:styleId="875">
    <w:name w:val="footnote text"/>
    <w:basedOn w:val="894"/>
    <w:link w:val="876"/>
    <w:uiPriority w:val="99"/>
    <w:semiHidden/>
    <w:unhideWhenUsed/>
    <w:pPr>
      <w:pBdr/>
      <w:spacing w:after="0" w:line="240" w:lineRule="auto"/>
      <w:ind/>
    </w:pPr>
    <w:rPr>
      <w:sz w:val="20"/>
      <w:szCs w:val="20"/>
    </w:rPr>
  </w:style>
  <w:style w:type="character" w:styleId="876">
    <w:name w:val="Footnote Text Char"/>
    <w:basedOn w:val="895"/>
    <w:link w:val="875"/>
    <w:uiPriority w:val="99"/>
    <w:semiHidden/>
    <w:pPr>
      <w:pBdr/>
      <w:spacing/>
      <w:ind/>
    </w:pPr>
    <w:rPr>
      <w:sz w:val="20"/>
      <w:szCs w:val="20"/>
    </w:rPr>
  </w:style>
  <w:style w:type="character" w:styleId="877">
    <w:name w:val="footnote reference"/>
    <w:basedOn w:val="895"/>
    <w:uiPriority w:val="99"/>
    <w:semiHidden/>
    <w:unhideWhenUsed/>
    <w:pPr>
      <w:pBdr/>
      <w:spacing/>
      <w:ind/>
    </w:pPr>
    <w:rPr>
      <w:vertAlign w:val="superscript"/>
    </w:rPr>
  </w:style>
  <w:style w:type="paragraph" w:styleId="878">
    <w:name w:val="endnote text"/>
    <w:basedOn w:val="894"/>
    <w:link w:val="879"/>
    <w:uiPriority w:val="99"/>
    <w:semiHidden/>
    <w:unhideWhenUsed/>
    <w:pPr>
      <w:pBdr/>
      <w:spacing w:after="0" w:line="240" w:lineRule="auto"/>
      <w:ind/>
    </w:pPr>
    <w:rPr>
      <w:sz w:val="20"/>
      <w:szCs w:val="20"/>
    </w:rPr>
  </w:style>
  <w:style w:type="character" w:styleId="879">
    <w:name w:val="Endnote Text Char"/>
    <w:basedOn w:val="895"/>
    <w:link w:val="878"/>
    <w:uiPriority w:val="99"/>
    <w:semiHidden/>
    <w:pPr>
      <w:pBdr/>
      <w:spacing/>
      <w:ind/>
    </w:pPr>
    <w:rPr>
      <w:sz w:val="20"/>
      <w:szCs w:val="20"/>
    </w:rPr>
  </w:style>
  <w:style w:type="character" w:styleId="880">
    <w:name w:val="endnote reference"/>
    <w:basedOn w:val="895"/>
    <w:uiPriority w:val="99"/>
    <w:semiHidden/>
    <w:unhideWhenUsed/>
    <w:pPr>
      <w:pBdr/>
      <w:spacing/>
      <w:ind/>
    </w:pPr>
    <w:rPr>
      <w:vertAlign w:val="superscript"/>
    </w:rPr>
  </w:style>
  <w:style w:type="character" w:styleId="881">
    <w:name w:val="Hyperlink"/>
    <w:basedOn w:val="895"/>
    <w:uiPriority w:val="99"/>
    <w:unhideWhenUsed/>
    <w:pPr>
      <w:pBdr/>
      <w:spacing/>
      <w:ind/>
    </w:pPr>
    <w:rPr>
      <w:color w:val="0563c1" w:themeColor="hyperlink"/>
      <w:u w:val="single"/>
    </w:rPr>
  </w:style>
  <w:style w:type="character" w:styleId="882">
    <w:name w:val="FollowedHyperlink"/>
    <w:basedOn w:val="895"/>
    <w:uiPriority w:val="99"/>
    <w:semiHidden/>
    <w:unhideWhenUsed/>
    <w:pPr>
      <w:pBdr/>
      <w:spacing/>
      <w:ind/>
    </w:pPr>
    <w:rPr>
      <w:color w:val="954f72" w:themeColor="followedHyperlink"/>
      <w:u w:val="single"/>
    </w:rPr>
  </w:style>
  <w:style w:type="paragraph" w:styleId="883">
    <w:name w:val="toc 1"/>
    <w:basedOn w:val="894"/>
    <w:next w:val="894"/>
    <w:uiPriority w:val="39"/>
    <w:unhideWhenUsed/>
    <w:pPr>
      <w:pBdr/>
      <w:spacing w:after="100"/>
      <w:ind/>
    </w:pPr>
  </w:style>
  <w:style w:type="paragraph" w:styleId="884">
    <w:name w:val="toc 2"/>
    <w:basedOn w:val="894"/>
    <w:next w:val="894"/>
    <w:uiPriority w:val="39"/>
    <w:unhideWhenUsed/>
    <w:pPr>
      <w:pBdr/>
      <w:spacing w:after="100"/>
      <w:ind w:left="220"/>
    </w:pPr>
  </w:style>
  <w:style w:type="paragraph" w:styleId="885">
    <w:name w:val="toc 3"/>
    <w:basedOn w:val="894"/>
    <w:next w:val="894"/>
    <w:uiPriority w:val="39"/>
    <w:unhideWhenUsed/>
    <w:pPr>
      <w:pBdr/>
      <w:spacing w:after="100"/>
      <w:ind w:left="440"/>
    </w:pPr>
  </w:style>
  <w:style w:type="paragraph" w:styleId="886">
    <w:name w:val="toc 4"/>
    <w:basedOn w:val="894"/>
    <w:next w:val="894"/>
    <w:uiPriority w:val="39"/>
    <w:unhideWhenUsed/>
    <w:pPr>
      <w:pBdr/>
      <w:spacing w:after="100"/>
      <w:ind w:left="660"/>
    </w:pPr>
  </w:style>
  <w:style w:type="paragraph" w:styleId="887">
    <w:name w:val="toc 5"/>
    <w:basedOn w:val="894"/>
    <w:next w:val="894"/>
    <w:uiPriority w:val="39"/>
    <w:unhideWhenUsed/>
    <w:pPr>
      <w:pBdr/>
      <w:spacing w:after="100"/>
      <w:ind w:left="880"/>
    </w:pPr>
  </w:style>
  <w:style w:type="paragraph" w:styleId="888">
    <w:name w:val="toc 6"/>
    <w:basedOn w:val="894"/>
    <w:next w:val="894"/>
    <w:uiPriority w:val="39"/>
    <w:unhideWhenUsed/>
    <w:pPr>
      <w:pBdr/>
      <w:spacing w:after="100"/>
      <w:ind w:left="1100"/>
    </w:pPr>
  </w:style>
  <w:style w:type="paragraph" w:styleId="889">
    <w:name w:val="toc 7"/>
    <w:basedOn w:val="894"/>
    <w:next w:val="894"/>
    <w:uiPriority w:val="39"/>
    <w:unhideWhenUsed/>
    <w:pPr>
      <w:pBdr/>
      <w:spacing w:after="100"/>
      <w:ind w:left="1320"/>
    </w:pPr>
  </w:style>
  <w:style w:type="paragraph" w:styleId="890">
    <w:name w:val="toc 8"/>
    <w:basedOn w:val="894"/>
    <w:next w:val="894"/>
    <w:uiPriority w:val="39"/>
    <w:unhideWhenUsed/>
    <w:pPr>
      <w:pBdr/>
      <w:spacing w:after="100"/>
      <w:ind w:left="1540"/>
    </w:pPr>
  </w:style>
  <w:style w:type="paragraph" w:styleId="891">
    <w:name w:val="toc 9"/>
    <w:basedOn w:val="894"/>
    <w:next w:val="894"/>
    <w:uiPriority w:val="39"/>
    <w:unhideWhenUsed/>
    <w:pPr>
      <w:pBdr/>
      <w:spacing w:after="100"/>
      <w:ind w:left="1760"/>
    </w:p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after="0" w:line="240" w:lineRule="auto"/>
      <w:ind/>
    </w:pPr>
    <w:rPr>
      <w:rFonts w:ascii="Times New Roman" w:hAnsi="Times New Roman" w:eastAsia="Times New Roman" w:cs="Times New Roman"/>
      <w:sz w:val="24"/>
      <w:szCs w:val="24"/>
      <w:lang w:val="en-US"/>
    </w:rPr>
  </w:style>
  <w:style w:type="character" w:styleId="895" w:default="1">
    <w:name w:val="Default Paragraph Font"/>
    <w:uiPriority w:val="1"/>
    <w:semiHidden/>
    <w:unhideWhenUsed/>
    <w:pPr>
      <w:pBdr/>
      <w:spacing/>
      <w:ind/>
    </w:pPr>
  </w:style>
  <w:style w:type="table" w:styleId="89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7" w:default="1">
    <w:name w:val="No List"/>
    <w:uiPriority w:val="99"/>
    <w:semiHidden/>
    <w:unhideWhenUsed/>
    <w:pPr>
      <w:pBdr/>
      <w:spacing/>
      <w:ind/>
    </w:pPr>
  </w:style>
  <w:style w:type="paragraph" w:styleId="898">
    <w:name w:val="Header"/>
    <w:basedOn w:val="894"/>
    <w:link w:val="899"/>
    <w:uiPriority w:val="99"/>
    <w:unhideWhenUsed/>
    <w:pPr>
      <w:pBdr/>
      <w:tabs>
        <w:tab w:val="center" w:leader="none" w:pos="4680"/>
        <w:tab w:val="right" w:leader="none" w:pos="9360"/>
      </w:tabs>
      <w:spacing/>
      <w:ind/>
    </w:pPr>
  </w:style>
  <w:style w:type="character" w:styleId="899" w:customStyle="1">
    <w:name w:val="Header Char"/>
    <w:basedOn w:val="895"/>
    <w:link w:val="898"/>
    <w:uiPriority w:val="99"/>
    <w:pPr>
      <w:pBdr/>
      <w:spacing/>
      <w:ind/>
    </w:pPr>
    <w:rPr>
      <w:rFonts w:ascii="Times New Roman" w:hAnsi="Times New Roman" w:eastAsia="Times New Roman" w:cs="Times New Roman"/>
      <w:sz w:val="24"/>
      <w:szCs w:val="24"/>
      <w:lang w:val="en-US"/>
    </w:rPr>
  </w:style>
  <w:style w:type="paragraph" w:styleId="900">
    <w:name w:val="Balloon Text"/>
    <w:basedOn w:val="894"/>
    <w:link w:val="901"/>
    <w:uiPriority w:val="99"/>
    <w:semiHidden/>
    <w:unhideWhenUsed/>
    <w:pPr>
      <w:pBdr/>
      <w:spacing/>
      <w:ind/>
    </w:pPr>
    <w:rPr>
      <w:rFonts w:ascii="Segoe UI" w:hAnsi="Segoe UI" w:cs="Segoe UI"/>
      <w:sz w:val="18"/>
      <w:szCs w:val="18"/>
    </w:rPr>
  </w:style>
  <w:style w:type="character" w:styleId="901" w:customStyle="1">
    <w:name w:val="Balloon Text Char"/>
    <w:basedOn w:val="895"/>
    <w:link w:val="900"/>
    <w:uiPriority w:val="99"/>
    <w:semiHidden/>
    <w:pPr>
      <w:pBdr/>
      <w:spacing/>
      <w:ind/>
    </w:pPr>
    <w:rPr>
      <w:rFonts w:ascii="Segoe UI" w:hAnsi="Segoe UI" w:eastAsia="Times New Roman" w:cs="Segoe UI"/>
      <w:sz w:val="18"/>
      <w:szCs w:val="18"/>
      <w:lang w:val="en-US"/>
    </w:rPr>
  </w:style>
  <w:style w:type="paragraph" w:styleId="902">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yperlink" Target="https://thuvienphapluat.vn/phap-luat/tim-van-ban.aspx?keyword=12/2015/N%C4%90-CP&amp;area=2&amp;type=0&amp;match=False&amp;vc=True&amp;lan=1"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9E6E51-DD8F-4249-8181-61736BFC68E7}"/>
</file>

<file path=customXml/itemProps2.xml><?xml version="1.0" encoding="utf-8"?>
<ds:datastoreItem xmlns:ds="http://schemas.openxmlformats.org/officeDocument/2006/customXml" ds:itemID="{5D1123FD-6052-4AEE-9835-57F4AD5D1E8A}"/>
</file>

<file path=customXml/itemProps3.xml><?xml version="1.0" encoding="utf-8"?>
<ds:datastoreItem xmlns:ds="http://schemas.openxmlformats.org/officeDocument/2006/customXml" ds:itemID="{4BF6D81F-90B8-4419-B232-ECDC2BCD5E03}"/>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Hồng Điệp</dc:creator>
  <cp:keywords/>
  <dc:description/>
  <cp:lastModifiedBy>Lưu Hương Xuân</cp:lastModifiedBy>
  <cp:revision>25</cp:revision>
  <dcterms:created xsi:type="dcterms:W3CDTF">2025-12-16T07:09:00Z</dcterms:created>
  <dcterms:modified xsi:type="dcterms:W3CDTF">2025-12-23T09:07:46Z</dcterms:modified>
</cp:coreProperties>
</file>