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E154B" w:rsidRDefault="005D569C" w:rsidP="00337C71">
      <w:pPr>
        <w:pStyle w:val="Vnbnnidung0"/>
        <w:spacing w:after="0"/>
        <w:ind w:right="143" w:firstLine="0"/>
        <w:rPr>
          <w:sz w:val="26"/>
          <w:szCs w:val="26"/>
        </w:rPr>
      </w:pPr>
      <w:r>
        <w:rPr>
          <w:noProof/>
          <w:lang w:val="en-US" w:eastAsia="en-US" w:bidi="ar-SA"/>
        </w:rPr>
        <mc:AlternateContent>
          <mc:Choice Requires="wps">
            <w:drawing>
              <wp:anchor distT="0" distB="340995" distL="114300" distR="114300" simplePos="0" relativeHeight="125829378" behindDoc="0" locked="0" layoutInCell="1" allowOverlap="1">
                <wp:simplePos x="0" y="0"/>
                <wp:positionH relativeFrom="page">
                  <wp:posOffset>1009650</wp:posOffset>
                </wp:positionH>
                <wp:positionV relativeFrom="paragraph">
                  <wp:posOffset>8255</wp:posOffset>
                </wp:positionV>
                <wp:extent cx="1962150" cy="552450"/>
                <wp:effectExtent l="0" t="0" r="0" b="0"/>
                <wp:wrapSquare wrapText="bothSides"/>
                <wp:docPr id="1" name="Shape 1"/>
                <wp:cNvGraphicFramePr/>
                <a:graphic xmlns:a="http://schemas.openxmlformats.org/drawingml/2006/main">
                  <a:graphicData uri="http://schemas.microsoft.com/office/word/2010/wordprocessingShape">
                    <wps:wsp>
                      <wps:cNvSpPr txBox="1"/>
                      <wps:spPr>
                        <a:xfrm>
                          <a:off x="0" y="0"/>
                          <a:ext cx="1962150" cy="552450"/>
                        </a:xfrm>
                        <a:prstGeom prst="rect">
                          <a:avLst/>
                        </a:prstGeom>
                        <a:noFill/>
                      </wps:spPr>
                      <wps:txbx>
                        <w:txbxContent>
                          <w:p w:rsidR="003E154B" w:rsidRDefault="00337C71">
                            <w:pPr>
                              <w:pStyle w:val="Vnbnnidung0"/>
                              <w:spacing w:after="0"/>
                              <w:ind w:firstLine="0"/>
                              <w:jc w:val="center"/>
                              <w:rPr>
                                <w:sz w:val="26"/>
                                <w:szCs w:val="26"/>
                              </w:rPr>
                            </w:pPr>
                            <w:r>
                              <w:rPr>
                                <w:b/>
                                <w:bCs/>
                                <w:sz w:val="26"/>
                                <w:szCs w:val="26"/>
                              </w:rPr>
                              <w:t>HỘI ĐỒNG</w:t>
                            </w:r>
                            <w:r>
                              <w:rPr>
                                <w:b/>
                                <w:bCs/>
                                <w:sz w:val="26"/>
                                <w:szCs w:val="26"/>
                                <w:lang w:val="en-US"/>
                              </w:rPr>
                              <w:t xml:space="preserve"> </w:t>
                            </w:r>
                            <w:r w:rsidR="005D569C">
                              <w:rPr>
                                <w:b/>
                                <w:bCs/>
                                <w:sz w:val="26"/>
                                <w:szCs w:val="26"/>
                              </w:rPr>
                              <w:t>NHÂN DÂN</w:t>
                            </w:r>
                            <w:r w:rsidR="005D569C">
                              <w:rPr>
                                <w:b/>
                                <w:bCs/>
                                <w:sz w:val="26"/>
                                <w:szCs w:val="26"/>
                              </w:rPr>
                              <w:br/>
                              <w:t>TỈNH TÂY NINH</w:t>
                            </w:r>
                          </w:p>
                        </w:txbxContent>
                      </wps:txbx>
                      <wps:bodyPr wrap="square" lIns="0" tIns="0" rIns="0" bIns="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Shape 1" o:spid="_x0000_s1026" type="#_x0000_t202" style="position:absolute;margin-left:79.5pt;margin-top:.65pt;width:154.5pt;height:43.5pt;z-index:125829378;visibility:visible;mso-wrap-style:square;mso-width-percent:0;mso-height-percent:0;mso-wrap-distance-left:9pt;mso-wrap-distance-top:0;mso-wrap-distance-right:9pt;mso-wrap-distance-bottom:26.85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" filled="f" stroked="f">
                <v:textbox inset="0,0,0,0">
                  <w:txbxContent>
                    <w:p w:rsidR="003E154B" w:rsidRDefault="00337C71">
                      <w:pPr>
                        <w:pStyle w:val="Vnbnnidung0"/>
                        <w:spacing w:after="0"/>
                        <w:ind w:firstLine="0"/>
                        <w:jc w:val="center"/>
                        <w:rPr>
                          <w:sz w:val="26"/>
                          <w:szCs w:val="26"/>
                        </w:rPr>
                      </w:pPr>
                      <w:r>
                        <w:rPr>
                          <w:b/>
                          <w:bCs/>
                          <w:sz w:val="26"/>
                          <w:szCs w:val="26"/>
                        </w:rPr>
                        <w:t>HỘI ĐỒNG</w:t>
                      </w:r>
                      <w:r>
                        <w:rPr>
                          <w:b/>
                          <w:bCs/>
                          <w:sz w:val="26"/>
                          <w:szCs w:val="26"/>
                          <w:lang w:val="en-US"/>
                        </w:rPr>
                        <w:t xml:space="preserve"> </w:t>
                      </w:r>
                      <w:r w:rsidR="005D569C">
                        <w:rPr>
                          <w:b/>
                          <w:bCs/>
                          <w:sz w:val="26"/>
                          <w:szCs w:val="26"/>
                        </w:rPr>
                        <w:t>NHÂN DÂN</w:t>
                      </w:r>
                      <w:r w:rsidR="005D569C">
                        <w:rPr>
                          <w:b/>
                          <w:bCs/>
                          <w:sz w:val="26"/>
                          <w:szCs w:val="26"/>
                        </w:rPr>
                        <w:br/>
                        <w:t>TỈNH TÂY NINH</w:t>
                      </w:r>
                    </w:p>
                  </w:txbxContent>
                </v:textbox>
                <w10:wrap type="square" anchorx="page"/>
              </v:shape>
            </w:pict>
          </mc:Fallback>
        </mc:AlternateContent>
      </w:r>
      <w:r>
        <w:rPr>
          <w:noProof/>
          <w:lang w:val="en-US" w:eastAsia="en-US" w:bidi="ar-SA"/>
        </w:rPr>
        <mc:AlternateContent>
          <mc:Choice Requires="wps">
            <w:drawing>
              <wp:anchor distT="536575" distB="0" distL="181610" distR="180975" simplePos="0" relativeHeight="125829380" behindDoc="0" locked="0" layoutInCell="1" allowOverlap="1">
                <wp:simplePos x="0" y="0"/>
                <wp:positionH relativeFrom="page">
                  <wp:posOffset>1079500</wp:posOffset>
                </wp:positionH>
                <wp:positionV relativeFrom="paragraph">
                  <wp:posOffset>549275</wp:posOffset>
                </wp:positionV>
                <wp:extent cx="1679575" cy="234950"/>
                <wp:effectExtent l="0" t="0" r="0" b="0"/>
                <wp:wrapSquare wrapText="bothSides"/>
                <wp:docPr id="3" name="Shape 3"/>
                <wp:cNvGraphicFramePr/>
                <a:graphic xmlns:a="http://schemas.openxmlformats.org/drawingml/2006/main">
                  <a:graphicData uri="http://schemas.microsoft.com/office/word/2010/wordprocessingShape">
                    <wps:wsp>
                      <wps:cNvSpPr txBox="1"/>
                      <wps:spPr>
                        <a:xfrm>
                          <a:off x="0" y="0"/>
                          <a:ext cx="1679575" cy="234950"/>
                        </a:xfrm>
                        <a:prstGeom prst="rect">
                          <a:avLst/>
                        </a:prstGeom>
                        <a:noFill/>
                      </wps:spPr>
                      <wps:txbx>
                        <w:txbxContent>
                          <w:p w:rsidR="003E154B" w:rsidRDefault="005D569C">
                            <w:pPr>
                              <w:pStyle w:val="Vnbnnidung0"/>
                              <w:spacing w:after="0"/>
                              <w:ind w:firstLine="0"/>
                              <w:rPr>
                                <w:sz w:val="26"/>
                                <w:szCs w:val="26"/>
                              </w:rPr>
                            </w:pPr>
                            <w:r>
                              <w:rPr>
                                <w:sz w:val="26"/>
                                <w:szCs w:val="26"/>
                              </w:rPr>
                              <w:t>Số: 14 /2025/NQ-HĐND</w:t>
                            </w:r>
                          </w:p>
                        </w:txbxContent>
                      </wps:txbx>
                      <wps:bodyPr wrap="none" lIns="0" tIns="0" rIns="0" bIns="0"/>
                    </wps:wsp>
                  </a:graphicData>
                </a:graphic>
              </wp:anchor>
            </w:drawing>
          </mc:Choice>
          <mc:Fallback>
            <w:pict>
              <v:shape id="_x0000_s1029" type="#_x0000_t202" style="position:absolute;margin-left:85.pt;margin-top:43.25pt;width:132.25pt;height:18.5pt;z-index:-125829373;mso-wrap-distance-left:14.300000000000001pt;mso-wrap-distance-top:42.25pt;mso-wrap-distance-right:14.25pt;mso-position-horizontal-relative:page" filled="f" stroked="f">
                <v:textbox inset="0,0,0,0">
                  <w:txbxContent>
                    <w:p>
                      <w:pPr>
                        <w:pStyle w:val="Style2"/>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rPr>
                        <w:t>Số: 14 /2025/NQ-HĐND</w:t>
                      </w:r>
                    </w:p>
                  </w:txbxContent>
                </v:textbox>
                <w10:wrap type="square" anchorx="page"/>
              </v:shape>
            </w:pict>
          </mc:Fallback>
        </mc:AlternateContent>
      </w:r>
      <w:r w:rsidR="00337C71">
        <w:rPr>
          <w:b/>
          <w:bCs/>
          <w:sz w:val="26"/>
          <w:szCs w:val="26"/>
        </w:rPr>
        <w:t>CỘNG HÒA XÃ HỘI CHỦ NGHĨA VIỆT</w:t>
      </w:r>
      <w:r w:rsidR="00337C71">
        <w:rPr>
          <w:b/>
          <w:bCs/>
          <w:sz w:val="26"/>
          <w:szCs w:val="26"/>
          <w:lang w:val="en-US"/>
        </w:rPr>
        <w:t xml:space="preserve"> </w:t>
      </w:r>
      <w:r>
        <w:rPr>
          <w:b/>
          <w:bCs/>
          <w:sz w:val="26"/>
          <w:szCs w:val="26"/>
        </w:rPr>
        <w:t>NAM</w:t>
      </w:r>
    </w:p>
    <w:p w:rsidR="003E154B" w:rsidRDefault="0097546B" w:rsidP="00337C71">
      <w:pPr>
        <w:pStyle w:val="Vnbnnidung0"/>
        <w:spacing w:after="200"/>
        <w:ind w:right="580" w:firstLine="0"/>
        <w:jc w:val="center"/>
      </w:pPr>
      <w:r>
        <w:rPr>
          <w:b/>
          <w:bCs/>
          <w:noProof/>
          <w:lang w:val="en-US" w:eastAsia="en-US" w:bidi="ar-SA"/>
        </w:rPr>
        <mc:AlternateContent>
          <mc:Choice Requires="wps">
            <w:drawing>
              <wp:anchor distT="0" distB="0" distL="114300" distR="114300" simplePos="0" relativeHeight="251661312" behindDoc="0" locked="0" layoutInCell="1" allowOverlap="1">
                <wp:simplePos x="0" y="0"/>
                <wp:positionH relativeFrom="column">
                  <wp:posOffset>3052444</wp:posOffset>
                </wp:positionH>
                <wp:positionV relativeFrom="paragraph">
                  <wp:posOffset>221615</wp:posOffset>
                </wp:positionV>
                <wp:extent cx="1343025" cy="0"/>
                <wp:effectExtent l="0" t="0" r="28575" b="19050"/>
                <wp:wrapNone/>
                <wp:docPr id="5" name="Straight Connector 5"/>
                <wp:cNvGraphicFramePr/>
                <a:graphic xmlns:a="http://schemas.openxmlformats.org/drawingml/2006/main">
                  <a:graphicData uri="http://schemas.microsoft.com/office/word/2010/wordprocessingShape">
                    <wps:wsp>
                      <wps:cNvCnPr/>
                      <wps:spPr>
                        <a:xfrm>
                          <a:off x="0" y="0"/>
                          <a:ext cx="13430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5F23B2D" id="Straight Connector 5"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240.35pt,17.45pt" to="346.1pt,1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" strokecolor="black [3200]" strokeweight=".5pt">
                <v:stroke joinstyle="miter"/>
              </v:line>
            </w:pict>
          </mc:Fallback>
        </mc:AlternateContent>
      </w:r>
      <w:r w:rsidR="00337C71">
        <w:rPr>
          <w:b/>
          <w:bCs/>
          <w:noProof/>
          <w:lang w:val="en-US" w:eastAsia="en-US" w:bidi="ar-SA"/>
        </w:rPr>
        <mc:AlternateContent>
          <mc:Choice Requires="wps">
            <w:drawing>
              <wp:anchor distT="0" distB="0" distL="114300" distR="114300" simplePos="0" relativeHeight="251659264" behindDoc="0" locked="0" layoutInCell="1" allowOverlap="1">
                <wp:simplePos x="0" y="0"/>
                <wp:positionH relativeFrom="column">
                  <wp:posOffset>594995</wp:posOffset>
                </wp:positionH>
                <wp:positionV relativeFrom="paragraph">
                  <wp:posOffset>227965</wp:posOffset>
                </wp:positionV>
                <wp:extent cx="752475" cy="0"/>
                <wp:effectExtent l="0" t="0" r="28575" b="19050"/>
                <wp:wrapNone/>
                <wp:docPr id="2" name="Straight Connector 2"/>
                <wp:cNvGraphicFramePr/>
                <a:graphic xmlns:a="http://schemas.openxmlformats.org/drawingml/2006/main">
                  <a:graphicData uri="http://schemas.microsoft.com/office/word/2010/wordprocessingShape">
                    <wps:wsp>
                      <wps:cNvCnPr/>
                      <wps:spPr>
                        <a:xfrm>
                          <a:off x="0" y="0"/>
                          <a:ext cx="7524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9024B46" id="Straight Connector 2"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46.85pt,17.95pt" to="106.1pt,1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" strokecolor="black [3200]" strokeweight=".5pt">
                <v:stroke joinstyle="miter"/>
              </v:line>
            </w:pict>
          </mc:Fallback>
        </mc:AlternateContent>
      </w:r>
      <w:r w:rsidR="005D569C">
        <w:rPr>
          <w:b/>
          <w:bCs/>
        </w:rPr>
        <w:t>Độc lập - Tự do - Hạnh phúc</w:t>
      </w:r>
    </w:p>
    <w:p w:rsidR="003E154B" w:rsidRDefault="005D569C">
      <w:pPr>
        <w:pStyle w:val="Vnbnnidung0"/>
        <w:spacing w:after="340"/>
        <w:ind w:right="580" w:firstLine="0"/>
        <w:jc w:val="right"/>
      </w:pPr>
      <w:r>
        <w:rPr>
          <w:i/>
          <w:iCs/>
        </w:rPr>
        <w:t>Tây Ninh, ngày 28 tháng 10 năm 2025</w:t>
      </w:r>
    </w:p>
    <w:p w:rsidR="003E154B" w:rsidRDefault="005D569C">
      <w:pPr>
        <w:pStyle w:val="Tiu10"/>
        <w:keepNext/>
        <w:keepLines/>
      </w:pPr>
      <w:bookmarkStart w:id="0" w:name="bookmark0"/>
      <w:bookmarkStart w:id="1" w:name="bookmark1"/>
      <w:bookmarkStart w:id="2" w:name="bookmark2"/>
      <w:r>
        <w:t>nghị quyết</w:t>
      </w:r>
      <w:bookmarkEnd w:id="0"/>
      <w:bookmarkEnd w:id="1"/>
      <w:bookmarkEnd w:id="2"/>
    </w:p>
    <w:p w:rsidR="0097546B" w:rsidRPr="0097546B" w:rsidRDefault="0097546B" w:rsidP="0097546B">
      <w:pPr>
        <w:pStyle w:val="Vnbnnidung0"/>
        <w:spacing w:after="340"/>
        <w:ind w:firstLine="0"/>
        <w:jc w:val="center"/>
        <w:rPr>
          <w:b/>
          <w:bCs/>
          <w:sz w:val="26"/>
          <w:szCs w:val="26"/>
        </w:rPr>
      </w:pPr>
      <w:r>
        <w:rPr>
          <w:b/>
          <w:bCs/>
          <w:noProof/>
          <w:sz w:val="26"/>
          <w:szCs w:val="26"/>
          <w:lang w:val="en-US" w:eastAsia="en-US" w:bidi="ar-SA"/>
        </w:rPr>
        <mc:AlternateContent>
          <mc:Choice Requires="wps">
            <w:drawing>
              <wp:anchor distT="0" distB="0" distL="114300" distR="114300" simplePos="0" relativeHeight="251660288" behindDoc="0" locked="0" layoutInCell="1" allowOverlap="1">
                <wp:simplePos x="0" y="0"/>
                <wp:positionH relativeFrom="column">
                  <wp:posOffset>1957069</wp:posOffset>
                </wp:positionH>
                <wp:positionV relativeFrom="paragraph">
                  <wp:posOffset>993140</wp:posOffset>
                </wp:positionV>
                <wp:extent cx="1876425" cy="0"/>
                <wp:effectExtent l="0" t="0" r="28575" b="19050"/>
                <wp:wrapNone/>
                <wp:docPr id="4" name="Straight Connector 4"/>
                <wp:cNvGraphicFramePr/>
                <a:graphic xmlns:a="http://schemas.openxmlformats.org/drawingml/2006/main">
                  <a:graphicData uri="http://schemas.microsoft.com/office/word/2010/wordprocessingShape">
                    <wps:wsp>
                      <wps:cNvCnPr/>
                      <wps:spPr>
                        <a:xfrm>
                          <a:off x="0" y="0"/>
                          <a:ext cx="18764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A3C21C4" id="Straight Connector 4"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154.1pt,78.2pt" to="301.85pt,7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" strokecolor="black [3200]" strokeweight=".5pt">
                <v:stroke joinstyle="miter"/>
              </v:line>
            </w:pict>
          </mc:Fallback>
        </mc:AlternateContent>
      </w:r>
      <w:r w:rsidR="005D569C">
        <w:rPr>
          <w:b/>
          <w:bCs/>
          <w:sz w:val="26"/>
          <w:szCs w:val="26"/>
        </w:rPr>
        <w:t>Quy định chính sách, chế độ trợ cấp một lần đối với người làm việc ngoài chỉ tiêu</w:t>
      </w:r>
      <w:r w:rsidR="005D569C">
        <w:rPr>
          <w:b/>
          <w:bCs/>
          <w:sz w:val="26"/>
          <w:szCs w:val="26"/>
        </w:rPr>
        <w:br/>
        <w:t>biên</w:t>
      </w:r>
      <w:r w:rsidR="005D569C">
        <w:rPr>
          <w:b/>
          <w:bCs/>
          <w:sz w:val="26"/>
          <w:szCs w:val="26"/>
        </w:rPr>
        <w:t xml:space="preserve"> chế tại các Hội do Đảng, Nhà nước giao nhiệm vụ ở cấp tỉnh, cấp huyện</w:t>
      </w:r>
      <w:r w:rsidR="005D569C">
        <w:rPr>
          <w:b/>
          <w:bCs/>
          <w:sz w:val="26"/>
          <w:szCs w:val="26"/>
        </w:rPr>
        <w:br/>
        <w:t>trước thời điểm ngày 01 tháng 7 năm 2025 chịu sự tác động do thực hiện sắp xếp</w:t>
      </w:r>
      <w:r w:rsidR="005D569C">
        <w:rPr>
          <w:b/>
          <w:bCs/>
          <w:sz w:val="26"/>
          <w:szCs w:val="26"/>
        </w:rPr>
        <w:br/>
        <w:t>tổ chức bộ máy, đơn vị hành chính các cấp theo Kết luận số 183-KL/TW của Bộ</w:t>
      </w:r>
      <w:r w:rsidR="005D569C">
        <w:rPr>
          <w:b/>
          <w:bCs/>
          <w:sz w:val="26"/>
          <w:szCs w:val="26"/>
        </w:rPr>
        <w:br/>
        <w:t>Chính trị, Ban Bí thư trên địa</w:t>
      </w:r>
      <w:r w:rsidR="005D569C">
        <w:rPr>
          <w:b/>
          <w:bCs/>
          <w:sz w:val="26"/>
          <w:szCs w:val="26"/>
        </w:rPr>
        <w:t xml:space="preserve"> bàn tỉnh Tây Ninh</w:t>
      </w:r>
    </w:p>
    <w:p w:rsidR="003E154B" w:rsidRDefault="0097546B">
      <w:pPr>
        <w:pStyle w:val="Vnbnnidung0"/>
        <w:ind w:firstLine="740"/>
        <w:jc w:val="both"/>
      </w:pPr>
      <w:r>
        <w:rPr>
          <w:i/>
          <w:iCs/>
        </w:rPr>
        <w:t>Căn cứ Luật T</w:t>
      </w:r>
      <w:r>
        <w:rPr>
          <w:i/>
          <w:iCs/>
          <w:lang w:val="en-US"/>
        </w:rPr>
        <w:t>ổ</w:t>
      </w:r>
      <w:r w:rsidR="005D569C">
        <w:rPr>
          <w:i/>
          <w:iCs/>
        </w:rPr>
        <w:t xml:space="preserve"> chức chính quyền địa phương số 72/2025/QH15;</w:t>
      </w:r>
    </w:p>
    <w:p w:rsidR="003E154B" w:rsidRDefault="005D569C">
      <w:pPr>
        <w:pStyle w:val="Vnbnnidung0"/>
        <w:ind w:firstLine="800"/>
        <w:jc w:val="both"/>
      </w:pPr>
      <w:r>
        <w:rPr>
          <w:i/>
          <w:iCs/>
        </w:rPr>
        <w:t>Căn cứ Luật Sửa đổi, bổ sung một số điều của Luật Chứng khoán, Luật Kế toán, Luật Kiểm toán độc lập, Luật Ngân sách nhà nước, Luật Quản lý, sử dụng tài sản công, Luật Quản lý th</w:t>
      </w:r>
      <w:r>
        <w:rPr>
          <w:i/>
          <w:iCs/>
        </w:rPr>
        <w:t>uế, Luật Thuế thu nhập cá nhân, Luật Dự trữ quốc gia, Luật Xử lý vi phạm hành chính số 56/2024/QH15;</w:t>
      </w:r>
    </w:p>
    <w:p w:rsidR="003E154B" w:rsidRDefault="005D569C">
      <w:pPr>
        <w:pStyle w:val="Vnbnnidung0"/>
        <w:ind w:firstLine="800"/>
        <w:jc w:val="both"/>
      </w:pPr>
      <w:r>
        <w:rPr>
          <w:i/>
          <w:iCs/>
        </w:rPr>
        <w:t>Căn cứ Nghị định số 126/2024/NĐ-CP ngày 08 tháng 10 năm 2024 của Chính phủ quy định về tổ chức, hoạt động và quản lý hội;</w:t>
      </w:r>
    </w:p>
    <w:p w:rsidR="003E154B" w:rsidRDefault="005D569C">
      <w:pPr>
        <w:pStyle w:val="Vnbnnidung0"/>
        <w:ind w:firstLine="800"/>
        <w:jc w:val="both"/>
      </w:pPr>
      <w:r>
        <w:rPr>
          <w:i/>
          <w:iCs/>
        </w:rPr>
        <w:t>Căn cứ Nghị quyết số 07/2025/NQ-C</w:t>
      </w:r>
      <w:r>
        <w:rPr>
          <w:i/>
          <w:iCs/>
        </w:rPr>
        <w:t>P ngày 17 tháng 9 năm 2025 của Chính phủ về chính sách, chế độ đối với đối tượng chịu sự tác động do thực hiện sắp xếp tổ chức bộ máy, đơn vị hành chính các cấp theo Kết luận số 183-KL/TW của Bộ Chính trị, Ban Bí thư;</w:t>
      </w:r>
    </w:p>
    <w:p w:rsidR="003E154B" w:rsidRDefault="005D569C">
      <w:pPr>
        <w:pStyle w:val="Vnbnnidung0"/>
        <w:ind w:firstLine="800"/>
        <w:jc w:val="both"/>
      </w:pPr>
      <w:r>
        <w:rPr>
          <w:i/>
          <w:iCs/>
        </w:rPr>
        <w:t xml:space="preserve">Xét Tờ trình số 1835/TTr-UBND ngày 27 </w:t>
      </w:r>
      <w:r>
        <w:rPr>
          <w:i/>
          <w:iCs/>
        </w:rPr>
        <w:t>tháng 10 năm 2025 của Ủy ban nhân dân tỉnh về dự thảo Nghị quyết Quy định chính sách, chế độ trợ cấp một lần đối với người làm việc ngoài chỉ tiêu biên chế tại các Hội do Đảng, Nhà nước giao nhiệm vụ ở cấp tỉnh, cấp huyện trước thời điểm ngày 01 tháng 7 nă</w:t>
      </w:r>
      <w:r>
        <w:rPr>
          <w:i/>
          <w:iCs/>
        </w:rPr>
        <w:t>m 2025 chịu sự tác động do thực hiện sắp xếp tổ chức bộ máy, đơn vị hành chính các cấp theo Kết luận số 183-KL/TW của Bộ Chính trị, Ban Bí thư trên địa bàn tỉnh Tây Ninh; Báo cáo thẩm tra số 406/BC-HĐND ngày 27 tháng 10 năm 2025 của Ban Pháp chế Hội đồng n</w:t>
      </w:r>
      <w:r>
        <w:rPr>
          <w:i/>
          <w:iCs/>
        </w:rPr>
        <w:t>hân dân tỉnh; ý kiến thảo luận của đại biểu Hội đồng nhân dân tỉnh tại Kỳ họp;</w:t>
      </w:r>
    </w:p>
    <w:p w:rsidR="003E154B" w:rsidRDefault="005D569C">
      <w:pPr>
        <w:pStyle w:val="Vnbnnidung0"/>
        <w:ind w:firstLine="800"/>
        <w:jc w:val="both"/>
      </w:pPr>
      <w:r>
        <w:rPr>
          <w:i/>
          <w:iCs/>
        </w:rPr>
        <w:t>Hội đồng nhân dân tỉnh ban hành Nghị quyết Quy định chính sách, chế độ trợ cấp một lần đối với người làm việc ngoài chỉ tiêu biên chế tại các Hội do Đảng, Nhà nước giao nhiệm vụ</w:t>
      </w:r>
      <w:r>
        <w:rPr>
          <w:i/>
          <w:iCs/>
        </w:rPr>
        <w:t xml:space="preserve"> ở cấp tỉnh, cấp huyện trước thời điểm ngày 01 tháng 7 năm 2025 chịu sự tác động do thực hiện sắp xếp tổ chức bộ máy, đơn vị hành chính các cấp theo Kết luận số 183-KL/TW của Bộ Chính trị, Ban Bí thư trên địa bàn tỉnh Tây Ninh.</w:t>
      </w:r>
    </w:p>
    <w:p w:rsidR="003E154B" w:rsidRDefault="005D569C">
      <w:pPr>
        <w:pStyle w:val="Vnbnnidung0"/>
        <w:ind w:firstLine="740"/>
        <w:jc w:val="both"/>
      </w:pPr>
      <w:r>
        <w:rPr>
          <w:b/>
          <w:bCs/>
        </w:rPr>
        <w:t>Điều 1. Phạm vi điều chỉnh</w:t>
      </w:r>
    </w:p>
    <w:p w:rsidR="003E154B" w:rsidRDefault="005D569C">
      <w:pPr>
        <w:pStyle w:val="Vnbnnidung0"/>
        <w:ind w:firstLine="800"/>
        <w:jc w:val="both"/>
      </w:pPr>
      <w:r>
        <w:t>Nghị quyết Quy định chính sách, chế độ trợ cấp một lần đối với người làm việc ngoài chỉ tiêu biên chế tại các Hội do Đảng, Nhà nước giao nhiệm vụ ở cấp tỉnh, cấp huyện trước thời điểm ngày 01 tháng 7 năm 2025 chịu sự tác động do thực hiện sắp xếp tổ chức b</w:t>
      </w:r>
      <w:r>
        <w:t>ộ máy, đơn vị hành chính các cấp theo Kết luận số 183-</w:t>
      </w:r>
      <w:r>
        <w:lastRenderedPageBreak/>
        <w:t>KL/TW của Bộ Chính trị, Ban Bí thư trên địa bàn tỉnh Tây Ninh.</w:t>
      </w:r>
    </w:p>
    <w:p w:rsidR="003E154B" w:rsidRDefault="005D569C">
      <w:pPr>
        <w:pStyle w:val="Vnbnnidung0"/>
        <w:ind w:firstLine="740"/>
        <w:jc w:val="both"/>
      </w:pPr>
      <w:r>
        <w:rPr>
          <w:b/>
          <w:bCs/>
        </w:rPr>
        <w:t>Điều 2. Đối tượng áp dụng</w:t>
      </w:r>
    </w:p>
    <w:p w:rsidR="003E154B" w:rsidRDefault="005D569C">
      <w:pPr>
        <w:pStyle w:val="Vnbnnidung0"/>
        <w:ind w:firstLine="740"/>
        <w:jc w:val="both"/>
      </w:pPr>
      <w:r>
        <w:t>Người làm việc ngoài chỉ tiêu biên chế tại các Hội do Đảng, Nhà nước giao nhiệm vụ ở cấp tỉnh hoặc ở cấp huyện tr</w:t>
      </w:r>
      <w:r>
        <w:t>ước thời điểm ngày 01 tháng 7 năm 2025 nghỉ việc ngay do thực hiện mô hình tổ chức chính quyền địa phương 02 cấp, bao gồm:</w:t>
      </w:r>
    </w:p>
    <w:p w:rsidR="003E154B" w:rsidRDefault="005D569C">
      <w:pPr>
        <w:pStyle w:val="Vnbnnidung0"/>
        <w:numPr>
          <w:ilvl w:val="0"/>
          <w:numId w:val="1"/>
        </w:numPr>
        <w:tabs>
          <w:tab w:val="left" w:pos="1108"/>
        </w:tabs>
        <w:ind w:firstLine="740"/>
        <w:jc w:val="both"/>
      </w:pPr>
      <w:bookmarkStart w:id="3" w:name="bookmark3"/>
      <w:bookmarkEnd w:id="3"/>
      <w:r>
        <w:t>Chủ tịch, Phó Chủ tịch chuyên trách trong độ tuổi lao động.</w:t>
      </w:r>
    </w:p>
    <w:p w:rsidR="003E154B" w:rsidRDefault="005D569C">
      <w:pPr>
        <w:pStyle w:val="Vnbnnidung0"/>
        <w:numPr>
          <w:ilvl w:val="0"/>
          <w:numId w:val="1"/>
        </w:numPr>
        <w:tabs>
          <w:tab w:val="left" w:pos="1127"/>
        </w:tabs>
        <w:ind w:firstLine="740"/>
        <w:jc w:val="both"/>
      </w:pPr>
      <w:bookmarkStart w:id="4" w:name="bookmark4"/>
      <w:bookmarkEnd w:id="4"/>
      <w:r>
        <w:t>Chủ tịch, Phó Chủ tịch chuyên trách là người đã nghỉ hưu.</w:t>
      </w:r>
    </w:p>
    <w:p w:rsidR="003E154B" w:rsidRDefault="005D569C">
      <w:pPr>
        <w:pStyle w:val="Vnbnnidung0"/>
        <w:numPr>
          <w:ilvl w:val="0"/>
          <w:numId w:val="1"/>
        </w:numPr>
        <w:tabs>
          <w:tab w:val="left" w:pos="1107"/>
        </w:tabs>
        <w:ind w:firstLine="720"/>
        <w:jc w:val="both"/>
      </w:pPr>
      <w:bookmarkStart w:id="5" w:name="bookmark5"/>
      <w:bookmarkEnd w:id="5"/>
      <w:r>
        <w:t xml:space="preserve">Người trong độ </w:t>
      </w:r>
      <w:r>
        <w:t>tuổi lao động làm việ</w:t>
      </w:r>
      <w:bookmarkStart w:id="6" w:name="_GoBack"/>
      <w:bookmarkEnd w:id="6"/>
      <w:r>
        <w:t>c theo chế độ hợp đồng lao động.</w:t>
      </w:r>
    </w:p>
    <w:p w:rsidR="003E154B" w:rsidRDefault="005D569C">
      <w:pPr>
        <w:pStyle w:val="Vnbnnidung0"/>
        <w:ind w:firstLine="720"/>
        <w:jc w:val="both"/>
      </w:pPr>
      <w:r>
        <w:rPr>
          <w:b/>
          <w:bCs/>
        </w:rPr>
        <w:t>Điều 3. Mức trợ cấp một lần</w:t>
      </w:r>
    </w:p>
    <w:p w:rsidR="003E154B" w:rsidRDefault="005D569C">
      <w:pPr>
        <w:pStyle w:val="Vnbnnidung0"/>
        <w:numPr>
          <w:ilvl w:val="0"/>
          <w:numId w:val="2"/>
        </w:numPr>
        <w:tabs>
          <w:tab w:val="left" w:pos="1093"/>
        </w:tabs>
        <w:ind w:firstLine="740"/>
        <w:jc w:val="both"/>
      </w:pPr>
      <w:bookmarkStart w:id="7" w:name="bookmark6"/>
      <w:bookmarkEnd w:id="7"/>
      <w:r>
        <w:t>Đối tượng quy định tại Điều 2 Nghị quyết này là Chủ tịch, Phó Chủ tịch chuyên trách trong độ tuổi lao động; người trong độ tuổi lao động làm việc theo chế độ hợp đồng lao độn</w:t>
      </w:r>
      <w:r>
        <w:t>g được hưởng mức trợ cấp một lần như sau:</w:t>
      </w:r>
    </w:p>
    <w:p w:rsidR="003E154B" w:rsidRDefault="005D569C">
      <w:pPr>
        <w:pStyle w:val="Vnbnnidung0"/>
        <w:numPr>
          <w:ilvl w:val="0"/>
          <w:numId w:val="3"/>
        </w:numPr>
        <w:tabs>
          <w:tab w:val="left" w:pos="1107"/>
        </w:tabs>
        <w:ind w:firstLine="740"/>
        <w:jc w:val="both"/>
      </w:pPr>
      <w:bookmarkStart w:id="8" w:name="bookmark7"/>
      <w:bookmarkEnd w:id="8"/>
      <w:r>
        <w:t>Đối với người có thời gian công tác tại Hội dưới 05 năm thì được trợ cấp 05 tháng tiền lương hiện hưởng.</w:t>
      </w:r>
    </w:p>
    <w:p w:rsidR="003E154B" w:rsidRDefault="005D569C">
      <w:pPr>
        <w:pStyle w:val="Vnbnnidung0"/>
        <w:numPr>
          <w:ilvl w:val="0"/>
          <w:numId w:val="3"/>
        </w:numPr>
        <w:tabs>
          <w:tab w:val="left" w:pos="1131"/>
        </w:tabs>
        <w:ind w:firstLine="740"/>
        <w:jc w:val="both"/>
      </w:pPr>
      <w:bookmarkStart w:id="9" w:name="bookmark8"/>
      <w:bookmarkEnd w:id="9"/>
      <w:r>
        <w:t>Đối với người có thời gian công tác tại Hội từ đủ 05 năm đến đủ 10 năm thì được trợ cấp 10 tháng tiền lương h</w:t>
      </w:r>
      <w:r>
        <w:t>iện hưởng.</w:t>
      </w:r>
    </w:p>
    <w:p w:rsidR="003E154B" w:rsidRDefault="005D569C">
      <w:pPr>
        <w:pStyle w:val="Vnbnnidung0"/>
        <w:numPr>
          <w:ilvl w:val="0"/>
          <w:numId w:val="3"/>
        </w:numPr>
        <w:tabs>
          <w:tab w:val="left" w:pos="1131"/>
        </w:tabs>
        <w:ind w:firstLine="740"/>
        <w:jc w:val="both"/>
      </w:pPr>
      <w:bookmarkStart w:id="10" w:name="bookmark9"/>
      <w:bookmarkEnd w:id="10"/>
      <w:r>
        <w:t>Đối với người có thời gian công tác tại Hội trên 10 năm thì được trợ cấp 15 tháng tiền lương hiện hưởng.</w:t>
      </w:r>
    </w:p>
    <w:p w:rsidR="003E154B" w:rsidRDefault="005D569C">
      <w:pPr>
        <w:pStyle w:val="Vnbnnidung0"/>
        <w:numPr>
          <w:ilvl w:val="0"/>
          <w:numId w:val="2"/>
        </w:numPr>
        <w:tabs>
          <w:tab w:val="left" w:pos="1093"/>
        </w:tabs>
        <w:ind w:firstLine="740"/>
        <w:jc w:val="both"/>
      </w:pPr>
      <w:bookmarkStart w:id="11" w:name="bookmark10"/>
      <w:bookmarkEnd w:id="11"/>
      <w:r>
        <w:t xml:space="preserve">Đối tượng quy định tại Điều 2 Nghị quyết này là Chủ tịch, Phó Chủ tịch chuyên trách là người đã nghỉ hưu được hưởng mức trợ cấp một lần như </w:t>
      </w:r>
      <w:r>
        <w:t>sau:</w:t>
      </w:r>
    </w:p>
    <w:p w:rsidR="003E154B" w:rsidRDefault="005D569C">
      <w:pPr>
        <w:pStyle w:val="Vnbnnidung0"/>
        <w:numPr>
          <w:ilvl w:val="0"/>
          <w:numId w:val="4"/>
        </w:numPr>
        <w:tabs>
          <w:tab w:val="left" w:pos="1107"/>
        </w:tabs>
        <w:ind w:firstLine="740"/>
        <w:jc w:val="both"/>
      </w:pPr>
      <w:bookmarkStart w:id="12" w:name="bookmark11"/>
      <w:bookmarkEnd w:id="12"/>
      <w:r>
        <w:t>Đối với người có thời gian công tác tại Hội dưới 05 năm thì được trợ cấp 05 tháng thù lao hiện hưởng.</w:t>
      </w:r>
    </w:p>
    <w:p w:rsidR="003E154B" w:rsidRDefault="005D569C">
      <w:pPr>
        <w:pStyle w:val="Vnbnnidung0"/>
        <w:numPr>
          <w:ilvl w:val="0"/>
          <w:numId w:val="4"/>
        </w:numPr>
        <w:tabs>
          <w:tab w:val="left" w:pos="1131"/>
        </w:tabs>
        <w:ind w:firstLine="740"/>
        <w:jc w:val="both"/>
      </w:pPr>
      <w:bookmarkStart w:id="13" w:name="bookmark12"/>
      <w:bookmarkEnd w:id="13"/>
      <w:r>
        <w:t>Đối với người có thời gian công tác tại Hội từ đủ 05 năm đến đủ 10 năm thì được trợ cấp 10 tháng thù lao hiện hưởng.</w:t>
      </w:r>
    </w:p>
    <w:p w:rsidR="003E154B" w:rsidRDefault="005D569C">
      <w:pPr>
        <w:pStyle w:val="Vnbnnidung0"/>
        <w:numPr>
          <w:ilvl w:val="0"/>
          <w:numId w:val="4"/>
        </w:numPr>
        <w:tabs>
          <w:tab w:val="left" w:pos="1131"/>
        </w:tabs>
        <w:ind w:firstLine="740"/>
        <w:jc w:val="both"/>
      </w:pPr>
      <w:bookmarkStart w:id="14" w:name="bookmark13"/>
      <w:bookmarkEnd w:id="14"/>
      <w:r>
        <w:t xml:space="preserve">Đối với người có thời gian công </w:t>
      </w:r>
      <w:r>
        <w:t>tác tại Hội trên 10 năm thì được trợ cấp 15 tháng thù lao hiện hưởng.</w:t>
      </w:r>
    </w:p>
    <w:p w:rsidR="003E154B" w:rsidRDefault="005D569C">
      <w:pPr>
        <w:pStyle w:val="Vnbnnidung0"/>
        <w:ind w:firstLine="740"/>
        <w:jc w:val="both"/>
      </w:pPr>
      <w:r>
        <w:rPr>
          <w:b/>
          <w:bCs/>
        </w:rPr>
        <w:t>Điều 4. Kinh phí thực hiện</w:t>
      </w:r>
    </w:p>
    <w:p w:rsidR="003E154B" w:rsidRDefault="005D569C">
      <w:pPr>
        <w:pStyle w:val="Vnbnnidung0"/>
        <w:ind w:firstLine="740"/>
        <w:jc w:val="both"/>
      </w:pPr>
      <w:r>
        <w:t>Kinh phí thực hiện Nghị quyết này được bố trí từ nguồn ngân sách cấp tỉnh.</w:t>
      </w:r>
    </w:p>
    <w:p w:rsidR="003E154B" w:rsidRDefault="005D569C">
      <w:pPr>
        <w:pStyle w:val="Vnbnnidung0"/>
        <w:ind w:firstLine="720"/>
        <w:jc w:val="both"/>
      </w:pPr>
      <w:r>
        <w:rPr>
          <w:b/>
          <w:bCs/>
        </w:rPr>
        <w:t>Điều 5. Tổ chức thực hiện</w:t>
      </w:r>
    </w:p>
    <w:p w:rsidR="003E154B" w:rsidRDefault="005D569C">
      <w:pPr>
        <w:pStyle w:val="Vnbnnidung0"/>
        <w:numPr>
          <w:ilvl w:val="0"/>
          <w:numId w:val="5"/>
        </w:numPr>
        <w:tabs>
          <w:tab w:val="left" w:pos="1113"/>
        </w:tabs>
        <w:ind w:firstLine="740"/>
        <w:jc w:val="both"/>
      </w:pPr>
      <w:bookmarkStart w:id="15" w:name="bookmark14"/>
      <w:bookmarkEnd w:id="15"/>
      <w:r>
        <w:t xml:space="preserve">Giao Ủy ban nhân dân tỉnh tổ chức triển khai thực hiện </w:t>
      </w:r>
      <w:r>
        <w:t>Nghị quyết.</w:t>
      </w:r>
    </w:p>
    <w:p w:rsidR="003E154B" w:rsidRDefault="005D569C">
      <w:pPr>
        <w:pStyle w:val="Vnbnnidung0"/>
        <w:numPr>
          <w:ilvl w:val="0"/>
          <w:numId w:val="5"/>
        </w:numPr>
        <w:tabs>
          <w:tab w:val="left" w:pos="1107"/>
        </w:tabs>
        <w:ind w:firstLine="740"/>
        <w:jc w:val="both"/>
      </w:pPr>
      <w:bookmarkStart w:id="16" w:name="bookmark15"/>
      <w:bookmarkEnd w:id="16"/>
      <w:r>
        <w:t>Giao Thường trực Hội đồng nhân dân, các Ban của Hội đồng nhân dân, các Tổ đại biểu và đại biểu Hội đồng nhân dân tỉnh giám sát việc thực hiện Nghị quyết.</w:t>
      </w:r>
      <w:r>
        <w:br w:type="page"/>
      </w:r>
    </w:p>
    <w:p w:rsidR="003E154B" w:rsidRDefault="005D569C">
      <w:pPr>
        <w:pStyle w:val="Vnbnnidung0"/>
        <w:numPr>
          <w:ilvl w:val="0"/>
          <w:numId w:val="5"/>
        </w:numPr>
        <w:tabs>
          <w:tab w:val="left" w:pos="1117"/>
        </w:tabs>
        <w:ind w:firstLine="780"/>
        <w:jc w:val="both"/>
      </w:pPr>
      <w:bookmarkStart w:id="17" w:name="bookmark16"/>
      <w:bookmarkEnd w:id="17"/>
      <w:r>
        <w:lastRenderedPageBreak/>
        <w:t xml:space="preserve">Đề nghị Ủy ban Mặt trận Tổ quốc Việt Nam tỉnh và các tổ chức chính trị - xã hội tham gia </w:t>
      </w:r>
      <w:r>
        <w:t>tuyên truyền, giám sát việc thực hiện Nghị quyết.</w:t>
      </w:r>
    </w:p>
    <w:p w:rsidR="003E154B" w:rsidRDefault="005D569C">
      <w:pPr>
        <w:pStyle w:val="Vnbnnidung0"/>
        <w:ind w:firstLine="780"/>
        <w:jc w:val="both"/>
      </w:pPr>
      <w:r>
        <w:rPr>
          <w:b/>
          <w:bCs/>
        </w:rPr>
        <w:t>Điều 6. Hiệu lực thi hành</w:t>
      </w:r>
    </w:p>
    <w:p w:rsidR="003E154B" w:rsidRDefault="005D569C">
      <w:pPr>
        <w:pStyle w:val="Vnbnnidung0"/>
        <w:ind w:firstLine="780"/>
      </w:pPr>
      <w:r>
        <w:t>Nghị quyết này có hiệu lực thi hành từ ngày 28 tháng 10 năm 2025.</w:t>
      </w:r>
    </w:p>
    <w:p w:rsidR="003E154B" w:rsidRDefault="005D569C">
      <w:pPr>
        <w:pStyle w:val="Vnbnnidung0"/>
        <w:ind w:firstLine="780"/>
      </w:pPr>
      <w:r>
        <w:rPr>
          <w:b/>
          <w:bCs/>
        </w:rPr>
        <w:t>Điều 7. Điều khoản chuyển tiếp</w:t>
      </w:r>
    </w:p>
    <w:p w:rsidR="003E154B" w:rsidRDefault="005D569C">
      <w:pPr>
        <w:pStyle w:val="Vnbnnidung0"/>
        <w:ind w:firstLine="780"/>
        <w:jc w:val="both"/>
      </w:pPr>
      <w:r>
        <w:t>Đối với trường hợp người làm việc tại các Hội do Đảng và Nhà nước giao nhiệm vụ ở c</w:t>
      </w:r>
      <w:r>
        <w:t xml:space="preserve">ấp tỉnh, cấp huyện trước ngày 01 tháng 7 năm 2025 thuộc đối tượng áp dụng quy định tại Nghị quyết này nếu đã nghỉ việc do sắp xếp tổ chức bộ máy theo yêu cầu của việc thực hiện tổng kết Nghị quyết số 18-NQ/TW ngày 25 tháng 10 năm 2017 Hội nghị lần thứ sáu </w:t>
      </w:r>
      <w:r>
        <w:t>Ban Chấp hành Trung ương Đảng khóa XII “Một số vấn đề tiếp tục đổi mới, sắp xếp tổ chức Bộ máy của hệ thống chính trị tinh gọn, hoạt động hiệu lực, hiệu quả” hoặc do thực hiện mô hình tổ chức chính quyền địa phương 02 cấp từ ngày có quyết định sắp xếp tổ c</w:t>
      </w:r>
      <w:r>
        <w:t>hức bộ máy của cấp có thẩm quyền đến trước ngày Nghị quyết số 07/2025/NQ-CP có hiệu lực thi hành nhưng chưa được hưởng chính sách, chế độ theo quy định thì được áp dụng chính sách, chế độ quy định tại Nghị quyết này; trường hợp đã được hưởng chính sách, ch</w:t>
      </w:r>
      <w:r>
        <w:t>ế độ nhưng mức trợ cấp thấp hơn chính sách, chế độ quy định tại Nghị quyết này thì được cấp bổ sung theo quy định tại Nghị quyết này.</w:t>
      </w:r>
    </w:p>
    <w:p w:rsidR="003E154B" w:rsidRDefault="005D569C">
      <w:pPr>
        <w:pStyle w:val="Vnbnnidung0"/>
        <w:spacing w:after="580" w:line="276" w:lineRule="auto"/>
        <w:ind w:firstLine="620"/>
        <w:jc w:val="both"/>
      </w:pPr>
      <w:r>
        <w:rPr>
          <w:i/>
          <w:iCs/>
        </w:rPr>
        <w:t xml:space="preserve">Nghị quyết này đã được Hội đồng nhân dân tỉnh Tây Ninh khóa X, kỳ họp thứ 4 (kỳ họp chuyên đề năm 2025) thông qua ngày 28 </w:t>
      </w:r>
      <w:r>
        <w:rPr>
          <w:i/>
          <w:iCs/>
        </w:rPr>
        <w:t>tháng 10 năm 2025./.</w:t>
      </w:r>
    </w:p>
    <w:p w:rsidR="003E154B" w:rsidRDefault="005D569C">
      <w:pPr>
        <w:pStyle w:val="Vnbnnidung20"/>
        <w:spacing w:line="218" w:lineRule="auto"/>
        <w:rPr>
          <w:sz w:val="24"/>
          <w:szCs w:val="24"/>
        </w:rPr>
      </w:pPr>
      <w:r>
        <w:rPr>
          <w:b/>
          <w:bCs/>
          <w:i/>
          <w:iCs/>
          <w:sz w:val="24"/>
          <w:szCs w:val="24"/>
        </w:rPr>
        <w:t>Nơi nhận:</w:t>
      </w:r>
    </w:p>
    <w:p w:rsidR="003E154B" w:rsidRDefault="005D569C">
      <w:pPr>
        <w:pStyle w:val="Vnbnnidung20"/>
        <w:numPr>
          <w:ilvl w:val="0"/>
          <w:numId w:val="6"/>
        </w:numPr>
        <w:tabs>
          <w:tab w:val="left" w:pos="258"/>
        </w:tabs>
      </w:pPr>
      <w:bookmarkStart w:id="18" w:name="bookmark17"/>
      <w:bookmarkEnd w:id="18"/>
      <w:r>
        <w:t>Ủy ban Thường vụ Quốc hội (b/c);</w:t>
      </w:r>
    </w:p>
    <w:p w:rsidR="003E154B" w:rsidRDefault="005D569C">
      <w:pPr>
        <w:pStyle w:val="Vnbnnidung20"/>
        <w:numPr>
          <w:ilvl w:val="0"/>
          <w:numId w:val="6"/>
        </w:numPr>
        <w:tabs>
          <w:tab w:val="left" w:pos="258"/>
        </w:tabs>
      </w:pPr>
      <w:bookmarkStart w:id="19" w:name="bookmark18"/>
      <w:bookmarkEnd w:id="19"/>
      <w:r>
        <w:t>Chính phủ (b/c);</w:t>
      </w:r>
    </w:p>
    <w:p w:rsidR="003E154B" w:rsidRDefault="005D569C">
      <w:pPr>
        <w:pStyle w:val="Vnbnnidung20"/>
        <w:numPr>
          <w:ilvl w:val="0"/>
          <w:numId w:val="6"/>
        </w:numPr>
        <w:tabs>
          <w:tab w:val="left" w:pos="258"/>
        </w:tabs>
      </w:pPr>
      <w:bookmarkStart w:id="20" w:name="bookmark19"/>
      <w:bookmarkEnd w:id="20"/>
      <w:r>
        <w:t>Ủy ban Công tác Đại biểu của Quốc hội (b/c);</w:t>
      </w:r>
    </w:p>
    <w:p w:rsidR="003E154B" w:rsidRDefault="00337C71">
      <w:pPr>
        <w:pStyle w:val="Vnbnnidung20"/>
        <w:numPr>
          <w:ilvl w:val="0"/>
          <w:numId w:val="6"/>
        </w:numPr>
        <w:tabs>
          <w:tab w:val="left" w:pos="258"/>
        </w:tabs>
      </w:pPr>
      <w:bookmarkStart w:id="21" w:name="bookmark20"/>
      <w:bookmarkEnd w:id="21"/>
      <w:r>
        <w:rPr>
          <w:smallCaps/>
          <w:lang w:val="en-US"/>
        </w:rPr>
        <w:t>V</w:t>
      </w:r>
      <w:r w:rsidR="005D569C">
        <w:rPr>
          <w:smallCaps/>
        </w:rPr>
        <w:t>P.</w:t>
      </w:r>
      <w:r w:rsidR="005D569C">
        <w:t xml:space="preserve"> Quốc hội, VP Chính phủ “TPHCM”;</w:t>
      </w:r>
    </w:p>
    <w:p w:rsidR="003E154B" w:rsidRDefault="005D569C">
      <w:pPr>
        <w:pStyle w:val="Vnbnnidung20"/>
        <w:numPr>
          <w:ilvl w:val="0"/>
          <w:numId w:val="6"/>
        </w:numPr>
        <w:tabs>
          <w:tab w:val="left" w:pos="258"/>
        </w:tabs>
      </w:pPr>
      <w:bookmarkStart w:id="22" w:name="bookmark21"/>
      <w:bookmarkEnd w:id="22"/>
      <w:r>
        <w:t>Ban Tổ chức Trung ương;</w:t>
      </w:r>
    </w:p>
    <w:p w:rsidR="003E154B" w:rsidRDefault="005D569C">
      <w:pPr>
        <w:pStyle w:val="Vnbnnidung20"/>
        <w:numPr>
          <w:ilvl w:val="0"/>
          <w:numId w:val="6"/>
        </w:numPr>
        <w:tabs>
          <w:tab w:val="left" w:pos="258"/>
        </w:tabs>
      </w:pPr>
      <w:bookmarkStart w:id="23" w:name="bookmark22"/>
      <w:bookmarkEnd w:id="23"/>
      <w:r>
        <w:t>Bộ Nội vụ;</w:t>
      </w:r>
    </w:p>
    <w:p w:rsidR="003E154B" w:rsidRDefault="005D569C">
      <w:pPr>
        <w:pStyle w:val="Vnbnnidung20"/>
        <w:numPr>
          <w:ilvl w:val="0"/>
          <w:numId w:val="6"/>
        </w:numPr>
        <w:tabs>
          <w:tab w:val="left" w:pos="267"/>
        </w:tabs>
      </w:pPr>
      <w:bookmarkStart w:id="24" w:name="bookmark23"/>
      <w:bookmarkEnd w:id="24"/>
      <w:r>
        <w:t xml:space="preserve">Cục Kiểm tra văn bản và Quản lý xử lý vi phạm hành chính - </w:t>
      </w:r>
      <w:r>
        <w:t>Bộ Tư pháp;</w:t>
      </w:r>
    </w:p>
    <w:p w:rsidR="003E154B" w:rsidRDefault="005D569C">
      <w:pPr>
        <w:pStyle w:val="Vnbnnidung20"/>
        <w:numPr>
          <w:ilvl w:val="0"/>
          <w:numId w:val="6"/>
        </w:numPr>
        <w:tabs>
          <w:tab w:val="left" w:pos="258"/>
        </w:tabs>
      </w:pPr>
      <w:bookmarkStart w:id="25" w:name="bookmark24"/>
      <w:bookmarkEnd w:id="25"/>
      <w:r>
        <w:t>Vụ Pháp chế - Bộ Nội vụ;</w:t>
      </w:r>
    </w:p>
    <w:p w:rsidR="003E154B" w:rsidRDefault="005D569C">
      <w:pPr>
        <w:pStyle w:val="Vnbnnidung20"/>
        <w:numPr>
          <w:ilvl w:val="0"/>
          <w:numId w:val="6"/>
        </w:numPr>
        <w:tabs>
          <w:tab w:val="left" w:pos="258"/>
        </w:tabs>
      </w:pPr>
      <w:bookmarkStart w:id="26" w:name="bookmark25"/>
      <w:bookmarkEnd w:id="26"/>
      <w:r>
        <w:t>Vụ Pháp chế - Bộ Tài chính;</w:t>
      </w:r>
    </w:p>
    <w:p w:rsidR="003E154B" w:rsidRDefault="005D569C">
      <w:pPr>
        <w:pStyle w:val="Vnbnnidung20"/>
        <w:numPr>
          <w:ilvl w:val="0"/>
          <w:numId w:val="6"/>
        </w:numPr>
        <w:tabs>
          <w:tab w:val="left" w:pos="258"/>
        </w:tabs>
      </w:pPr>
      <w:bookmarkStart w:id="27" w:name="bookmark26"/>
      <w:bookmarkEnd w:id="27"/>
      <w:r>
        <w:t>TT.TU; TT. HĐND tỉnh;</w:t>
      </w:r>
    </w:p>
    <w:p w:rsidR="003E154B" w:rsidRDefault="005D569C">
      <w:pPr>
        <w:pStyle w:val="Vnbnnidung20"/>
        <w:numPr>
          <w:ilvl w:val="0"/>
          <w:numId w:val="6"/>
        </w:numPr>
        <w:tabs>
          <w:tab w:val="left" w:pos="258"/>
        </w:tabs>
      </w:pPr>
      <w:bookmarkStart w:id="28" w:name="bookmark27"/>
      <w:bookmarkEnd w:id="28"/>
      <w:r>
        <w:t>Đại biểu QH đơn vị tỉnh Tây Ninh;</w:t>
      </w:r>
    </w:p>
    <w:p w:rsidR="003E154B" w:rsidRDefault="005D569C">
      <w:pPr>
        <w:pStyle w:val="Vnbnnidung20"/>
        <w:numPr>
          <w:ilvl w:val="0"/>
          <w:numId w:val="6"/>
        </w:numPr>
        <w:tabs>
          <w:tab w:val="left" w:pos="258"/>
        </w:tabs>
      </w:pPr>
      <w:bookmarkStart w:id="29" w:name="bookmark28"/>
      <w:bookmarkEnd w:id="29"/>
      <w:r>
        <w:t>Đại biểu HĐND tỉnh khóa X;</w:t>
      </w:r>
    </w:p>
    <w:p w:rsidR="003E154B" w:rsidRDefault="005D569C">
      <w:pPr>
        <w:pStyle w:val="Vnbnnidung20"/>
        <w:numPr>
          <w:ilvl w:val="0"/>
          <w:numId w:val="6"/>
        </w:numPr>
        <w:tabs>
          <w:tab w:val="left" w:pos="258"/>
        </w:tabs>
      </w:pPr>
      <w:bookmarkStart w:id="30" w:name="bookmark29"/>
      <w:bookmarkEnd w:id="30"/>
      <w:r>
        <w:t>UBND tỉnh; UBMTTQVN tỉnh;</w:t>
      </w:r>
    </w:p>
    <w:p w:rsidR="003E154B" w:rsidRDefault="005D569C">
      <w:pPr>
        <w:pStyle w:val="Vnbnnidung20"/>
        <w:numPr>
          <w:ilvl w:val="0"/>
          <w:numId w:val="6"/>
        </w:numPr>
        <w:tabs>
          <w:tab w:val="left" w:pos="258"/>
        </w:tabs>
      </w:pPr>
      <w:bookmarkStart w:id="31" w:name="bookmark30"/>
      <w:bookmarkEnd w:id="31"/>
      <w:r>
        <w:t>Các sở, ban, ngành, đoàn thể tỉnh;</w:t>
      </w:r>
    </w:p>
    <w:p w:rsidR="003E154B" w:rsidRDefault="005D569C">
      <w:pPr>
        <w:pStyle w:val="Vnbnnidung20"/>
        <w:numPr>
          <w:ilvl w:val="0"/>
          <w:numId w:val="6"/>
        </w:numPr>
        <w:tabs>
          <w:tab w:val="left" w:pos="258"/>
        </w:tabs>
      </w:pPr>
      <w:bookmarkStart w:id="32" w:name="bookmark31"/>
      <w:bookmarkEnd w:id="32"/>
      <w:r>
        <w:t>TT. HĐND, UBND các xã, phường;</w:t>
      </w:r>
    </w:p>
    <w:p w:rsidR="003E154B" w:rsidRDefault="005D569C">
      <w:pPr>
        <w:pStyle w:val="Vnbnnidung20"/>
        <w:numPr>
          <w:ilvl w:val="0"/>
          <w:numId w:val="6"/>
        </w:numPr>
        <w:tabs>
          <w:tab w:val="left" w:pos="258"/>
        </w:tabs>
      </w:pPr>
      <w:bookmarkStart w:id="33" w:name="bookmark32"/>
      <w:bookmarkEnd w:id="33"/>
      <w:r>
        <w:t xml:space="preserve">VP Đoàn ĐBQH và </w:t>
      </w:r>
      <w:r>
        <w:rPr>
          <w:smallCaps/>
        </w:rPr>
        <w:t>HĐnD</w:t>
      </w:r>
      <w:r>
        <w:t xml:space="preserve"> tỉnh; VP UBND tỉnh;</w:t>
      </w:r>
    </w:p>
    <w:p w:rsidR="003E154B" w:rsidRDefault="005D569C">
      <w:pPr>
        <w:pStyle w:val="Vnbnnidung20"/>
        <w:numPr>
          <w:ilvl w:val="0"/>
          <w:numId w:val="6"/>
        </w:numPr>
        <w:tabs>
          <w:tab w:val="left" w:pos="258"/>
        </w:tabs>
      </w:pPr>
      <w:bookmarkStart w:id="34" w:name="bookmark33"/>
      <w:bookmarkEnd w:id="34"/>
      <w:r>
        <w:t>Trang thông tin điện tử HĐND tỉnh;</w:t>
      </w:r>
    </w:p>
    <w:p w:rsidR="003E154B" w:rsidRDefault="005D569C">
      <w:pPr>
        <w:pStyle w:val="Vnbnnidung20"/>
        <w:numPr>
          <w:ilvl w:val="0"/>
          <w:numId w:val="6"/>
        </w:numPr>
        <w:tabs>
          <w:tab w:val="left" w:pos="262"/>
        </w:tabs>
      </w:pPr>
      <w:bookmarkStart w:id="35" w:name="bookmark34"/>
      <w:bookmarkEnd w:id="35"/>
      <w:r>
        <w:t>Trung tâm Công báo - Tin học (Văn phòng UBND tỉnh);</w:t>
      </w:r>
    </w:p>
    <w:p w:rsidR="003E154B" w:rsidRDefault="005D569C">
      <w:pPr>
        <w:pStyle w:val="Vnbnnidung20"/>
        <w:numPr>
          <w:ilvl w:val="0"/>
          <w:numId w:val="6"/>
        </w:numPr>
        <w:tabs>
          <w:tab w:val="left" w:pos="258"/>
        </w:tabs>
        <w:spacing w:after="80"/>
      </w:pPr>
      <w:bookmarkStart w:id="36" w:name="bookmark35"/>
      <w:bookmarkEnd w:id="36"/>
      <w:r>
        <w:t>Lưu: VT, Tr</w:t>
      </w:r>
    </w:p>
    <w:sectPr w:rsidR="003E154B">
      <w:pgSz w:w="11900" w:h="16840"/>
      <w:pgMar w:top="932" w:right="1057" w:bottom="1537" w:left="1628" w:header="0" w:footer="3" w:gutter="0"/>
      <w:cols w:space="720"/>
      <w:noEndnot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D569C" w:rsidRDefault="005D569C">
      <w:r>
        <w:separator/>
      </w:r>
    </w:p>
  </w:endnote>
  <w:endnote w:type="continuationSeparator" w:id="0">
    <w:p w:rsidR="005D569C" w:rsidRDefault="005D56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D569C" w:rsidRDefault="005D569C"/>
  </w:footnote>
  <w:footnote w:type="continuationSeparator" w:id="0">
    <w:p w:rsidR="005D569C" w:rsidRDefault="005D569C"/>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65844FF"/>
    <w:multiLevelType w:val="multilevel"/>
    <w:tmpl w:val="39D40B38"/>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8"/>
        <w:szCs w:val="28"/>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nsid w:val="2F5505CE"/>
    <w:multiLevelType w:val="multilevel"/>
    <w:tmpl w:val="BAA4DCFE"/>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nsid w:val="43A5669B"/>
    <w:multiLevelType w:val="multilevel"/>
    <w:tmpl w:val="273EEF44"/>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nsid w:val="44F35B9A"/>
    <w:multiLevelType w:val="multilevel"/>
    <w:tmpl w:val="F244C930"/>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nsid w:val="63C955A4"/>
    <w:multiLevelType w:val="multilevel"/>
    <w:tmpl w:val="8C32CB42"/>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nsid w:val="6B3A52C8"/>
    <w:multiLevelType w:val="multilevel"/>
    <w:tmpl w:val="1DB05852"/>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1"/>
  </w:num>
  <w:num w:numId="2">
    <w:abstractNumId w:val="2"/>
  </w:num>
  <w:num w:numId="3">
    <w:abstractNumId w:val="3"/>
  </w:num>
  <w:num w:numId="4">
    <w:abstractNumId w:val="4"/>
  </w:num>
  <w:num w:numId="5">
    <w:abstractNumId w:val="0"/>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oNotDisplayPageBoundaries/>
  <w:defaultTabStop w:val="720"/>
  <w:drawingGridHorizontalSpacing w:val="181"/>
  <w:drawingGridVerticalSpacing w:val="181"/>
  <w:characterSpacingControl w:val="compressPunctuation"/>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E154B"/>
    <w:rsid w:val="00337C71"/>
    <w:rsid w:val="003E154B"/>
    <w:rsid w:val="005D569C"/>
    <w:rsid w:val="0097546B"/>
    <w:rsid w:val="00DE7D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84CA248-19BC-4399-AEDD-C90D1A0DD2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ourier New" w:eastAsia="Courier New" w:hAnsi="Courier New" w:cs="Courier New"/>
        <w:sz w:val="24"/>
        <w:szCs w:val="24"/>
        <w:lang w:val="vi-VN" w:eastAsia="vi-VN" w:bidi="vi-VN"/>
      </w:rPr>
    </w:rPrDefault>
    <w:pPrDefault>
      <w:pPr>
        <w:widowControl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Pr>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nbnnidung">
    <w:name w:val="Văn bản nội dung_"/>
    <w:basedOn w:val="DefaultParagraphFont"/>
    <w:link w:val="Vnbnnidung0"/>
    <w:rPr>
      <w:rFonts w:ascii="Times New Roman" w:eastAsia="Times New Roman" w:hAnsi="Times New Roman" w:cs="Times New Roman"/>
      <w:b w:val="0"/>
      <w:bCs w:val="0"/>
      <w:i w:val="0"/>
      <w:iCs w:val="0"/>
      <w:smallCaps w:val="0"/>
      <w:strike w:val="0"/>
      <w:sz w:val="28"/>
      <w:szCs w:val="28"/>
      <w:u w:val="none"/>
      <w:shd w:val="clear" w:color="auto" w:fill="auto"/>
    </w:rPr>
  </w:style>
  <w:style w:type="character" w:customStyle="1" w:styleId="Tiu1">
    <w:name w:val="Tiêu đề #1_"/>
    <w:basedOn w:val="DefaultParagraphFont"/>
    <w:link w:val="Tiu10"/>
    <w:rPr>
      <w:rFonts w:ascii="Times New Roman" w:eastAsia="Times New Roman" w:hAnsi="Times New Roman" w:cs="Times New Roman"/>
      <w:b/>
      <w:bCs/>
      <w:i w:val="0"/>
      <w:iCs w:val="0"/>
      <w:smallCaps/>
      <w:strike w:val="0"/>
      <w:sz w:val="34"/>
      <w:szCs w:val="34"/>
      <w:u w:val="none"/>
      <w:shd w:val="clear" w:color="auto" w:fill="auto"/>
    </w:rPr>
  </w:style>
  <w:style w:type="character" w:customStyle="1" w:styleId="Vnbnnidung2">
    <w:name w:val="Văn bản nội dung (2)_"/>
    <w:basedOn w:val="DefaultParagraphFont"/>
    <w:link w:val="Vnbnnidung20"/>
    <w:rPr>
      <w:rFonts w:ascii="Times New Roman" w:eastAsia="Times New Roman" w:hAnsi="Times New Roman" w:cs="Times New Roman"/>
      <w:b w:val="0"/>
      <w:bCs w:val="0"/>
      <w:i w:val="0"/>
      <w:iCs w:val="0"/>
      <w:smallCaps w:val="0"/>
      <w:strike w:val="0"/>
      <w:sz w:val="22"/>
      <w:szCs w:val="22"/>
      <w:u w:val="none"/>
      <w:shd w:val="clear" w:color="auto" w:fill="auto"/>
    </w:rPr>
  </w:style>
  <w:style w:type="paragraph" w:customStyle="1" w:styleId="Vnbnnidung0">
    <w:name w:val="Văn bản nội dung"/>
    <w:basedOn w:val="Normal"/>
    <w:link w:val="Vnbnnidung"/>
    <w:pPr>
      <w:spacing w:after="80"/>
      <w:ind w:firstLine="400"/>
    </w:pPr>
    <w:rPr>
      <w:rFonts w:ascii="Times New Roman" w:eastAsia="Times New Roman" w:hAnsi="Times New Roman" w:cs="Times New Roman"/>
      <w:sz w:val="28"/>
      <w:szCs w:val="28"/>
    </w:rPr>
  </w:style>
  <w:style w:type="paragraph" w:customStyle="1" w:styleId="Tiu10">
    <w:name w:val="Tiêu đề #1"/>
    <w:basedOn w:val="Normal"/>
    <w:link w:val="Tiu1"/>
    <w:pPr>
      <w:jc w:val="center"/>
      <w:outlineLvl w:val="0"/>
    </w:pPr>
    <w:rPr>
      <w:rFonts w:ascii="Times New Roman" w:eastAsia="Times New Roman" w:hAnsi="Times New Roman" w:cs="Times New Roman"/>
      <w:b/>
      <w:bCs/>
      <w:smallCaps/>
      <w:sz w:val="34"/>
      <w:szCs w:val="34"/>
    </w:rPr>
  </w:style>
  <w:style w:type="paragraph" w:customStyle="1" w:styleId="Vnbnnidung20">
    <w:name w:val="Văn bản nội dung (2)"/>
    <w:basedOn w:val="Normal"/>
    <w:link w:val="Vnbnnidung2"/>
    <w:rPr>
      <w:rFonts w:ascii="Times New Roman" w:eastAsia="Times New Roman" w:hAnsi="Times New Roman" w:cs="Times New Roman"/>
      <w:sz w:val="22"/>
      <w:szCs w:val="22"/>
    </w:rPr>
  </w:style>
  <w:style w:type="paragraph" w:styleId="Header">
    <w:name w:val="header"/>
    <w:basedOn w:val="Normal"/>
    <w:link w:val="HeaderChar"/>
    <w:uiPriority w:val="99"/>
    <w:unhideWhenUsed/>
    <w:rsid w:val="00337C71"/>
    <w:pPr>
      <w:tabs>
        <w:tab w:val="center" w:pos="4680"/>
        <w:tab w:val="right" w:pos="9360"/>
      </w:tabs>
    </w:pPr>
  </w:style>
  <w:style w:type="character" w:customStyle="1" w:styleId="HeaderChar">
    <w:name w:val="Header Char"/>
    <w:basedOn w:val="DefaultParagraphFont"/>
    <w:link w:val="Header"/>
    <w:uiPriority w:val="99"/>
    <w:rsid w:val="00337C71"/>
    <w:rPr>
      <w:color w:val="000000"/>
    </w:rPr>
  </w:style>
  <w:style w:type="paragraph" w:styleId="Footer">
    <w:name w:val="footer"/>
    <w:basedOn w:val="Normal"/>
    <w:link w:val="FooterChar"/>
    <w:uiPriority w:val="99"/>
    <w:unhideWhenUsed/>
    <w:rsid w:val="00337C71"/>
    <w:pPr>
      <w:tabs>
        <w:tab w:val="center" w:pos="4680"/>
        <w:tab w:val="right" w:pos="9360"/>
      </w:tabs>
    </w:pPr>
  </w:style>
  <w:style w:type="character" w:customStyle="1" w:styleId="FooterChar">
    <w:name w:val="Footer Char"/>
    <w:basedOn w:val="DefaultParagraphFont"/>
    <w:link w:val="Footer"/>
    <w:uiPriority w:val="99"/>
    <w:rsid w:val="00337C71"/>
    <w:rPr>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3.xml"/><Relationship Id="rId5" Type="http://schemas.openxmlformats.org/officeDocument/2006/relationships/footnotes" Target="footnotes.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1AC2F38-B59D-4A2A-A555-9E5825569A73}"/>
</file>

<file path=customXml/itemProps2.xml><?xml version="1.0" encoding="utf-8"?>
<ds:datastoreItem xmlns:ds="http://schemas.openxmlformats.org/officeDocument/2006/customXml" ds:itemID="{9EB1FCEE-0181-4378-A33F-5CD70494E4A7}"/>
</file>

<file path=customXml/itemProps3.xml><?xml version="1.0" encoding="utf-8"?>
<ds:datastoreItem xmlns:ds="http://schemas.openxmlformats.org/officeDocument/2006/customXml" ds:itemID="{11E7E5FF-377D-4EC5-9DF0-46E00A41DCB7}"/>
</file>

<file path=docProps/app.xml><?xml version="1.0" encoding="utf-8"?>
<Properties xmlns="http://schemas.openxmlformats.org/officeDocument/2006/extended-properties" xmlns:vt="http://schemas.openxmlformats.org/officeDocument/2006/docPropsVTypes">
  <Template>Normal</Template>
  <TotalTime>13</TotalTime>
  <Pages>3</Pages>
  <Words>964</Words>
  <Characters>5501</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6453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Đại Nguyễn Đăng</dc:creator>
  <cp:keywords/>
  <cp:lastModifiedBy>HP</cp:lastModifiedBy>
  <cp:revision>3</cp:revision>
  <dcterms:created xsi:type="dcterms:W3CDTF">2025-10-31T03:43:00Z</dcterms:created>
  <dcterms:modified xsi:type="dcterms:W3CDTF">2025-10-31T03:56:00Z</dcterms:modified>
</cp:coreProperties>
</file>