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6" w:type="dxa"/>
        <w:jc w:val="right"/>
        <w:tblLook w:val="01E0" w:firstRow="1" w:lastRow="1" w:firstColumn="1" w:lastColumn="1" w:noHBand="0" w:noVBand="0"/>
      </w:tblPr>
      <w:tblGrid>
        <w:gridCol w:w="3544"/>
        <w:gridCol w:w="236"/>
        <w:gridCol w:w="5656"/>
      </w:tblGrid>
      <w:tr>
        <w:trPr>
          <w:trHeight w:val="850"/>
          <w:jc w:val="right"/>
        </w:trPr>
        <w:tc>
          <w:tcPr>
            <w:tcW w:w="3544" w:type="dxa"/>
          </w:tcPr>
          <w:p>
            <w:pPr>
              <w:spacing w:before="0" w:after="0" w:line="240" w:lineRule="auto"/>
              <w:ind w:firstLine="0"/>
              <w:jc w:val="center"/>
              <w:rPr>
                <w:b/>
                <w:bCs/>
                <w:sz w:val="26"/>
                <w:szCs w:val="26"/>
              </w:rPr>
            </w:pPr>
            <w:r>
              <w:rPr>
                <w:b/>
                <w:bCs/>
                <w:sz w:val="26"/>
                <w:szCs w:val="26"/>
              </w:rPr>
              <w:t>HỘI ĐỒNG NHÂN DÂN</w:t>
            </w:r>
          </w:p>
          <w:p>
            <w:pPr>
              <w:spacing w:before="0" w:after="0" w:line="240" w:lineRule="auto"/>
              <w:ind w:firstLine="0"/>
              <w:jc w:val="center"/>
            </w:pPr>
            <w:r>
              <w:rPr>
                <w:noProof/>
              </w:rPr>
              <mc:AlternateContent>
                <mc:Choice Requires="wps">
                  <w:drawing>
                    <wp:anchor distT="0" distB="0" distL="114300" distR="114300" simplePos="0" relativeHeight="251667456" behindDoc="0" locked="0" layoutInCell="1" allowOverlap="1">
                      <wp:simplePos x="0" y="0"/>
                      <wp:positionH relativeFrom="column">
                        <wp:posOffset>607060</wp:posOffset>
                      </wp:positionH>
                      <wp:positionV relativeFrom="paragraph">
                        <wp:posOffset>236855</wp:posOffset>
                      </wp:positionV>
                      <wp:extent cx="899795" cy="0"/>
                      <wp:effectExtent l="0" t="0" r="33655" b="1905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pt,18.65pt" to="118.6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"/>
                  </w:pict>
                </mc:Fallback>
              </mc:AlternateContent>
            </w:r>
            <w:r>
              <w:rPr>
                <w:b/>
                <w:bCs/>
                <w:sz w:val="26"/>
                <w:szCs w:val="26"/>
              </w:rPr>
              <w:t>TỈNH QUẢNG NINH</w:t>
            </w:r>
          </w:p>
        </w:tc>
        <w:tc>
          <w:tcPr>
            <w:tcW w:w="236" w:type="dxa"/>
          </w:tcPr>
          <w:p>
            <w:pPr>
              <w:spacing w:before="0" w:after="0" w:line="240" w:lineRule="auto"/>
              <w:ind w:firstLine="0"/>
            </w:pPr>
          </w:p>
        </w:tc>
        <w:tc>
          <w:tcPr>
            <w:tcW w:w="5656" w:type="dxa"/>
          </w:tcPr>
          <w:p>
            <w:pPr>
              <w:spacing w:before="0" w:after="0" w:line="240" w:lineRule="auto"/>
              <w:ind w:firstLine="0"/>
              <w:rPr>
                <w:b/>
                <w:sz w:val="26"/>
                <w:szCs w:val="26"/>
              </w:rPr>
            </w:pPr>
            <w:r>
              <w:rPr>
                <w:b/>
                <w:sz w:val="26"/>
                <w:szCs w:val="26"/>
              </w:rPr>
              <w:t xml:space="preserve">CỘNG HÒA XÃ HỘI CHỦ NGHĨA VIỆT </w:t>
            </w:r>
            <w:smartTag w:uri="urn:schemas-microsoft-com:office:smarttags" w:element="country-region">
              <w:smartTag w:uri="urn:schemas-microsoft-com:office:smarttags" w:element="place">
                <w:r>
                  <w:rPr>
                    <w:b/>
                    <w:sz w:val="26"/>
                    <w:szCs w:val="26"/>
                  </w:rPr>
                  <w:t>NAM</w:t>
                </w:r>
              </w:smartTag>
            </w:smartTag>
          </w:p>
          <w:p>
            <w:pPr>
              <w:tabs>
                <w:tab w:val="left" w:pos="603"/>
                <w:tab w:val="center" w:pos="2947"/>
                <w:tab w:val="left" w:pos="3533"/>
              </w:tabs>
              <w:spacing w:before="0" w:after="0" w:line="240" w:lineRule="auto"/>
              <w:ind w:firstLine="0"/>
              <w:jc w:val="center"/>
              <w:rPr>
                <w:i/>
                <w:lang w:val="vi-VN"/>
              </w:rPr>
            </w:pPr>
            <w:r>
              <w:rPr>
                <w:b/>
                <w:noProof/>
              </w:rPr>
              <mc:AlternateContent>
                <mc:Choice Requires="wps">
                  <w:drawing>
                    <wp:anchor distT="0" distB="0" distL="114300" distR="114300" simplePos="0" relativeHeight="251668480" behindDoc="0" locked="0" layoutInCell="1" allowOverlap="1">
                      <wp:simplePos x="0" y="0"/>
                      <wp:positionH relativeFrom="column">
                        <wp:posOffset>666750</wp:posOffset>
                      </wp:positionH>
                      <wp:positionV relativeFrom="paragraph">
                        <wp:posOffset>266700</wp:posOffset>
                      </wp:positionV>
                      <wp:extent cx="2123440" cy="0"/>
                      <wp:effectExtent l="0" t="0" r="29210" b="19050"/>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21pt" to="219.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FiH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"/>
                  </w:pict>
                </mc:Fallback>
              </mc:AlternateContent>
            </w:r>
            <w:r>
              <w:rPr>
                <w:b/>
              </w:rPr>
              <w:t>Độc lập - Tự do - Hạnh phúc</w:t>
            </w:r>
          </w:p>
        </w:tc>
      </w:tr>
      <w:tr>
        <w:trPr>
          <w:trHeight w:val="510"/>
          <w:jc w:val="right"/>
        </w:trPr>
        <w:tc>
          <w:tcPr>
            <w:tcW w:w="3544" w:type="dxa"/>
          </w:tcPr>
          <w:p>
            <w:pPr>
              <w:spacing w:before="0" w:after="0" w:line="240" w:lineRule="auto"/>
              <w:ind w:firstLine="0"/>
              <w:jc w:val="center"/>
              <w:rPr>
                <w:b/>
                <w:bCs/>
                <w:sz w:val="26"/>
                <w:szCs w:val="26"/>
              </w:rPr>
            </w:pPr>
            <w:r>
              <w:t>Số: 19/2026/NQ-HĐND</w:t>
            </w:r>
          </w:p>
        </w:tc>
        <w:tc>
          <w:tcPr>
            <w:tcW w:w="236" w:type="dxa"/>
          </w:tcPr>
          <w:p>
            <w:pPr>
              <w:spacing w:before="0" w:after="0" w:line="240" w:lineRule="auto"/>
              <w:ind w:firstLine="0"/>
            </w:pPr>
          </w:p>
        </w:tc>
        <w:tc>
          <w:tcPr>
            <w:tcW w:w="5656" w:type="dxa"/>
            <w:vAlign w:val="center"/>
          </w:tcPr>
          <w:p>
            <w:pPr>
              <w:spacing w:before="0" w:after="0" w:line="240" w:lineRule="auto"/>
              <w:ind w:firstLine="0"/>
              <w:jc w:val="center"/>
              <w:rPr>
                <w:b/>
                <w:sz w:val="26"/>
                <w:szCs w:val="26"/>
              </w:rPr>
            </w:pPr>
            <w:r>
              <w:rPr>
                <w:i/>
              </w:rPr>
              <w:t>Quảng Ninh, ngày 09 tháng 7 năm 2026</w:t>
            </w:r>
          </w:p>
        </w:tc>
      </w:tr>
    </w:tbl>
    <w:p>
      <w:pPr>
        <w:spacing w:before="0" w:after="0" w:line="240" w:lineRule="auto"/>
        <w:ind w:firstLine="0"/>
      </w:pPr>
    </w:p>
    <w:p>
      <w:pPr>
        <w:spacing w:after="60" w:line="240" w:lineRule="auto"/>
        <w:ind w:firstLine="0"/>
        <w:jc w:val="center"/>
        <w:rPr>
          <w:b/>
        </w:rPr>
      </w:pPr>
      <w:r>
        <w:rPr>
          <w:b/>
        </w:rPr>
        <w:t>NGHỊ QUYẾT</w:t>
      </w:r>
    </w:p>
    <w:p>
      <w:pPr>
        <w:spacing w:before="0" w:after="0" w:line="240" w:lineRule="auto"/>
        <w:ind w:firstLine="0"/>
        <w:jc w:val="center"/>
        <w:rPr>
          <w:rFonts w:ascii="Times New Roman Bold" w:hAnsi="Times New Roman Bold"/>
          <w:b/>
          <w:spacing w:val="-4"/>
        </w:rPr>
      </w:pPr>
      <w:r>
        <w:rPr>
          <w:rFonts w:ascii="Times New Roman Bold" w:hAnsi="Times New Roman Bold"/>
          <w:b/>
          <w:spacing w:val="-4"/>
        </w:rPr>
        <w:t>Quy định chế độ thưởng cho học sinh đoạt giải và giáo viên dạy học sinh</w:t>
      </w:r>
    </w:p>
    <w:p>
      <w:pPr>
        <w:spacing w:before="0" w:after="0" w:line="240" w:lineRule="auto"/>
        <w:ind w:firstLine="0"/>
        <w:jc w:val="center"/>
        <w:rPr>
          <w:rFonts w:ascii="Times New Roman Bold" w:hAnsi="Times New Roman Bold"/>
          <w:b/>
          <w:spacing w:val="-4"/>
        </w:rPr>
      </w:pPr>
      <w:r>
        <w:rPr>
          <w:rFonts w:ascii="Times New Roman Bold" w:hAnsi="Times New Roman Bold"/>
          <w:b/>
          <w:spacing w:val="-4"/>
        </w:rPr>
        <w:t>đoạt giải tại một số kỳ thi, cuộc thi; chính sách hỗ trợ công tác bồi dưỡng</w:t>
      </w:r>
    </w:p>
    <w:p>
      <w:pPr>
        <w:spacing w:before="0" w:after="0" w:line="240" w:lineRule="auto"/>
        <w:ind w:firstLine="0"/>
        <w:jc w:val="center"/>
        <w:rPr>
          <w:rFonts w:ascii="Times New Roman Bold" w:hAnsi="Times New Roman Bold"/>
          <w:b/>
          <w:spacing w:val="-4"/>
        </w:rPr>
      </w:pPr>
      <w:r>
        <w:rPr>
          <w:rFonts w:ascii="Times New Roman Bold" w:hAnsi="Times New Roman Bold"/>
          <w:b/>
          <w:spacing w:val="-4"/>
        </w:rPr>
        <w:t>học sinh giỏi của tỉnh Quảng Ninh và một số chính sách ưu đãi đối với</w:t>
      </w:r>
    </w:p>
    <w:p>
      <w:pPr>
        <w:spacing w:before="0" w:after="0" w:line="240" w:lineRule="auto"/>
        <w:ind w:firstLine="0"/>
        <w:jc w:val="center"/>
        <w:rPr>
          <w:rFonts w:ascii="Times New Roman Bold" w:hAnsi="Times New Roman Bold"/>
          <w:b/>
          <w:spacing w:val="-4"/>
        </w:rPr>
      </w:pPr>
      <w:r>
        <w:rPr>
          <w:rFonts w:ascii="Times New Roman Bold" w:hAnsi="Times New Roman Bold"/>
          <w:b/>
          <w:spacing w:val="-4"/>
        </w:rPr>
        <w:t>Trường trung học phổ thông Chuyên Hạ Long từ năm học 2026 - 2027</w:t>
      </w:r>
    </w:p>
    <w:p>
      <w:pPr>
        <w:spacing w:before="0" w:after="0" w:line="240" w:lineRule="auto"/>
        <w:ind w:firstLine="0"/>
        <w:jc w:val="center"/>
        <w:rPr>
          <w:b/>
          <w:spacing w:val="-4"/>
        </w:rPr>
      </w:pPr>
      <w:r>
        <w:rPr>
          <w:rFonts w:ascii="Times New Roman Bold" w:hAnsi="Times New Roman Bold"/>
          <w:b/>
          <w:spacing w:val="-4"/>
        </w:rPr>
        <w:t>đến năm học 2030 - 2031</w:t>
      </w:r>
    </w:p>
    <w:p>
      <w:pPr>
        <w:widowControl w:val="0"/>
        <w:spacing w:line="240" w:lineRule="auto"/>
      </w:pPr>
      <w:r>
        <w:rPr>
          <w:noProof/>
        </w:rPr>
        <mc:AlternateContent>
          <mc:Choice Requires="wps">
            <w:drawing>
              <wp:anchor distT="0" distB="0" distL="114300" distR="114300" simplePos="0" relativeHeight="251669504" behindDoc="0" locked="0" layoutInCell="1" allowOverlap="1">
                <wp:simplePos x="0" y="0"/>
                <wp:positionH relativeFrom="column">
                  <wp:posOffset>2147570</wp:posOffset>
                </wp:positionH>
                <wp:positionV relativeFrom="paragraph">
                  <wp:posOffset>90170</wp:posOffset>
                </wp:positionV>
                <wp:extent cx="1440000" cy="0"/>
                <wp:effectExtent l="0" t="0" r="0" b="0"/>
                <wp:wrapNone/>
                <wp:docPr id="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5DD53A" id="Line 1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pt,7.1pt" to="28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"/>
            </w:pict>
          </mc:Fallback>
        </mc:AlternateContent>
      </w:r>
    </w:p>
    <w:p>
      <w:pPr>
        <w:widowControl w:val="0"/>
        <w:spacing w:before="0" w:line="288" w:lineRule="auto"/>
        <w:rPr>
          <w:i/>
        </w:rPr>
      </w:pPr>
      <w:r>
        <w:rPr>
          <w:i/>
        </w:rPr>
        <w:t>Căn cứ Luật Tổ chức chính quyền địa phương số 72/2025/QH15;</w:t>
      </w:r>
    </w:p>
    <w:p>
      <w:pPr>
        <w:widowControl w:val="0"/>
        <w:spacing w:before="0" w:line="288" w:lineRule="auto"/>
        <w:rPr>
          <w:i/>
        </w:rPr>
      </w:pPr>
      <w:r>
        <w:rPr>
          <w:i/>
        </w:rPr>
        <w:t>Căn cứ Luật Ban hành văn bản quy phạm pháp luật số 64/2025/QH15 được sửa đổi, bổ sung bởi Luật số 87/2025/QH15;</w:t>
      </w:r>
    </w:p>
    <w:p>
      <w:pPr>
        <w:widowControl w:val="0"/>
        <w:spacing w:before="0" w:line="288" w:lineRule="auto"/>
        <w:rPr>
          <w:i/>
        </w:rPr>
      </w:pPr>
      <w:r>
        <w:rPr>
          <w:i/>
        </w:rPr>
        <w:t>Căn cứ Luật Giáo dục số 43/2019/QH14 được sửa đổi, bổ sung bởi Luật số 123/2025/QH15;</w:t>
      </w:r>
    </w:p>
    <w:p>
      <w:pPr>
        <w:widowControl w:val="0"/>
        <w:spacing w:before="0" w:line="288" w:lineRule="auto"/>
        <w:rPr>
          <w:i/>
        </w:rPr>
      </w:pPr>
      <w:r>
        <w:rPr>
          <w:i/>
        </w:rPr>
        <w:t>Căn cứ Luật Ngân sách nhà nước số 89/2025/QH15;</w:t>
      </w:r>
    </w:p>
    <w:p>
      <w:pPr>
        <w:widowControl w:val="0"/>
        <w:spacing w:before="0" w:line="288" w:lineRule="auto"/>
        <w:rPr>
          <w:i/>
        </w:rPr>
      </w:pPr>
      <w:r>
        <w:rPr>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pPr>
        <w:widowControl w:val="0"/>
        <w:spacing w:before="0" w:line="288" w:lineRule="auto"/>
        <w:rPr>
          <w:i/>
        </w:rPr>
      </w:pPr>
      <w:r>
        <w:rPr>
          <w:i/>
        </w:rPr>
        <w:t>Căn cứ Nghị định số 66/2026/NĐ-CP của Chính phủ quy định chi tiết một số điều của Luật Giáo dục;</w:t>
      </w:r>
    </w:p>
    <w:p>
      <w:pPr>
        <w:widowControl w:val="0"/>
        <w:spacing w:before="0" w:line="288" w:lineRule="auto"/>
        <w:rPr>
          <w:i/>
        </w:rPr>
      </w:pPr>
      <w:r>
        <w:rPr>
          <w:i/>
        </w:rPr>
        <w:t>Căn cứ Thông tư số 05/2023/TT-BGDĐT của Bộ Giáo dục và Đào tạo ban hành Quy chế tổ chức và hoạt động của trường trung học phổ thông chuyên;</w:t>
      </w:r>
    </w:p>
    <w:p>
      <w:pPr>
        <w:widowControl w:val="0"/>
        <w:spacing w:before="0" w:line="288" w:lineRule="auto"/>
        <w:rPr>
          <w:i/>
        </w:rPr>
      </w:pPr>
      <w:r>
        <w:rPr>
          <w:i/>
        </w:rPr>
        <w:t>Xét Tờ trình số 2606/TTr-UBND ngày 21 tháng 6 năm 2026 của Ủy ban nhân dân tỉnh; Báo cáo thẩm tra số 151/BC-HĐND ngày 02 tháng 7 năm 2026 của Ban Văn hóa - Xã hội Hội đồng nhân dân tỉnh; ý kiến thảo luận của các đại biểu Hội đồng nhân dân tỉnh tại kỳ họp;</w:t>
      </w:r>
    </w:p>
    <w:p>
      <w:pPr>
        <w:widowControl w:val="0"/>
        <w:spacing w:before="0" w:line="288" w:lineRule="auto"/>
        <w:rPr>
          <w:i/>
        </w:rPr>
      </w:pPr>
      <w:r>
        <w:rPr>
          <w:i/>
        </w:rPr>
        <w:t>Hội đồng nhân dân tỉnh ban hành Nghị quyết quy định chế độ thưởng cho học sinh đoạt giải và giáo viên dạy học sinh đoạt giải tại một số kỳ thi, cuộc thi; chính sách hỗ trợ công tác bồi dưỡng học sinh giỏi của tỉnh Quảng Ninh và một số chính sách ưu đãi đối với Trường trung học phổ thông Chuyên Hạ Long từ năm học 2026 - 2027 đến năm học 2030 - 2031.</w:t>
      </w:r>
    </w:p>
    <w:p>
      <w:pPr>
        <w:pStyle w:val="Heading1"/>
        <w:spacing w:before="60" w:after="60" w:line="240" w:lineRule="auto"/>
        <w:ind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Chương I</w:t>
      </w:r>
    </w:p>
    <w:p>
      <w:pPr>
        <w:pStyle w:val="Heading1"/>
        <w:spacing w:before="60" w:after="60" w:line="240" w:lineRule="auto"/>
        <w:ind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t>QUY ĐỊNH CHUNG</w:t>
      </w:r>
    </w:p>
    <w:p>
      <w:pPr>
        <w:pStyle w:val="Heading2"/>
        <w:spacing w:before="120" w:after="120" w:line="240" w:lineRule="auto"/>
        <w:rPr>
          <w:rFonts w:ascii="Times New Roman" w:hAnsi="Times New Roman" w:cs="Times New Roman"/>
          <w:b/>
          <w:color w:val="auto"/>
          <w:sz w:val="28"/>
          <w:szCs w:val="28"/>
        </w:rPr>
      </w:pPr>
      <w:r>
        <w:rPr>
          <w:rFonts w:ascii="Times New Roman" w:hAnsi="Times New Roman" w:cs="Times New Roman"/>
          <w:b/>
          <w:color w:val="auto"/>
          <w:sz w:val="28"/>
          <w:szCs w:val="28"/>
        </w:rPr>
        <w:t>Điều 1. Phạm vi điều chỉnh</w:t>
      </w:r>
    </w:p>
    <w:p>
      <w:pPr>
        <w:widowControl w:val="0"/>
        <w:spacing w:before="80" w:after="0" w:line="240" w:lineRule="auto"/>
      </w:pPr>
      <w:r>
        <w:rPr>
          <w:spacing w:val="-4"/>
        </w:rPr>
        <w:t>Nghị quyết này quy định chế độ thưởng cho học sinh đoạt giải, giáo viên dạy học sinh đoạt giải tại một số kỳ thi, cuộc thi; chính sách hỗ trợ công tác bồi dưỡng học sinh giỏi của tỉnh Quảng Ninh và một số chính sách ưu đãi đối với Trường trung học phổ thông Chuyên Hạ Long từ năm học 2026 - 2027 đến năm học 2030 - 2031</w:t>
      </w:r>
      <w:r>
        <w:t>.</w:t>
      </w:r>
    </w:p>
    <w:p>
      <w:pPr>
        <w:pStyle w:val="Heading2"/>
        <w:spacing w:before="100" w:after="0" w:line="240" w:lineRule="auto"/>
        <w:rPr>
          <w:rFonts w:ascii="Times New Roman" w:hAnsi="Times New Roman" w:cs="Times New Roman"/>
          <w:b/>
          <w:color w:val="auto"/>
          <w:sz w:val="28"/>
          <w:szCs w:val="28"/>
        </w:rPr>
      </w:pPr>
      <w:r>
        <w:rPr>
          <w:rFonts w:ascii="Times New Roman" w:hAnsi="Times New Roman" w:cs="Times New Roman"/>
          <w:b/>
          <w:color w:val="auto"/>
          <w:sz w:val="28"/>
          <w:szCs w:val="28"/>
        </w:rPr>
        <w:t>Điều 2. Đối tượng áp dụng</w:t>
      </w:r>
    </w:p>
    <w:p>
      <w:pPr>
        <w:widowControl w:val="0"/>
        <w:spacing w:before="80" w:after="0" w:line="240" w:lineRule="auto"/>
      </w:pPr>
      <w:r>
        <w:t>1. Học sinh, học viên (gọi chung là học sinh) của các cơ sở giáo dục trên địa bàn tỉnh.</w:t>
      </w:r>
    </w:p>
    <w:p>
      <w:pPr>
        <w:widowControl w:val="0"/>
        <w:spacing w:before="80" w:after="0" w:line="240" w:lineRule="auto"/>
      </w:pPr>
      <w:r>
        <w:t>2. Giáo viên, giảng viên của các cơ sở giáo dục trên địa bàn tỉnh; giáo viên, giảng viên của các cơ sở giáo dục ngoài tỉnh và chuyên gia, nhà khoa học đang làm việc tại các cơ quan, tổ chức, đơn vị được mời tập huấn cho đội tuyển học sinh giỏi của tỉnh (gọi chung là giáo viên thỉnh giảng).</w:t>
      </w:r>
    </w:p>
    <w:p>
      <w:pPr>
        <w:widowControl w:val="0"/>
        <w:spacing w:before="80" w:after="0" w:line="240" w:lineRule="auto"/>
      </w:pPr>
      <w:r>
        <w:t>3. Trường trung học phổ thông Chuyên Hạ Long; các cơ sở giáo dục trên địa bàn tỉnh, các cơ quan, đơn vị, tổ chức và cá nhân có liên quan.</w:t>
      </w:r>
    </w:p>
    <w:p>
      <w:pPr>
        <w:pStyle w:val="Heading1"/>
        <w:spacing w:before="180" w:after="60" w:line="240" w:lineRule="auto"/>
        <w:ind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t>Chương II</w:t>
      </w:r>
    </w:p>
    <w:p>
      <w:pPr>
        <w:pStyle w:val="Heading1"/>
        <w:spacing w:before="60" w:after="60" w:line="240" w:lineRule="auto"/>
        <w:ind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t>NỘI DUNG CHÍNH SÁCH</w:t>
      </w:r>
    </w:p>
    <w:p>
      <w:pPr>
        <w:pStyle w:val="Heading1"/>
        <w:keepNext w:val="0"/>
        <w:keepLines w:val="0"/>
        <w:widowControl w:val="0"/>
        <w:spacing w:before="120" w:after="60" w:line="240" w:lineRule="auto"/>
        <w:ind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t>Mục 1</w:t>
      </w:r>
    </w:p>
    <w:p>
      <w:pPr>
        <w:pStyle w:val="Heading1"/>
        <w:spacing w:before="60" w:after="60" w:line="240" w:lineRule="auto"/>
        <w:ind w:firstLine="0"/>
        <w:jc w:val="center"/>
        <w:rPr>
          <w:rFonts w:ascii="Times New Roman" w:hAnsi="Times New Roman" w:cs="Times New Roman"/>
          <w:b/>
          <w:color w:val="auto"/>
          <w:sz w:val="28"/>
          <w:szCs w:val="28"/>
        </w:rPr>
      </w:pPr>
      <w:r>
        <w:rPr>
          <w:rFonts w:ascii="Times New Roman Bold" w:hAnsi="Times New Roman Bold" w:cs="Times New Roman"/>
          <w:b/>
          <w:color w:val="auto"/>
          <w:spacing w:val="4"/>
          <w:kern w:val="0"/>
          <w:sz w:val="28"/>
          <w:szCs w:val="28"/>
        </w:rPr>
        <w:t>CHẾ ĐỘ THƯỞNG CHO HỌC SINH ĐOẠT GIẢI VÀ GIÁO VIÊN</w:t>
      </w:r>
      <w:r>
        <w:rPr>
          <w:rFonts w:ascii="Times New Roman" w:hAnsi="Times New Roman" w:cs="Times New Roman"/>
          <w:b/>
          <w:color w:val="auto"/>
          <w:sz w:val="28"/>
          <w:szCs w:val="28"/>
        </w:rPr>
        <w:t xml:space="preserve"> </w:t>
      </w:r>
      <w:r>
        <w:rPr>
          <w:rFonts w:ascii="Times New Roman Bold" w:hAnsi="Times New Roman Bold" w:cs="Times New Roman"/>
          <w:b/>
          <w:color w:val="auto"/>
          <w:spacing w:val="4"/>
          <w:sz w:val="28"/>
          <w:szCs w:val="28"/>
        </w:rPr>
        <w:t>DẠY HỌC SINH ĐOẠT GIẢI TẠI MỘT SỐ KỲ THI, CUỘC THI;</w:t>
      </w:r>
      <w:r>
        <w:rPr>
          <w:rFonts w:ascii="Times New Roman" w:hAnsi="Times New Roman" w:cs="Times New Roman"/>
          <w:b/>
          <w:color w:val="auto"/>
          <w:sz w:val="28"/>
          <w:szCs w:val="28"/>
        </w:rPr>
        <w:t xml:space="preserve"> CHÍNH SÁCH HỖ TRỢ CÔNG TÁC BỒI DƯỠNG HỌC SINH GIỎI</w:t>
      </w:r>
    </w:p>
    <w:p>
      <w:pPr>
        <w:pStyle w:val="Heading2"/>
        <w:keepNext w:val="0"/>
        <w:keepLines w:val="0"/>
        <w:widowControl w:val="0"/>
        <w:spacing w:before="180" w:after="120" w:line="240" w:lineRule="auto"/>
        <w:rPr>
          <w:rFonts w:ascii="Times New Roman" w:hAnsi="Times New Roman" w:cs="Times New Roman"/>
          <w:b/>
          <w:color w:val="auto"/>
          <w:sz w:val="28"/>
          <w:szCs w:val="28"/>
        </w:rPr>
      </w:pPr>
      <w:r>
        <w:rPr>
          <w:rFonts w:ascii="Times New Roman" w:hAnsi="Times New Roman" w:cs="Times New Roman"/>
          <w:b/>
          <w:color w:val="auto"/>
          <w:sz w:val="28"/>
          <w:szCs w:val="28"/>
        </w:rPr>
        <w:t>Điều 3. Chế độ thưởng cho học sinh đoạt giải và giáo viên dạy học sinh đoạt giải tại một số kỳ thi, cuộc thi</w:t>
      </w:r>
    </w:p>
    <w:p>
      <w:pPr>
        <w:pStyle w:val="Heading2"/>
        <w:keepNext w:val="0"/>
        <w:keepLines w:val="0"/>
        <w:widowControl w:val="0"/>
        <w:spacing w:before="80" w:after="0"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1. Thưởng cho học sinh đoạt giải</w:t>
      </w:r>
    </w:p>
    <w:p>
      <w:pPr>
        <w:pStyle w:val="Heading2"/>
        <w:keepNext w:val="0"/>
        <w:keepLines w:val="0"/>
        <w:widowControl w:val="0"/>
        <w:spacing w:before="80" w:after="0"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a) Điều kiện được thưởng: Học sinh hoặc nhóm học sinh đoạt giải tại kỳ thi chọn học sinh giỏi, cuộc thi nghiên cứu khoa học, kỹ thuật cấp tỉnh, cấp quốc gia; được Bộ Giáo dục và Đào tạo quyết định chọn cử tham gia và đoạt giải hoặc đoạt huy chương thi nghiên cứu khoa học, kỹ thuật, thi Olympic khu vực và quốc tế;</w:t>
      </w:r>
    </w:p>
    <w:p>
      <w:pPr>
        <w:pStyle w:val="Heading2"/>
        <w:spacing w:before="80" w:after="120"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b) Mức thưởng</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7"/>
        <w:gridCol w:w="1644"/>
        <w:gridCol w:w="1644"/>
        <w:gridCol w:w="1644"/>
        <w:gridCol w:w="1730"/>
      </w:tblGrid>
      <w:tr>
        <w:trPr>
          <w:trHeight w:val="714"/>
          <w:tblHeader/>
        </w:trPr>
        <w:tc>
          <w:tcPr>
            <w:tcW w:w="2297" w:type="dxa"/>
            <w:vMerge w:val="restart"/>
            <w:tcBorders>
              <w:top w:val="single" w:sz="4" w:space="0" w:color="000000"/>
              <w:left w:val="single" w:sz="4" w:space="0" w:color="000000"/>
              <w:bottom w:val="single" w:sz="4" w:space="0" w:color="000000"/>
              <w:right w:val="single" w:sz="4" w:space="0" w:color="000000"/>
            </w:tcBorders>
            <w:vAlign w:val="center"/>
          </w:tcPr>
          <w:p>
            <w:pPr>
              <w:widowControl w:val="0"/>
              <w:spacing w:before="0" w:after="0" w:line="240" w:lineRule="auto"/>
              <w:ind w:firstLine="0"/>
              <w:jc w:val="center"/>
              <w:rPr>
                <w:sz w:val="27"/>
                <w:szCs w:val="27"/>
              </w:rPr>
            </w:pPr>
            <w:r>
              <w:rPr>
                <w:sz w:val="27"/>
                <w:szCs w:val="27"/>
              </w:rPr>
              <w:t>Cấp dự thi</w:t>
            </w:r>
          </w:p>
        </w:tc>
        <w:tc>
          <w:tcPr>
            <w:tcW w:w="6662" w:type="dxa"/>
            <w:gridSpan w:val="4"/>
            <w:tcBorders>
              <w:top w:val="single" w:sz="4" w:space="0" w:color="000000"/>
              <w:left w:val="single" w:sz="4" w:space="0" w:color="000000"/>
              <w:bottom w:val="single" w:sz="4" w:space="0" w:color="000000"/>
              <w:right w:val="single" w:sz="4" w:space="0" w:color="000000"/>
            </w:tcBorders>
            <w:vAlign w:val="center"/>
          </w:tcPr>
          <w:p>
            <w:pPr>
              <w:widowControl w:val="0"/>
              <w:spacing w:before="0" w:after="0" w:line="240" w:lineRule="auto"/>
              <w:ind w:firstLine="0"/>
              <w:jc w:val="center"/>
              <w:rPr>
                <w:sz w:val="27"/>
                <w:szCs w:val="27"/>
              </w:rPr>
            </w:pPr>
            <w:r>
              <w:rPr>
                <w:sz w:val="27"/>
                <w:szCs w:val="27"/>
              </w:rPr>
              <w:t>Mức thưởng (</w:t>
            </w:r>
            <w:r>
              <w:rPr>
                <w:i/>
                <w:iCs/>
                <w:sz w:val="27"/>
                <w:szCs w:val="27"/>
              </w:rPr>
              <w:t>đồng/học sinh, nhóm học sinh</w:t>
            </w:r>
            <w:r>
              <w:rPr>
                <w:sz w:val="27"/>
                <w:szCs w:val="27"/>
              </w:rPr>
              <w:t>)</w:t>
            </w:r>
          </w:p>
          <w:p>
            <w:pPr>
              <w:widowControl w:val="0"/>
              <w:spacing w:before="0" w:after="0" w:line="240" w:lineRule="auto"/>
              <w:ind w:firstLine="0"/>
              <w:jc w:val="center"/>
              <w:rPr>
                <w:sz w:val="27"/>
                <w:szCs w:val="27"/>
              </w:rPr>
            </w:pPr>
            <w:r>
              <w:rPr>
                <w:sz w:val="27"/>
                <w:szCs w:val="27"/>
              </w:rPr>
              <w:t>theo giải/huy chương đoạt được</w:t>
            </w:r>
          </w:p>
        </w:tc>
      </w:tr>
      <w:tr>
        <w:trPr>
          <w:trHeight w:val="680"/>
          <w:tblHeader/>
        </w:trPr>
        <w:tc>
          <w:tcPr>
            <w:tcW w:w="2297" w:type="dxa"/>
            <w:vMerge/>
            <w:tcBorders>
              <w:top w:val="single" w:sz="4" w:space="0" w:color="000000"/>
              <w:left w:val="single" w:sz="4" w:space="0" w:color="000000"/>
              <w:bottom w:val="single" w:sz="4" w:space="0" w:color="000000"/>
              <w:right w:val="single" w:sz="4" w:space="0" w:color="000000"/>
            </w:tcBorders>
            <w:vAlign w:val="center"/>
          </w:tcPr>
          <w:p>
            <w:pPr>
              <w:widowControl w:val="0"/>
              <w:spacing w:before="0" w:after="0"/>
              <w:ind w:firstLine="0"/>
              <w:rPr>
                <w:i/>
                <w:iCs/>
                <w:sz w:val="27"/>
                <w:szCs w:val="27"/>
              </w:rPr>
            </w:pPr>
          </w:p>
        </w:tc>
        <w:tc>
          <w:tcPr>
            <w:tcW w:w="1644" w:type="dxa"/>
            <w:tcBorders>
              <w:top w:val="single" w:sz="4" w:space="0" w:color="000000"/>
              <w:left w:val="single" w:sz="4" w:space="0" w:color="000000"/>
              <w:bottom w:val="single" w:sz="4" w:space="0" w:color="000000"/>
              <w:right w:val="single" w:sz="4" w:space="0" w:color="000000"/>
            </w:tcBorders>
            <w:vAlign w:val="center"/>
          </w:tcPr>
          <w:p>
            <w:pPr>
              <w:widowControl w:val="0"/>
              <w:spacing w:before="0" w:after="0" w:line="240" w:lineRule="auto"/>
              <w:ind w:firstLine="0"/>
              <w:jc w:val="center"/>
              <w:rPr>
                <w:sz w:val="27"/>
                <w:szCs w:val="27"/>
              </w:rPr>
            </w:pPr>
            <w:r>
              <w:rPr>
                <w:sz w:val="27"/>
                <w:szCs w:val="27"/>
              </w:rPr>
              <w:t>Nhất/Vàng</w:t>
            </w:r>
          </w:p>
        </w:tc>
        <w:tc>
          <w:tcPr>
            <w:tcW w:w="1644" w:type="dxa"/>
            <w:tcBorders>
              <w:top w:val="single" w:sz="4" w:space="0" w:color="000000"/>
              <w:left w:val="single" w:sz="4" w:space="0" w:color="000000"/>
              <w:bottom w:val="single" w:sz="4" w:space="0" w:color="000000"/>
              <w:right w:val="single" w:sz="4" w:space="0" w:color="000000"/>
            </w:tcBorders>
            <w:vAlign w:val="center"/>
          </w:tcPr>
          <w:p>
            <w:pPr>
              <w:widowControl w:val="0"/>
              <w:spacing w:before="0" w:after="0" w:line="240" w:lineRule="auto"/>
              <w:ind w:firstLine="0"/>
              <w:jc w:val="center"/>
              <w:rPr>
                <w:sz w:val="27"/>
                <w:szCs w:val="27"/>
              </w:rPr>
            </w:pPr>
            <w:r>
              <w:rPr>
                <w:sz w:val="27"/>
                <w:szCs w:val="27"/>
              </w:rPr>
              <w:t>Nhì/Bạc</w:t>
            </w:r>
          </w:p>
        </w:tc>
        <w:tc>
          <w:tcPr>
            <w:tcW w:w="1644" w:type="dxa"/>
            <w:tcBorders>
              <w:top w:val="single" w:sz="4" w:space="0" w:color="000000"/>
              <w:left w:val="single" w:sz="4" w:space="0" w:color="000000"/>
              <w:bottom w:val="single" w:sz="4" w:space="0" w:color="000000"/>
              <w:right w:val="single" w:sz="4" w:space="0" w:color="000000"/>
            </w:tcBorders>
            <w:vAlign w:val="center"/>
          </w:tcPr>
          <w:p>
            <w:pPr>
              <w:widowControl w:val="0"/>
              <w:spacing w:before="0" w:after="0" w:line="240" w:lineRule="auto"/>
              <w:ind w:firstLine="0"/>
              <w:jc w:val="center"/>
              <w:rPr>
                <w:sz w:val="27"/>
                <w:szCs w:val="27"/>
              </w:rPr>
            </w:pPr>
            <w:r>
              <w:rPr>
                <w:sz w:val="27"/>
                <w:szCs w:val="27"/>
              </w:rPr>
              <w:t>Ba/Đồng</w:t>
            </w:r>
          </w:p>
        </w:tc>
        <w:tc>
          <w:tcPr>
            <w:tcW w:w="1730" w:type="dxa"/>
            <w:tcBorders>
              <w:top w:val="single" w:sz="4" w:space="0" w:color="000000"/>
              <w:left w:val="single" w:sz="4" w:space="0" w:color="000000"/>
              <w:bottom w:val="single" w:sz="4" w:space="0" w:color="000000"/>
              <w:right w:val="single" w:sz="4" w:space="0" w:color="000000"/>
            </w:tcBorders>
            <w:vAlign w:val="center"/>
          </w:tcPr>
          <w:p>
            <w:pPr>
              <w:widowControl w:val="0"/>
              <w:spacing w:before="0" w:after="0" w:line="240" w:lineRule="auto"/>
              <w:ind w:firstLine="0"/>
              <w:jc w:val="center"/>
              <w:rPr>
                <w:sz w:val="27"/>
                <w:szCs w:val="27"/>
              </w:rPr>
            </w:pPr>
            <w:r>
              <w:rPr>
                <w:sz w:val="27"/>
                <w:szCs w:val="27"/>
              </w:rPr>
              <w:t>Tư/Khuyến khích</w:t>
            </w:r>
          </w:p>
        </w:tc>
      </w:tr>
      <w:tr>
        <w:trPr>
          <w:trHeight w:val="425"/>
        </w:trPr>
        <w:tc>
          <w:tcPr>
            <w:tcW w:w="2297" w:type="dxa"/>
            <w:tcBorders>
              <w:top w:val="single" w:sz="4" w:space="0" w:color="000000"/>
              <w:bottom w:val="dotted" w:sz="4" w:space="0" w:color="000000"/>
            </w:tcBorders>
            <w:vAlign w:val="center"/>
          </w:tcPr>
          <w:p>
            <w:pPr>
              <w:widowControl w:val="0"/>
              <w:spacing w:before="0" w:after="0" w:line="240" w:lineRule="auto"/>
              <w:ind w:firstLine="0"/>
              <w:rPr>
                <w:sz w:val="27"/>
                <w:szCs w:val="27"/>
              </w:rPr>
            </w:pPr>
            <w:r>
              <w:rPr>
                <w:sz w:val="27"/>
                <w:szCs w:val="27"/>
              </w:rPr>
              <w:t>Cấp tỉnh</w:t>
            </w:r>
          </w:p>
        </w:tc>
        <w:tc>
          <w:tcPr>
            <w:tcW w:w="1644" w:type="dxa"/>
            <w:tcBorders>
              <w:top w:val="single"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3.500.000</w:t>
            </w:r>
          </w:p>
        </w:tc>
        <w:tc>
          <w:tcPr>
            <w:tcW w:w="1644" w:type="dxa"/>
            <w:tcBorders>
              <w:top w:val="single"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2.500.000</w:t>
            </w:r>
          </w:p>
        </w:tc>
        <w:tc>
          <w:tcPr>
            <w:tcW w:w="1644" w:type="dxa"/>
            <w:tcBorders>
              <w:top w:val="single"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1.500.000</w:t>
            </w:r>
          </w:p>
        </w:tc>
        <w:tc>
          <w:tcPr>
            <w:tcW w:w="1730" w:type="dxa"/>
            <w:tcBorders>
              <w:top w:val="single" w:sz="4" w:space="0" w:color="000000"/>
              <w:bottom w:val="dotted" w:sz="4" w:space="0" w:color="000000"/>
            </w:tcBorders>
            <w:vAlign w:val="center"/>
          </w:tcPr>
          <w:p>
            <w:pPr>
              <w:widowControl w:val="0"/>
              <w:tabs>
                <w:tab w:val="left" w:pos="658"/>
              </w:tabs>
              <w:spacing w:before="0" w:after="0" w:line="240" w:lineRule="auto"/>
              <w:ind w:firstLine="0"/>
              <w:jc w:val="right"/>
              <w:rPr>
                <w:sz w:val="27"/>
                <w:szCs w:val="27"/>
              </w:rPr>
            </w:pPr>
            <w:r>
              <w:rPr>
                <w:sz w:val="27"/>
                <w:szCs w:val="27"/>
              </w:rPr>
              <w:t>1.000.000</w:t>
            </w:r>
          </w:p>
        </w:tc>
      </w:tr>
      <w:tr>
        <w:trPr>
          <w:trHeight w:val="425"/>
        </w:trPr>
        <w:tc>
          <w:tcPr>
            <w:tcW w:w="2297" w:type="dxa"/>
            <w:tcBorders>
              <w:top w:val="dotted" w:sz="4" w:space="0" w:color="000000"/>
              <w:bottom w:val="dotted" w:sz="4" w:space="0" w:color="000000"/>
            </w:tcBorders>
            <w:vAlign w:val="center"/>
          </w:tcPr>
          <w:p>
            <w:pPr>
              <w:widowControl w:val="0"/>
              <w:spacing w:before="0" w:after="0" w:line="240" w:lineRule="auto"/>
              <w:ind w:right="-246" w:firstLine="0"/>
              <w:rPr>
                <w:sz w:val="27"/>
                <w:szCs w:val="27"/>
              </w:rPr>
            </w:pPr>
            <w:r>
              <w:rPr>
                <w:sz w:val="27"/>
                <w:szCs w:val="27"/>
              </w:rPr>
              <w:t>Cấp quốc gia</w:t>
            </w:r>
          </w:p>
        </w:tc>
        <w:tc>
          <w:tcPr>
            <w:tcW w:w="1644" w:type="dxa"/>
            <w:tcBorders>
              <w:top w:val="dotted"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70.000.000</w:t>
            </w:r>
          </w:p>
        </w:tc>
        <w:tc>
          <w:tcPr>
            <w:tcW w:w="1644" w:type="dxa"/>
            <w:tcBorders>
              <w:top w:val="dotted"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50.000.000</w:t>
            </w:r>
          </w:p>
        </w:tc>
        <w:tc>
          <w:tcPr>
            <w:tcW w:w="1644" w:type="dxa"/>
            <w:tcBorders>
              <w:top w:val="dotted"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40.000.000</w:t>
            </w:r>
          </w:p>
        </w:tc>
        <w:tc>
          <w:tcPr>
            <w:tcW w:w="1730" w:type="dxa"/>
            <w:tcBorders>
              <w:top w:val="dotted" w:sz="4" w:space="0" w:color="000000"/>
              <w:bottom w:val="dotted" w:sz="4" w:space="0" w:color="000000"/>
            </w:tcBorders>
            <w:vAlign w:val="center"/>
          </w:tcPr>
          <w:p>
            <w:pPr>
              <w:widowControl w:val="0"/>
              <w:tabs>
                <w:tab w:val="left" w:pos="658"/>
                <w:tab w:val="left" w:pos="840"/>
              </w:tabs>
              <w:spacing w:before="0" w:after="0" w:line="240" w:lineRule="auto"/>
              <w:ind w:firstLine="0"/>
              <w:jc w:val="right"/>
              <w:rPr>
                <w:sz w:val="27"/>
                <w:szCs w:val="27"/>
              </w:rPr>
            </w:pPr>
            <w:r>
              <w:rPr>
                <w:sz w:val="27"/>
                <w:szCs w:val="27"/>
              </w:rPr>
              <w:t>20.000.000</w:t>
            </w:r>
          </w:p>
        </w:tc>
      </w:tr>
      <w:tr>
        <w:trPr>
          <w:trHeight w:val="425"/>
        </w:trPr>
        <w:tc>
          <w:tcPr>
            <w:tcW w:w="2297" w:type="dxa"/>
            <w:tcBorders>
              <w:top w:val="dotted" w:sz="4" w:space="0" w:color="000000"/>
              <w:bottom w:val="dotted" w:sz="4" w:space="0" w:color="000000"/>
            </w:tcBorders>
            <w:vAlign w:val="center"/>
          </w:tcPr>
          <w:p>
            <w:pPr>
              <w:widowControl w:val="0"/>
              <w:spacing w:before="0" w:after="0" w:line="240" w:lineRule="auto"/>
              <w:ind w:firstLine="0"/>
              <w:rPr>
                <w:sz w:val="27"/>
                <w:szCs w:val="27"/>
              </w:rPr>
            </w:pPr>
            <w:r>
              <w:rPr>
                <w:sz w:val="27"/>
                <w:szCs w:val="27"/>
              </w:rPr>
              <w:t>Cấp khu vực</w:t>
            </w:r>
          </w:p>
        </w:tc>
        <w:tc>
          <w:tcPr>
            <w:tcW w:w="1644" w:type="dxa"/>
            <w:tcBorders>
              <w:top w:val="dotted"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500.000.000</w:t>
            </w:r>
          </w:p>
        </w:tc>
        <w:tc>
          <w:tcPr>
            <w:tcW w:w="1644" w:type="dxa"/>
            <w:tcBorders>
              <w:top w:val="dotted"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300.000.000</w:t>
            </w:r>
          </w:p>
        </w:tc>
        <w:tc>
          <w:tcPr>
            <w:tcW w:w="1644" w:type="dxa"/>
            <w:tcBorders>
              <w:top w:val="dotted" w:sz="4" w:space="0" w:color="000000"/>
              <w:bottom w:val="dotted" w:sz="4" w:space="0" w:color="000000"/>
            </w:tcBorders>
            <w:vAlign w:val="center"/>
          </w:tcPr>
          <w:p>
            <w:pPr>
              <w:widowControl w:val="0"/>
              <w:spacing w:before="0" w:after="0" w:line="240" w:lineRule="auto"/>
              <w:ind w:firstLine="0"/>
              <w:jc w:val="right"/>
              <w:rPr>
                <w:sz w:val="27"/>
                <w:szCs w:val="27"/>
              </w:rPr>
            </w:pPr>
            <w:r>
              <w:rPr>
                <w:sz w:val="27"/>
                <w:szCs w:val="27"/>
              </w:rPr>
              <w:t>200.000.000</w:t>
            </w:r>
          </w:p>
        </w:tc>
        <w:tc>
          <w:tcPr>
            <w:tcW w:w="1730" w:type="dxa"/>
            <w:tcBorders>
              <w:top w:val="dotted" w:sz="4" w:space="0" w:color="000000"/>
              <w:bottom w:val="dotted" w:sz="4" w:space="0" w:color="000000"/>
            </w:tcBorders>
            <w:vAlign w:val="center"/>
          </w:tcPr>
          <w:p>
            <w:pPr>
              <w:widowControl w:val="0"/>
              <w:tabs>
                <w:tab w:val="left" w:pos="658"/>
                <w:tab w:val="left" w:pos="840"/>
              </w:tabs>
              <w:spacing w:before="0" w:after="0" w:line="240" w:lineRule="auto"/>
              <w:ind w:firstLine="0"/>
              <w:jc w:val="right"/>
              <w:rPr>
                <w:sz w:val="27"/>
                <w:szCs w:val="27"/>
              </w:rPr>
            </w:pPr>
            <w:r>
              <w:rPr>
                <w:sz w:val="27"/>
                <w:szCs w:val="27"/>
              </w:rPr>
              <w:t>100.000.000</w:t>
            </w:r>
          </w:p>
        </w:tc>
      </w:tr>
      <w:tr>
        <w:trPr>
          <w:trHeight w:val="425"/>
        </w:trPr>
        <w:tc>
          <w:tcPr>
            <w:tcW w:w="2297" w:type="dxa"/>
            <w:tcBorders>
              <w:top w:val="dotted" w:sz="4" w:space="0" w:color="000000"/>
              <w:bottom w:val="single" w:sz="4" w:space="0" w:color="000000"/>
            </w:tcBorders>
            <w:vAlign w:val="center"/>
          </w:tcPr>
          <w:p>
            <w:pPr>
              <w:widowControl w:val="0"/>
              <w:spacing w:before="0" w:after="0" w:line="240" w:lineRule="auto"/>
              <w:ind w:firstLine="0"/>
              <w:rPr>
                <w:sz w:val="27"/>
                <w:szCs w:val="27"/>
              </w:rPr>
            </w:pPr>
            <w:r>
              <w:rPr>
                <w:sz w:val="27"/>
                <w:szCs w:val="27"/>
              </w:rPr>
              <w:t>Cấp quốc tế</w:t>
            </w:r>
          </w:p>
        </w:tc>
        <w:tc>
          <w:tcPr>
            <w:tcW w:w="1644" w:type="dxa"/>
            <w:tcBorders>
              <w:top w:val="dotted" w:sz="4" w:space="0" w:color="000000"/>
              <w:bottom w:val="single" w:sz="4" w:space="0" w:color="000000"/>
            </w:tcBorders>
            <w:vAlign w:val="center"/>
          </w:tcPr>
          <w:p>
            <w:pPr>
              <w:widowControl w:val="0"/>
              <w:spacing w:before="0" w:after="0" w:line="240" w:lineRule="auto"/>
              <w:ind w:firstLine="0"/>
              <w:jc w:val="right"/>
              <w:rPr>
                <w:sz w:val="27"/>
                <w:szCs w:val="27"/>
              </w:rPr>
            </w:pPr>
            <w:r>
              <w:rPr>
                <w:sz w:val="27"/>
                <w:szCs w:val="27"/>
              </w:rPr>
              <w:t>700.000.000</w:t>
            </w:r>
          </w:p>
        </w:tc>
        <w:tc>
          <w:tcPr>
            <w:tcW w:w="1644" w:type="dxa"/>
            <w:tcBorders>
              <w:top w:val="dotted" w:sz="4" w:space="0" w:color="000000"/>
              <w:bottom w:val="single" w:sz="4" w:space="0" w:color="000000"/>
            </w:tcBorders>
            <w:vAlign w:val="center"/>
          </w:tcPr>
          <w:p>
            <w:pPr>
              <w:widowControl w:val="0"/>
              <w:spacing w:before="0" w:after="0" w:line="240" w:lineRule="auto"/>
              <w:ind w:firstLine="0"/>
              <w:jc w:val="right"/>
              <w:rPr>
                <w:sz w:val="27"/>
                <w:szCs w:val="27"/>
              </w:rPr>
            </w:pPr>
            <w:r>
              <w:rPr>
                <w:sz w:val="27"/>
                <w:szCs w:val="27"/>
              </w:rPr>
              <w:t>500.000.000</w:t>
            </w:r>
          </w:p>
        </w:tc>
        <w:tc>
          <w:tcPr>
            <w:tcW w:w="1644" w:type="dxa"/>
            <w:tcBorders>
              <w:top w:val="dotted" w:sz="4" w:space="0" w:color="000000"/>
              <w:bottom w:val="single" w:sz="4" w:space="0" w:color="000000"/>
            </w:tcBorders>
            <w:vAlign w:val="center"/>
          </w:tcPr>
          <w:p>
            <w:pPr>
              <w:widowControl w:val="0"/>
              <w:spacing w:before="0" w:after="0" w:line="240" w:lineRule="auto"/>
              <w:ind w:firstLine="0"/>
              <w:jc w:val="right"/>
              <w:rPr>
                <w:sz w:val="27"/>
                <w:szCs w:val="27"/>
              </w:rPr>
            </w:pPr>
            <w:r>
              <w:rPr>
                <w:sz w:val="27"/>
                <w:szCs w:val="27"/>
              </w:rPr>
              <w:t>400.000.000</w:t>
            </w:r>
          </w:p>
        </w:tc>
        <w:tc>
          <w:tcPr>
            <w:tcW w:w="1730" w:type="dxa"/>
            <w:tcBorders>
              <w:top w:val="dotted" w:sz="4" w:space="0" w:color="000000"/>
              <w:bottom w:val="single" w:sz="4" w:space="0" w:color="000000"/>
            </w:tcBorders>
            <w:vAlign w:val="center"/>
          </w:tcPr>
          <w:p>
            <w:pPr>
              <w:widowControl w:val="0"/>
              <w:tabs>
                <w:tab w:val="left" w:pos="658"/>
                <w:tab w:val="left" w:pos="840"/>
              </w:tabs>
              <w:spacing w:before="0" w:after="0" w:line="240" w:lineRule="auto"/>
              <w:ind w:firstLine="0"/>
              <w:jc w:val="right"/>
              <w:rPr>
                <w:sz w:val="27"/>
                <w:szCs w:val="27"/>
              </w:rPr>
            </w:pPr>
            <w:r>
              <w:rPr>
                <w:sz w:val="27"/>
                <w:szCs w:val="27"/>
              </w:rPr>
              <w:t>200.000.000</w:t>
            </w:r>
          </w:p>
        </w:tc>
      </w:tr>
    </w:tbl>
    <w:p>
      <w:pPr>
        <w:widowControl w:val="0"/>
        <w:spacing w:after="0" w:line="240" w:lineRule="auto"/>
      </w:pPr>
      <w:r>
        <w:lastRenderedPageBreak/>
        <w:t>c) Thưởng bằng 1,5 lần mức thưởng quy định tại điểm b khoản này cho học sinh đoạt giải là người dân tộc thiểu số thường trú ở các xã, phường, đặc khu (gọi chung là xã) vùng đồng bào dân tộc thiểu số và miền núi hoặc ở thôn, bản, khu phố vùng đồng bào dân tộc thiểu số và miền núi (không thuộc các xã trên) hoặc ở xã đảo thuộc tỉnh Quảng Ninh.</w:t>
      </w:r>
    </w:p>
    <w:p>
      <w:pPr>
        <w:spacing w:after="0" w:line="240" w:lineRule="auto"/>
      </w:pPr>
      <w:r>
        <w:t>2. Thưởng cho giáo viên dạy học sinh đoạt giải</w:t>
      </w:r>
    </w:p>
    <w:p>
      <w:pPr>
        <w:spacing w:after="0" w:line="240" w:lineRule="auto"/>
      </w:pPr>
      <w:r>
        <w:t>a) Điều kiện được thưởng: Giáo viên hoặc nhóm giáo viên trực tiếp giảng dạy, ôn luyện, tập huấn, hướng dẫn, bảo trợ học sinh đoạt giải;</w:t>
      </w:r>
    </w:p>
    <w:p>
      <w:pPr>
        <w:spacing w:after="0" w:line="240" w:lineRule="auto"/>
      </w:pPr>
      <w:r>
        <w:t>b) Mức thưởng: Bằng 50% tiền thưởng cho học sinh đoạt giải.</w:t>
      </w:r>
    </w:p>
    <w:p>
      <w:pPr>
        <w:pStyle w:val="Heading2"/>
        <w:spacing w:before="120" w:after="0" w:line="240" w:lineRule="auto"/>
        <w:rPr>
          <w:rFonts w:ascii="Times New Roman" w:hAnsi="Times New Roman" w:cs="Times New Roman"/>
          <w:b/>
          <w:color w:val="auto"/>
          <w:sz w:val="28"/>
          <w:szCs w:val="28"/>
        </w:rPr>
      </w:pPr>
      <w:r>
        <w:rPr>
          <w:rFonts w:ascii="Times New Roman" w:hAnsi="Times New Roman" w:cs="Times New Roman"/>
          <w:b/>
          <w:color w:val="auto"/>
          <w:sz w:val="28"/>
          <w:szCs w:val="28"/>
        </w:rPr>
        <w:t>Điều 4. Hỗ trợ công tác bồi dưỡng các đội tuyển học sinh giỏi của tỉnh</w:t>
      </w:r>
    </w:p>
    <w:p>
      <w:pPr>
        <w:widowControl w:val="0"/>
        <w:spacing w:after="0" w:line="240" w:lineRule="auto"/>
      </w:pPr>
      <w:r>
        <w:t>1. Hỗ trợ một khoản kinh phí trong dự toán ngân sách hằng năm giao cho Sở Giáo dục và Đào tạo để tổ chức bồi dưỡng các đội tuyển học sinh giỏi của tỉnh dự thi chọn học sinh giỏi quốc gia, dự thi chọn đội tuyển quốc gia dự thi Olympic khu vực, Olympic quốc tế.</w:t>
      </w:r>
    </w:p>
    <w:p>
      <w:pPr>
        <w:widowControl w:val="0"/>
        <w:spacing w:after="0" w:line="240" w:lineRule="auto"/>
      </w:pPr>
      <w:r>
        <w:t>2. Nội dung chi và mức chi</w:t>
      </w:r>
    </w:p>
    <w:p>
      <w:pPr>
        <w:widowControl w:val="0"/>
        <w:spacing w:after="0" w:line="240" w:lineRule="auto"/>
      </w:pPr>
      <w:r>
        <w:t>a) Chi tiền công cho giáo viên thỉnh giảng: 1.000.000 đồng/giờ dạy; số giờ dạy của giáo viên thỉnh giảng không quá 25% tổng số giờ dạy cho mỗi đội tuyển;</w:t>
      </w:r>
    </w:p>
    <w:p>
      <w:pPr>
        <w:widowControl w:val="0"/>
        <w:spacing w:after="0" w:line="240" w:lineRule="auto"/>
      </w:pPr>
      <w:r>
        <w:t>b) Chi tiền công cho giáo viên thuộc các cơ sở giáo dục của tỉnh được cử tham gia tập huấn: 500.000 đồng/giờ dạy;</w:t>
      </w:r>
    </w:p>
    <w:p>
      <w:pPr>
        <w:widowControl w:val="0"/>
        <w:spacing w:after="0" w:line="240" w:lineRule="auto"/>
      </w:pPr>
      <w:r>
        <w:t xml:space="preserve">c) Chi tiền ăn cho giáo viên thỉnh giảng trực tiếp tại tỉnh: 200.000 đồng/ người/ngày; </w:t>
      </w:r>
    </w:p>
    <w:p>
      <w:pPr>
        <w:widowControl w:val="0"/>
        <w:spacing w:after="0" w:line="240" w:lineRule="auto"/>
      </w:pPr>
      <w:r>
        <w:t>d) Chi tiền ăn cho học sinh trong thời gian tập huấn tập trung: 150.000 đồng/học sinh/ngày; số ngày tập huấn tập trung không quá 30% tổng số ngày tập huấn của mỗi đội tuyển;</w:t>
      </w:r>
    </w:p>
    <w:p>
      <w:pPr>
        <w:widowControl w:val="0"/>
        <w:spacing w:after="0" w:line="240" w:lineRule="auto"/>
      </w:pPr>
      <w:r>
        <w:t>đ) Chi tiền giải khát giữa giờ cho giáo viên, học sinh trong thời gian tập huấn: 50.000 đồng/người/ngày;</w:t>
      </w:r>
    </w:p>
    <w:p>
      <w:pPr>
        <w:widowControl w:val="0"/>
        <w:spacing w:after="0" w:line="240" w:lineRule="auto"/>
      </w:pPr>
      <w:r>
        <w:t>e) Chi hỗ trợ tiền đi lại cho giáo viên trong mỗi đợt được mời, cử tham gia tập huấn trực tiếp tại tỉnh: Bằng giá vé khứ hồi của phương tiện giao thông công cộng phổ biến; mỗi đội tuyển mời không quá 03 đợt giáo viên thỉnh giảng.</w:t>
      </w:r>
    </w:p>
    <w:p>
      <w:pPr>
        <w:pStyle w:val="Heading1"/>
        <w:spacing w:before="120" w:after="0" w:line="240" w:lineRule="auto"/>
        <w:ind w:firstLine="0"/>
        <w:jc w:val="center"/>
        <w:rPr>
          <w:rFonts w:ascii="Times New Roman" w:hAnsi="Times New Roman" w:cs="Times New Roman"/>
          <w:b/>
          <w:color w:val="auto"/>
          <w:sz w:val="28"/>
          <w:szCs w:val="28"/>
        </w:rPr>
      </w:pPr>
      <w:r>
        <w:rPr>
          <w:rFonts w:ascii="Times New Roman" w:hAnsi="Times New Roman" w:cs="Times New Roman"/>
          <w:b/>
          <w:color w:val="auto"/>
          <w:sz w:val="28"/>
          <w:szCs w:val="28"/>
        </w:rPr>
        <w:t>Mục 2</w:t>
      </w:r>
    </w:p>
    <w:p>
      <w:pPr>
        <w:pStyle w:val="Heading1"/>
        <w:spacing w:before="120" w:after="0" w:line="240" w:lineRule="auto"/>
        <w:ind w:firstLine="0"/>
        <w:jc w:val="center"/>
        <w:rPr>
          <w:rFonts w:ascii="Times New Roman" w:hAnsi="Times New Roman" w:cs="Times New Roman"/>
          <w:b/>
          <w:color w:val="auto"/>
          <w:sz w:val="28"/>
          <w:szCs w:val="28"/>
        </w:rPr>
      </w:pPr>
      <w:r>
        <w:rPr>
          <w:rFonts w:ascii="Times New Roman Bold" w:hAnsi="Times New Roman Bold" w:cs="Times New Roman"/>
          <w:b/>
          <w:color w:val="auto"/>
          <w:spacing w:val="4"/>
          <w:sz w:val="28"/>
          <w:szCs w:val="28"/>
        </w:rPr>
        <w:t xml:space="preserve">MỘT SỐ CHÍNH SÁCH ƯU ĐÃI ĐỐI VỚI TRƯỜNG TRUNG HỌC </w:t>
      </w:r>
      <w:r>
        <w:rPr>
          <w:rFonts w:ascii="Times New Roman" w:hAnsi="Times New Roman" w:cs="Times New Roman"/>
          <w:b/>
          <w:color w:val="auto"/>
          <w:sz w:val="28"/>
          <w:szCs w:val="28"/>
        </w:rPr>
        <w:t>PHỔ THÔNG CHUYÊN HẠ LONG</w:t>
      </w:r>
    </w:p>
    <w:p>
      <w:pPr>
        <w:pStyle w:val="Heading2"/>
        <w:spacing w:before="120" w:after="0" w:line="240" w:lineRule="auto"/>
        <w:rPr>
          <w:rFonts w:ascii="Times New Roman" w:hAnsi="Times New Roman" w:cs="Times New Roman"/>
          <w:b/>
          <w:color w:val="auto"/>
          <w:sz w:val="28"/>
          <w:szCs w:val="28"/>
        </w:rPr>
      </w:pPr>
      <w:r>
        <w:rPr>
          <w:rFonts w:ascii="Times New Roman" w:hAnsi="Times New Roman" w:cs="Times New Roman"/>
          <w:b/>
          <w:color w:val="auto"/>
          <w:sz w:val="28"/>
          <w:szCs w:val="28"/>
        </w:rPr>
        <w:t>Điều 5. Thưởng cho học sinh đạt kết quả xuất sắc trong tuyển sinh</w:t>
      </w:r>
    </w:p>
    <w:p>
      <w:pPr>
        <w:widowControl w:val="0"/>
        <w:spacing w:after="0" w:line="240" w:lineRule="auto"/>
      </w:pPr>
      <w:r>
        <w:t>1. Điều kiện được thưởng</w:t>
      </w:r>
    </w:p>
    <w:p>
      <w:pPr>
        <w:widowControl w:val="0"/>
        <w:spacing w:after="0" w:line="240" w:lineRule="auto"/>
      </w:pPr>
      <w:r>
        <w:t>Trong kỳ thi tuyển sinh vào lớp 10 Trường trung học phổ thông Chuyên Hạ Long, học sinh đạt một trong các kết quả sau:</w:t>
      </w:r>
    </w:p>
    <w:p>
      <w:pPr>
        <w:widowControl w:val="0"/>
        <w:spacing w:after="0" w:line="240" w:lineRule="auto"/>
      </w:pPr>
      <w:r>
        <w:t>a) Đạt điểm 10 bài thi môn chuyên của lớp chuyên đang học và không có bài thi môn chung dưới 5,0 điểm;</w:t>
      </w:r>
    </w:p>
    <w:p>
      <w:pPr>
        <w:widowControl w:val="0"/>
        <w:spacing w:before="80" w:after="0" w:line="240" w:lineRule="auto"/>
      </w:pPr>
      <w:r>
        <w:lastRenderedPageBreak/>
        <w:t>b) Có điểm xét tuyển cao nhất vào lớp chuyên đang học, trong đó bài thi môn chuyên đạt từ 8,0 điểm trở lên và không có bài thi môn chung dưới 5,0 điểm.</w:t>
      </w:r>
    </w:p>
    <w:p>
      <w:pPr>
        <w:widowControl w:val="0"/>
        <w:spacing w:line="240" w:lineRule="auto"/>
      </w:pPr>
      <w:r>
        <w:t>2. Mức thưởng: Thưởng một lần bằng 10.000.000 đồng/học sinh.</w:t>
      </w:r>
    </w:p>
    <w:p>
      <w:pPr>
        <w:pStyle w:val="Heading2"/>
        <w:spacing w:before="120" w:after="120" w:line="240" w:lineRule="auto"/>
        <w:rPr>
          <w:rFonts w:ascii="Times New Roman" w:hAnsi="Times New Roman" w:cs="Times New Roman"/>
          <w:b/>
          <w:color w:val="auto"/>
          <w:sz w:val="28"/>
          <w:szCs w:val="28"/>
        </w:rPr>
      </w:pPr>
      <w:bookmarkStart w:id="0" w:name="_Hlk216399719"/>
      <w:r>
        <w:rPr>
          <w:rFonts w:ascii="Times New Roman" w:hAnsi="Times New Roman" w:cs="Times New Roman"/>
          <w:b/>
          <w:color w:val="auto"/>
          <w:sz w:val="28"/>
          <w:szCs w:val="28"/>
        </w:rPr>
        <w:t>Điều 6. Cấp học bổng khuyến khích học tập cho học sinh</w:t>
      </w:r>
    </w:p>
    <w:p>
      <w:pPr>
        <w:widowControl w:val="0"/>
        <w:spacing w:line="240" w:lineRule="auto"/>
      </w:pPr>
      <w:r>
        <w:t>1. Điều kiện được xét cấp học bổng</w:t>
      </w:r>
    </w:p>
    <w:p>
      <w:pPr>
        <w:widowControl w:val="0"/>
        <w:spacing w:line="240" w:lineRule="auto"/>
      </w:pPr>
      <w:r>
        <w:t>Học sinh đang học tại Trường trung học phổ thông Chuyên Hạ Long, đạt tiêu chuẩn được xét cấp học bổng quy định tại khoản 2 Điều này.</w:t>
      </w:r>
    </w:p>
    <w:p>
      <w:pPr>
        <w:widowControl w:val="0"/>
        <w:spacing w:line="240" w:lineRule="auto"/>
      </w:pPr>
      <w:r>
        <w:t>2. Loại học bổng, mức học bổng, thời gian hưởng học bổng và tiêu chuẩn được xét cấp học bổng như sau:</w:t>
      </w:r>
    </w:p>
    <w:tbl>
      <w:tblPr>
        <w:tblW w:w="9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474"/>
        <w:gridCol w:w="936"/>
        <w:gridCol w:w="5613"/>
      </w:tblGrid>
      <w:tr>
        <w:trPr>
          <w:trHeight w:val="1757"/>
          <w:tblHeader/>
        </w:trPr>
        <w:tc>
          <w:tcPr>
            <w:tcW w:w="1136" w:type="dxa"/>
            <w:tcBorders>
              <w:bottom w:val="single" w:sz="4" w:space="0" w:color="000000"/>
            </w:tcBorders>
            <w:vAlign w:val="center"/>
          </w:tcPr>
          <w:p>
            <w:pPr>
              <w:widowControl w:val="0"/>
              <w:spacing w:before="0" w:after="0" w:line="240" w:lineRule="auto"/>
              <w:ind w:firstLine="0"/>
              <w:jc w:val="center"/>
              <w:rPr>
                <w:sz w:val="27"/>
                <w:szCs w:val="27"/>
              </w:rPr>
            </w:pPr>
            <w:r>
              <w:rPr>
                <w:sz w:val="27"/>
                <w:szCs w:val="27"/>
              </w:rPr>
              <w:t>Loại</w:t>
            </w:r>
          </w:p>
          <w:p>
            <w:pPr>
              <w:widowControl w:val="0"/>
              <w:spacing w:before="0" w:after="0" w:line="240" w:lineRule="auto"/>
              <w:ind w:firstLine="0"/>
              <w:jc w:val="center"/>
              <w:rPr>
                <w:sz w:val="27"/>
                <w:szCs w:val="27"/>
              </w:rPr>
            </w:pPr>
            <w:r>
              <w:rPr>
                <w:sz w:val="27"/>
                <w:szCs w:val="27"/>
              </w:rPr>
              <w:t>học bổng</w:t>
            </w:r>
          </w:p>
        </w:tc>
        <w:tc>
          <w:tcPr>
            <w:tcW w:w="1474" w:type="dxa"/>
            <w:tcBorders>
              <w:bottom w:val="single" w:sz="4" w:space="0" w:color="000000"/>
            </w:tcBorders>
            <w:vAlign w:val="center"/>
          </w:tcPr>
          <w:p>
            <w:pPr>
              <w:widowControl w:val="0"/>
              <w:spacing w:before="0" w:after="0" w:line="240" w:lineRule="auto"/>
              <w:ind w:firstLine="0"/>
              <w:jc w:val="center"/>
              <w:rPr>
                <w:sz w:val="27"/>
                <w:szCs w:val="27"/>
              </w:rPr>
            </w:pPr>
            <w:r>
              <w:rPr>
                <w:sz w:val="27"/>
                <w:szCs w:val="27"/>
              </w:rPr>
              <w:t>Mức học bổng/tháng</w:t>
            </w:r>
          </w:p>
          <w:p>
            <w:pPr>
              <w:widowControl w:val="0"/>
              <w:spacing w:before="0" w:after="0" w:line="240" w:lineRule="auto"/>
              <w:ind w:firstLine="0"/>
              <w:jc w:val="center"/>
              <w:rPr>
                <w:sz w:val="27"/>
                <w:szCs w:val="27"/>
              </w:rPr>
            </w:pPr>
            <w:r>
              <w:rPr>
                <w:sz w:val="27"/>
                <w:szCs w:val="27"/>
              </w:rPr>
              <w:t>(</w:t>
            </w:r>
            <w:r>
              <w:rPr>
                <w:i/>
                <w:iCs/>
                <w:sz w:val="27"/>
                <w:szCs w:val="27"/>
              </w:rPr>
              <w:t>số lần mức học phí/tháng</w:t>
            </w:r>
            <w:r>
              <w:rPr>
                <w:sz w:val="27"/>
                <w:szCs w:val="27"/>
              </w:rPr>
              <w:t>)</w:t>
            </w:r>
          </w:p>
        </w:tc>
        <w:tc>
          <w:tcPr>
            <w:tcW w:w="936" w:type="dxa"/>
            <w:tcBorders>
              <w:bottom w:val="single" w:sz="4" w:space="0" w:color="000000"/>
            </w:tcBorders>
            <w:vAlign w:val="center"/>
          </w:tcPr>
          <w:p>
            <w:pPr>
              <w:widowControl w:val="0"/>
              <w:spacing w:before="0" w:after="0" w:line="240" w:lineRule="auto"/>
              <w:ind w:firstLine="0"/>
              <w:jc w:val="center"/>
              <w:rPr>
                <w:sz w:val="27"/>
                <w:szCs w:val="27"/>
              </w:rPr>
            </w:pPr>
            <w:r>
              <w:rPr>
                <w:sz w:val="27"/>
                <w:szCs w:val="27"/>
              </w:rPr>
              <w:t>Thời gian hưởng học bổng</w:t>
            </w:r>
          </w:p>
        </w:tc>
        <w:tc>
          <w:tcPr>
            <w:tcW w:w="5613" w:type="dxa"/>
            <w:tcBorders>
              <w:bottom w:val="single" w:sz="4" w:space="0" w:color="000000"/>
            </w:tcBorders>
            <w:vAlign w:val="center"/>
          </w:tcPr>
          <w:p>
            <w:pPr>
              <w:widowControl w:val="0"/>
              <w:spacing w:before="0" w:after="0" w:line="240" w:lineRule="auto"/>
              <w:ind w:firstLine="0"/>
              <w:jc w:val="center"/>
              <w:rPr>
                <w:sz w:val="27"/>
                <w:szCs w:val="27"/>
              </w:rPr>
            </w:pPr>
            <w:r>
              <w:rPr>
                <w:sz w:val="27"/>
                <w:szCs w:val="27"/>
              </w:rPr>
              <w:t>Tiêu chuẩn được xét cấp học bổng</w:t>
            </w:r>
          </w:p>
        </w:tc>
      </w:tr>
      <w:tr>
        <w:trPr>
          <w:trHeight w:val="1077"/>
        </w:trPr>
        <w:tc>
          <w:tcPr>
            <w:tcW w:w="1136" w:type="dxa"/>
            <w:tcBorders>
              <w:bottom w:val="dotted" w:sz="4" w:space="0" w:color="000000"/>
            </w:tcBorders>
            <w:vAlign w:val="center"/>
          </w:tcPr>
          <w:p>
            <w:pPr>
              <w:widowControl w:val="0"/>
              <w:spacing w:before="0" w:after="0" w:line="240" w:lineRule="auto"/>
              <w:ind w:firstLine="0"/>
              <w:jc w:val="center"/>
              <w:rPr>
                <w:sz w:val="27"/>
                <w:szCs w:val="27"/>
              </w:rPr>
            </w:pPr>
            <w:r>
              <w:rPr>
                <w:sz w:val="27"/>
                <w:szCs w:val="27"/>
              </w:rPr>
              <w:t>Loại đặc biệt</w:t>
            </w:r>
          </w:p>
        </w:tc>
        <w:tc>
          <w:tcPr>
            <w:tcW w:w="1474" w:type="dxa"/>
            <w:tcBorders>
              <w:bottom w:val="dotted" w:sz="4" w:space="0" w:color="000000"/>
            </w:tcBorders>
            <w:vAlign w:val="center"/>
          </w:tcPr>
          <w:p>
            <w:pPr>
              <w:widowControl w:val="0"/>
              <w:spacing w:before="0" w:after="0" w:line="240" w:lineRule="auto"/>
              <w:ind w:firstLine="0"/>
              <w:jc w:val="center"/>
              <w:rPr>
                <w:sz w:val="27"/>
                <w:szCs w:val="27"/>
              </w:rPr>
            </w:pPr>
            <w:r>
              <w:rPr>
                <w:sz w:val="27"/>
                <w:szCs w:val="27"/>
              </w:rPr>
              <w:t>20,0</w:t>
            </w:r>
          </w:p>
        </w:tc>
        <w:tc>
          <w:tcPr>
            <w:tcW w:w="936" w:type="dxa"/>
            <w:tcBorders>
              <w:bottom w:val="dotted" w:sz="4" w:space="0" w:color="000000"/>
            </w:tcBorders>
            <w:vAlign w:val="center"/>
          </w:tcPr>
          <w:p>
            <w:pPr>
              <w:widowControl w:val="0"/>
              <w:spacing w:before="0" w:after="0" w:line="240" w:lineRule="auto"/>
              <w:ind w:firstLine="0"/>
              <w:jc w:val="center"/>
              <w:rPr>
                <w:sz w:val="27"/>
                <w:szCs w:val="27"/>
              </w:rPr>
            </w:pPr>
            <w:r>
              <w:rPr>
                <w:sz w:val="27"/>
                <w:szCs w:val="27"/>
              </w:rPr>
              <w:t>Năm học</w:t>
            </w:r>
          </w:p>
        </w:tc>
        <w:tc>
          <w:tcPr>
            <w:tcW w:w="5613" w:type="dxa"/>
            <w:tcBorders>
              <w:bottom w:val="dotted" w:sz="4" w:space="0" w:color="000000"/>
            </w:tcBorders>
            <w:vAlign w:val="center"/>
          </w:tcPr>
          <w:p>
            <w:pPr>
              <w:widowControl w:val="0"/>
              <w:spacing w:before="0" w:after="0" w:line="240" w:lineRule="auto"/>
              <w:ind w:firstLine="0"/>
              <w:rPr>
                <w:spacing w:val="-4"/>
                <w:sz w:val="27"/>
                <w:szCs w:val="27"/>
              </w:rPr>
            </w:pPr>
            <w:r>
              <w:rPr>
                <w:spacing w:val="-4"/>
                <w:sz w:val="27"/>
                <w:szCs w:val="27"/>
              </w:rPr>
              <w:t>Được Bộ Giáo dục và Đào tạo quyết định chọn cử tham gia và đoạt giải hoặc đoạt huy chương tại kỳ thi Olympic khu vực, quốc tế.</w:t>
            </w:r>
          </w:p>
        </w:tc>
      </w:tr>
      <w:tr>
        <w:trPr>
          <w:trHeight w:val="1417"/>
        </w:trPr>
        <w:tc>
          <w:tcPr>
            <w:tcW w:w="11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Loại 1</w:t>
            </w:r>
          </w:p>
        </w:tc>
        <w:tc>
          <w:tcPr>
            <w:tcW w:w="1474"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10,0</w:t>
            </w:r>
          </w:p>
        </w:tc>
        <w:tc>
          <w:tcPr>
            <w:tcW w:w="9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Năm học</w:t>
            </w:r>
          </w:p>
        </w:tc>
        <w:tc>
          <w:tcPr>
            <w:tcW w:w="5613" w:type="dxa"/>
            <w:tcBorders>
              <w:top w:val="dotted" w:sz="4" w:space="0" w:color="000000"/>
              <w:bottom w:val="dotted" w:sz="4" w:space="0" w:color="000000"/>
            </w:tcBorders>
            <w:vAlign w:val="center"/>
          </w:tcPr>
          <w:p>
            <w:pPr>
              <w:widowControl w:val="0"/>
              <w:spacing w:before="0" w:after="0" w:line="240" w:lineRule="auto"/>
              <w:ind w:firstLine="0"/>
              <w:rPr>
                <w:sz w:val="27"/>
                <w:szCs w:val="27"/>
              </w:rPr>
            </w:pPr>
            <w:r>
              <w:rPr>
                <w:sz w:val="27"/>
                <w:szCs w:val="27"/>
              </w:rPr>
              <w:t>Được Bộ Giáo dục và Đào tạo triệu tập thi chọn đội tuyển quốc gia dự thi Olympic khu vực, quốc tế hoặc quyết định chọn cử tham gia và đoạt giải hoặc đoạt huy chương tại cuộc thi nghiên cứu khoa học, kỹ thuật khu vực, quốc tế.</w:t>
            </w:r>
          </w:p>
        </w:tc>
      </w:tr>
      <w:tr>
        <w:trPr>
          <w:trHeight w:val="1077"/>
        </w:trPr>
        <w:tc>
          <w:tcPr>
            <w:tcW w:w="11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Loại 2</w:t>
            </w:r>
          </w:p>
        </w:tc>
        <w:tc>
          <w:tcPr>
            <w:tcW w:w="1474"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8,0</w:t>
            </w:r>
          </w:p>
        </w:tc>
        <w:tc>
          <w:tcPr>
            <w:tcW w:w="9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Năm học</w:t>
            </w:r>
          </w:p>
        </w:tc>
        <w:tc>
          <w:tcPr>
            <w:tcW w:w="5613" w:type="dxa"/>
            <w:tcBorders>
              <w:top w:val="dotted" w:sz="4" w:space="0" w:color="000000"/>
              <w:bottom w:val="dotted" w:sz="4" w:space="0" w:color="000000"/>
            </w:tcBorders>
            <w:vAlign w:val="center"/>
          </w:tcPr>
          <w:p>
            <w:pPr>
              <w:widowControl w:val="0"/>
              <w:spacing w:before="0" w:after="0" w:line="240" w:lineRule="auto"/>
              <w:ind w:firstLine="0"/>
              <w:rPr>
                <w:sz w:val="27"/>
                <w:szCs w:val="27"/>
              </w:rPr>
            </w:pPr>
            <w:r>
              <w:rPr>
                <w:sz w:val="27"/>
                <w:szCs w:val="27"/>
              </w:rPr>
              <w:t>Đoạt giải tại một trong các kỳ thi, cuộc thi:</w:t>
            </w:r>
          </w:p>
          <w:p>
            <w:pPr>
              <w:widowControl w:val="0"/>
              <w:spacing w:before="0" w:after="0" w:line="240" w:lineRule="auto"/>
              <w:ind w:firstLine="0"/>
              <w:rPr>
                <w:sz w:val="27"/>
                <w:szCs w:val="27"/>
              </w:rPr>
            </w:pPr>
            <w:r>
              <w:rPr>
                <w:sz w:val="27"/>
                <w:szCs w:val="27"/>
              </w:rPr>
              <w:t>a) Kỳ thi chọn học sinh giỏi quốc gia;</w:t>
            </w:r>
          </w:p>
          <w:p>
            <w:pPr>
              <w:widowControl w:val="0"/>
              <w:spacing w:before="0" w:after="0" w:line="240" w:lineRule="auto"/>
              <w:ind w:firstLine="0"/>
              <w:rPr>
                <w:spacing w:val="-2"/>
                <w:sz w:val="27"/>
                <w:szCs w:val="27"/>
              </w:rPr>
            </w:pPr>
            <w:r>
              <w:rPr>
                <w:spacing w:val="-2"/>
                <w:sz w:val="27"/>
                <w:szCs w:val="27"/>
              </w:rPr>
              <w:t>b) Cuộc thi nghiên cứu khoa học, kỹ thuật quốc gia.</w:t>
            </w:r>
          </w:p>
        </w:tc>
      </w:tr>
      <w:tr>
        <w:trPr>
          <w:trHeight w:val="1077"/>
        </w:trPr>
        <w:tc>
          <w:tcPr>
            <w:tcW w:w="11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Loại 3</w:t>
            </w:r>
          </w:p>
        </w:tc>
        <w:tc>
          <w:tcPr>
            <w:tcW w:w="1474"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6,0</w:t>
            </w:r>
          </w:p>
        </w:tc>
        <w:tc>
          <w:tcPr>
            <w:tcW w:w="9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Học kỳ</w:t>
            </w:r>
          </w:p>
        </w:tc>
        <w:tc>
          <w:tcPr>
            <w:tcW w:w="5613" w:type="dxa"/>
            <w:tcBorders>
              <w:top w:val="dotted" w:sz="4" w:space="0" w:color="000000"/>
              <w:bottom w:val="dotted" w:sz="4" w:space="0" w:color="000000"/>
            </w:tcBorders>
            <w:vAlign w:val="center"/>
          </w:tcPr>
          <w:p>
            <w:pPr>
              <w:widowControl w:val="0"/>
              <w:spacing w:before="0" w:after="0" w:line="240" w:lineRule="auto"/>
              <w:ind w:firstLine="0"/>
              <w:rPr>
                <w:sz w:val="27"/>
                <w:szCs w:val="27"/>
              </w:rPr>
            </w:pPr>
            <w:r>
              <w:rPr>
                <w:sz w:val="27"/>
                <w:szCs w:val="27"/>
              </w:rPr>
              <w:t>Dự thi một trong các kỳ thi, cuộc thi:</w:t>
            </w:r>
          </w:p>
          <w:p>
            <w:pPr>
              <w:widowControl w:val="0"/>
              <w:spacing w:before="0" w:after="0" w:line="240" w:lineRule="auto"/>
              <w:ind w:firstLine="0"/>
              <w:rPr>
                <w:sz w:val="27"/>
                <w:szCs w:val="27"/>
              </w:rPr>
            </w:pPr>
            <w:r>
              <w:rPr>
                <w:sz w:val="27"/>
                <w:szCs w:val="27"/>
              </w:rPr>
              <w:t>a) Kỳ thi chọn học sinh giỏi quốc gia;</w:t>
            </w:r>
          </w:p>
          <w:p>
            <w:pPr>
              <w:widowControl w:val="0"/>
              <w:spacing w:before="0" w:after="0" w:line="240" w:lineRule="auto"/>
              <w:ind w:firstLine="0"/>
              <w:rPr>
                <w:sz w:val="27"/>
                <w:szCs w:val="27"/>
              </w:rPr>
            </w:pPr>
            <w:r>
              <w:rPr>
                <w:spacing w:val="-2"/>
                <w:sz w:val="27"/>
                <w:szCs w:val="27"/>
              </w:rPr>
              <w:t>b) Cuộc thi nghiên cứu khoa học, kỹ thuật quốc gia</w:t>
            </w:r>
            <w:r>
              <w:rPr>
                <w:sz w:val="27"/>
                <w:szCs w:val="27"/>
              </w:rPr>
              <w:t>.</w:t>
            </w:r>
          </w:p>
        </w:tc>
      </w:tr>
      <w:tr>
        <w:trPr>
          <w:trHeight w:val="1361"/>
        </w:trPr>
        <w:tc>
          <w:tcPr>
            <w:tcW w:w="11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Loại 4</w:t>
            </w:r>
          </w:p>
        </w:tc>
        <w:tc>
          <w:tcPr>
            <w:tcW w:w="1474"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4,0</w:t>
            </w:r>
          </w:p>
        </w:tc>
        <w:tc>
          <w:tcPr>
            <w:tcW w:w="936" w:type="dxa"/>
            <w:tcBorders>
              <w:top w:val="dotted" w:sz="4" w:space="0" w:color="000000"/>
              <w:bottom w:val="dotted" w:sz="4" w:space="0" w:color="000000"/>
            </w:tcBorders>
            <w:vAlign w:val="center"/>
          </w:tcPr>
          <w:p>
            <w:pPr>
              <w:widowControl w:val="0"/>
              <w:spacing w:before="0" w:after="0" w:line="240" w:lineRule="auto"/>
              <w:ind w:firstLine="0"/>
              <w:jc w:val="center"/>
              <w:rPr>
                <w:sz w:val="27"/>
                <w:szCs w:val="27"/>
              </w:rPr>
            </w:pPr>
            <w:r>
              <w:rPr>
                <w:sz w:val="27"/>
                <w:szCs w:val="27"/>
              </w:rPr>
              <w:t>Học kỳ</w:t>
            </w:r>
          </w:p>
        </w:tc>
        <w:tc>
          <w:tcPr>
            <w:tcW w:w="5613" w:type="dxa"/>
            <w:tcBorders>
              <w:top w:val="dotted" w:sz="4" w:space="0" w:color="000000"/>
              <w:bottom w:val="dotted" w:sz="4" w:space="0" w:color="000000"/>
            </w:tcBorders>
            <w:vAlign w:val="center"/>
          </w:tcPr>
          <w:p>
            <w:pPr>
              <w:widowControl w:val="0"/>
              <w:spacing w:before="0" w:after="0" w:line="240" w:lineRule="auto"/>
              <w:ind w:firstLine="0"/>
              <w:rPr>
                <w:sz w:val="27"/>
                <w:szCs w:val="27"/>
              </w:rPr>
            </w:pPr>
            <w:r>
              <w:rPr>
                <w:sz w:val="27"/>
                <w:szCs w:val="27"/>
              </w:rPr>
              <w:t>Đạt tiêu chuẩn được cấp học bổng loại 5 và đoạt giải tại một trong các kỳ thi, cuộc thi:</w:t>
            </w:r>
          </w:p>
          <w:p>
            <w:pPr>
              <w:widowControl w:val="0"/>
              <w:spacing w:before="0" w:after="0" w:line="240" w:lineRule="auto"/>
              <w:ind w:firstLine="0"/>
              <w:rPr>
                <w:sz w:val="27"/>
                <w:szCs w:val="27"/>
              </w:rPr>
            </w:pPr>
            <w:r>
              <w:rPr>
                <w:sz w:val="27"/>
                <w:szCs w:val="27"/>
              </w:rPr>
              <w:t>a) Kỳ thi chọn học sinh giỏi cấp tỉnh;</w:t>
            </w:r>
          </w:p>
          <w:p>
            <w:pPr>
              <w:widowControl w:val="0"/>
              <w:spacing w:before="0" w:after="0" w:line="240" w:lineRule="auto"/>
              <w:ind w:firstLine="0"/>
              <w:rPr>
                <w:sz w:val="27"/>
                <w:szCs w:val="27"/>
              </w:rPr>
            </w:pPr>
            <w:r>
              <w:rPr>
                <w:sz w:val="27"/>
                <w:szCs w:val="27"/>
              </w:rPr>
              <w:t>b) Cuộc thi nghiên cứu khoa học, kỹ thuật cấp tỉnh.</w:t>
            </w:r>
          </w:p>
        </w:tc>
      </w:tr>
      <w:tr>
        <w:trPr>
          <w:trHeight w:val="794"/>
        </w:trPr>
        <w:tc>
          <w:tcPr>
            <w:tcW w:w="1136" w:type="dxa"/>
            <w:tcBorders>
              <w:top w:val="dotted" w:sz="4" w:space="0" w:color="000000"/>
              <w:bottom w:val="single" w:sz="4" w:space="0" w:color="000000"/>
            </w:tcBorders>
            <w:vAlign w:val="center"/>
          </w:tcPr>
          <w:p>
            <w:pPr>
              <w:widowControl w:val="0"/>
              <w:spacing w:before="0" w:after="0" w:line="240" w:lineRule="auto"/>
              <w:ind w:firstLine="0"/>
              <w:jc w:val="center"/>
              <w:rPr>
                <w:sz w:val="27"/>
                <w:szCs w:val="27"/>
              </w:rPr>
            </w:pPr>
            <w:r>
              <w:rPr>
                <w:sz w:val="27"/>
                <w:szCs w:val="27"/>
              </w:rPr>
              <w:t>Loại 5</w:t>
            </w:r>
          </w:p>
        </w:tc>
        <w:tc>
          <w:tcPr>
            <w:tcW w:w="1474" w:type="dxa"/>
            <w:tcBorders>
              <w:top w:val="dotted" w:sz="4" w:space="0" w:color="000000"/>
              <w:bottom w:val="single" w:sz="4" w:space="0" w:color="000000"/>
            </w:tcBorders>
            <w:vAlign w:val="center"/>
          </w:tcPr>
          <w:p>
            <w:pPr>
              <w:widowControl w:val="0"/>
              <w:spacing w:before="0" w:after="0" w:line="240" w:lineRule="auto"/>
              <w:ind w:firstLine="0"/>
              <w:jc w:val="center"/>
              <w:rPr>
                <w:sz w:val="27"/>
                <w:szCs w:val="27"/>
              </w:rPr>
            </w:pPr>
            <w:r>
              <w:rPr>
                <w:sz w:val="27"/>
                <w:szCs w:val="27"/>
              </w:rPr>
              <w:t>3,0</w:t>
            </w:r>
          </w:p>
        </w:tc>
        <w:tc>
          <w:tcPr>
            <w:tcW w:w="936" w:type="dxa"/>
            <w:tcBorders>
              <w:top w:val="dotted" w:sz="4" w:space="0" w:color="000000"/>
              <w:bottom w:val="single" w:sz="4" w:space="0" w:color="000000"/>
            </w:tcBorders>
            <w:vAlign w:val="center"/>
          </w:tcPr>
          <w:p>
            <w:pPr>
              <w:widowControl w:val="0"/>
              <w:spacing w:before="0" w:after="0" w:line="240" w:lineRule="auto"/>
              <w:ind w:firstLine="0"/>
              <w:jc w:val="center"/>
              <w:rPr>
                <w:sz w:val="27"/>
                <w:szCs w:val="27"/>
              </w:rPr>
            </w:pPr>
            <w:r>
              <w:rPr>
                <w:sz w:val="27"/>
                <w:szCs w:val="27"/>
              </w:rPr>
              <w:t>Học kỳ</w:t>
            </w:r>
          </w:p>
        </w:tc>
        <w:tc>
          <w:tcPr>
            <w:tcW w:w="5613" w:type="dxa"/>
            <w:tcBorders>
              <w:top w:val="dotted" w:sz="4" w:space="0" w:color="000000"/>
              <w:bottom w:val="single" w:sz="4" w:space="0" w:color="000000"/>
            </w:tcBorders>
            <w:vAlign w:val="center"/>
          </w:tcPr>
          <w:p>
            <w:pPr>
              <w:widowControl w:val="0"/>
              <w:spacing w:before="0" w:after="0" w:line="240" w:lineRule="auto"/>
              <w:ind w:firstLine="0"/>
              <w:rPr>
                <w:sz w:val="27"/>
                <w:szCs w:val="27"/>
              </w:rPr>
            </w:pPr>
            <w:r>
              <w:rPr>
                <w:sz w:val="27"/>
                <w:szCs w:val="27"/>
              </w:rPr>
              <w:t>Đạt kết quả rèn luyện tốt, học tập tốt và điểm trung bình môn chuyên từ 8,5 trở lên.</w:t>
            </w:r>
          </w:p>
        </w:tc>
      </w:tr>
    </w:tbl>
    <w:p>
      <w:pPr>
        <w:widowControl w:val="0"/>
        <w:spacing w:line="240" w:lineRule="auto"/>
      </w:pPr>
      <w:r>
        <w:t>3. Xét cấp học bổng cho học sinh của mỗi lớp chuyên thứ tự như sau:</w:t>
      </w:r>
    </w:p>
    <w:p>
      <w:pPr>
        <w:widowControl w:val="0"/>
        <w:spacing w:line="240" w:lineRule="auto"/>
      </w:pPr>
      <w:r>
        <w:t>a) Cấp học bổng cho tất cả học sinh đạt tiêu chuẩn từ loại 4 trở lên, nếu số được cấp dưới 50% số học sinh của lớp thì tiếp tục xét cấp học bổng loại 5;</w:t>
      </w:r>
    </w:p>
    <w:p>
      <w:pPr>
        <w:widowControl w:val="0"/>
        <w:spacing w:line="240" w:lineRule="auto"/>
      </w:pPr>
      <w:r>
        <w:t>b) Cấp học bổng loại 5 cho học sinh đảm bảo không quá 50% số học sinh của lớp được cấp học bổng các loại.</w:t>
      </w:r>
      <w:bookmarkEnd w:id="0"/>
    </w:p>
    <w:p>
      <w:pPr>
        <w:pStyle w:val="Heading2"/>
        <w:keepNext w:val="0"/>
        <w:keepLines w:val="0"/>
        <w:widowControl w:val="0"/>
        <w:spacing w:before="120" w:after="120" w:line="269" w:lineRule="auto"/>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Điều 7. Hỗ trợ học sinh đang học tại trường và hỗ trợ nhà trường tổ chức nội trú cho học sinh</w:t>
      </w:r>
    </w:p>
    <w:p>
      <w:pPr>
        <w:widowControl w:val="0"/>
        <w:spacing w:line="269" w:lineRule="auto"/>
      </w:pPr>
      <w:r>
        <w:t>1. Hỗ trợ tiền ăn và chỗ ở tại trường cho học sinh</w:t>
      </w:r>
    </w:p>
    <w:p>
      <w:pPr>
        <w:widowControl w:val="0"/>
        <w:spacing w:line="269" w:lineRule="auto"/>
      </w:pPr>
      <w:r>
        <w:t>a) Điều kiện được hưởng hỗ trợ: Học sinh đang học tại Trường trung học phổ thông Chuyên Hạ Long, có nhà ở xa trường khoảng cách từ 15 km trở lên;</w:t>
      </w:r>
    </w:p>
    <w:p>
      <w:pPr>
        <w:widowControl w:val="0"/>
        <w:spacing w:line="269" w:lineRule="auto"/>
      </w:pPr>
      <w:r>
        <w:t>b) Nội dung hỗ trợ:</w:t>
      </w:r>
    </w:p>
    <w:p>
      <w:pPr>
        <w:widowControl w:val="0"/>
        <w:spacing w:line="269" w:lineRule="auto"/>
      </w:pPr>
      <w:r>
        <w:t>Được hỗ trợ tiền ăn 936.000 đồng/tháng/học sinh, thời gian hưởng bằng thời gian học thực tế tại trường nhưng không quá 09 tháng/năm học;</w:t>
      </w:r>
    </w:p>
    <w:p>
      <w:pPr>
        <w:widowControl w:val="0"/>
        <w:spacing w:line="269" w:lineRule="auto"/>
      </w:pPr>
      <w:r>
        <w:t>Được bố trí chỗ ở nội trú miễn phí tại ký túc xá của trường theo thứ tự ưu tiên như sau: Đối tượng được hỗ trợ chi phí học tập theo quy định tại khoản 1 Điều 8 Nghị quyết số 93/2025/NQ-HĐND ngày 16 tháng 12 năm 2025 của Hội đồng nhân dân tỉnh quy định một số chính sách hỗ trợ trong các cơ sở giáo dục mầm non, phổ thông và giáo dục thường xuyên trên địa bàn tỉnh Quảng Ninh từ năm học 2025 - 2026 đến năm học 2030 - 2031; có khoảng cách từ nhà đến trường xa hơn.</w:t>
      </w:r>
    </w:p>
    <w:p>
      <w:pPr>
        <w:widowControl w:val="0"/>
        <w:spacing w:line="269" w:lineRule="auto"/>
      </w:pPr>
      <w:r>
        <w:t>2. Hỗ trợ Trường trung học phổ thông Chuyên Hạ Long một số khoản chi phí phục vụ học sinh nội trú tại trường, gồm:</w:t>
      </w:r>
    </w:p>
    <w:p>
      <w:pPr>
        <w:widowControl w:val="0"/>
        <w:spacing w:line="269" w:lineRule="auto"/>
      </w:pPr>
      <w:r>
        <w:t>a) Tiền điện, nước phục vụ học tập và sinh hoạt cho học sinh nội trú theo định mức 25KW điện/tháng/học sinh (bao gồm cả điện mặt trời mái nhà cung cấp cho ký túc xá được đầu tư từ ngân sách nhà nước) và 4m</w:t>
      </w:r>
      <w:r>
        <w:rPr>
          <w:vertAlign w:val="superscript"/>
        </w:rPr>
        <w:t>3</w:t>
      </w:r>
      <w:r>
        <w:t xml:space="preserve"> nước/tháng/học sinh theo giá quy định; thời gian hỗ trợ và được hưởng không quá 09 tháng/năm học;</w:t>
      </w:r>
    </w:p>
    <w:p>
      <w:pPr>
        <w:widowControl w:val="0"/>
        <w:spacing w:line="269" w:lineRule="auto"/>
      </w:pPr>
      <w:r>
        <w:t>b) Kinh phí quản lý, phục vụ học sinh nội trú theo định mức 2.050.000 đồng/45 học sinh/tháng, số dư từ 20 học sinh trở lên được tính thêm 01 định mức; thời gian hỗ trợ và được hưởng không quá 09 tháng/năm học.</w:t>
      </w:r>
    </w:p>
    <w:p>
      <w:pPr>
        <w:pStyle w:val="Heading2"/>
        <w:keepNext w:val="0"/>
        <w:keepLines w:val="0"/>
        <w:widowControl w:val="0"/>
        <w:spacing w:before="120" w:after="120" w:line="269" w:lineRule="auto"/>
        <w:rPr>
          <w:rFonts w:ascii="Times New Roman" w:hAnsi="Times New Roman" w:cs="Times New Roman"/>
          <w:b/>
          <w:color w:val="auto"/>
          <w:sz w:val="28"/>
          <w:szCs w:val="28"/>
        </w:rPr>
      </w:pPr>
      <w:r>
        <w:rPr>
          <w:rFonts w:ascii="Times New Roman" w:hAnsi="Times New Roman" w:cs="Times New Roman"/>
          <w:b/>
          <w:color w:val="auto"/>
          <w:sz w:val="28"/>
          <w:szCs w:val="28"/>
        </w:rPr>
        <w:t>Điều 8. Hỗ trợ nhà trường kinh phí thực hiện một số nhiệm vụ đặc thù</w:t>
      </w:r>
    </w:p>
    <w:p>
      <w:pPr>
        <w:widowControl w:val="0"/>
        <w:spacing w:line="269" w:lineRule="auto"/>
      </w:pPr>
      <w:r>
        <w:t>1. Nội dung hỗ trợ</w:t>
      </w:r>
    </w:p>
    <w:p>
      <w:pPr>
        <w:widowControl w:val="0"/>
        <w:spacing w:line="269" w:lineRule="auto"/>
      </w:pPr>
      <w:r>
        <w:t>Hỗ trợ Trường trung học phổ thông Chuyên Hạ Long kinh phí thực hiện một số nhiệm vụ đặc thù được quy định tại điểm k khoản 2 Điều 2 và khoản 1 Điều 21</w:t>
      </w:r>
      <w:r>
        <w:rPr>
          <w:color w:val="002060"/>
        </w:rPr>
        <w:t xml:space="preserve"> Quy chế tổ chức và hoạt động của trường trung học phổ thông chuyên ban hành kèm theo </w:t>
      </w:r>
      <w:r>
        <w:t>Thông tư số 05/2023/TT-BGDĐT như sau:</w:t>
      </w:r>
    </w:p>
    <w:p>
      <w:pPr>
        <w:widowControl w:val="0"/>
        <w:spacing w:line="269" w:lineRule="auto"/>
      </w:pPr>
      <w:r>
        <w:t>a) Trong mỗi năm học, chủ trì tổ chức ít nhất 01 (một) hội thảo chuyên đề về tổ chức và quản lý các hoạt động giáo dục trong nhà trường với sự tham gia của các trường trung học cơ sở, trung học phổ thông khác nhằm chia sẻ những giải pháp và kết quả thực hiện nhiệm vụ, quyền hạn của trường chuyên; mức chi áp dụng như chi tổ chức hội nghị đối với đơn vị sự nghiệp công lập quy định tại Nghị quyết của Hội đồng nhân dân tỉnh.</w:t>
      </w:r>
    </w:p>
    <w:p>
      <w:pPr>
        <w:widowControl w:val="0"/>
        <w:spacing w:line="269" w:lineRule="auto"/>
      </w:pPr>
      <w:r>
        <w:lastRenderedPageBreak/>
        <w:t>b) Hằng năm, tổ chức các kỳ thi, cuộc thi, diễn đàn và các hoạt động chuyên môn trong phạm vi nhà trường hoặc phối hợp với các cơ sở giáo dục khác nhằm phát hiện học sinh có năng khiếu nổi bật trong từng môn học; nội dung chi và mức chi tổ chức kỳ thi, cuộc thi áp dụng như kỳ thi chọn học sinh giỏi trung học cơ sở cấp tỉnh quy định tại Nghị quyết của Hội đồng nhân dân tỉnh.</w:t>
      </w:r>
    </w:p>
    <w:p>
      <w:pPr>
        <w:widowControl w:val="0"/>
        <w:spacing w:line="269" w:lineRule="auto"/>
      </w:pPr>
      <w:r>
        <w:t>2. Mức hỗ trợ</w:t>
      </w:r>
    </w:p>
    <w:p>
      <w:pPr>
        <w:widowControl w:val="0"/>
        <w:spacing w:line="269" w:lineRule="auto"/>
      </w:pPr>
      <w:r>
        <w:t>Bằng 30% kinh phí chi hoạt động trong dự toán chi thường xuyên hằng năm của nhà trường.</w:t>
      </w:r>
    </w:p>
    <w:p>
      <w:pPr>
        <w:widowControl w:val="0"/>
        <w:spacing w:after="0" w:line="240" w:lineRule="auto"/>
        <w:jc w:val="center"/>
        <w:rPr>
          <w:b/>
        </w:rPr>
      </w:pPr>
      <w:r>
        <w:rPr>
          <w:b/>
        </w:rPr>
        <w:t>Chương III</w:t>
      </w:r>
    </w:p>
    <w:p>
      <w:pPr>
        <w:widowControl w:val="0"/>
        <w:spacing w:after="0" w:line="240" w:lineRule="auto"/>
        <w:jc w:val="center"/>
        <w:rPr>
          <w:b/>
        </w:rPr>
      </w:pPr>
      <w:r>
        <w:rPr>
          <w:b/>
        </w:rPr>
        <w:t>TỔ CHỨC THỰC HIỆN</w:t>
      </w:r>
    </w:p>
    <w:p>
      <w:pPr>
        <w:widowControl w:val="0"/>
        <w:spacing w:before="0" w:after="0" w:line="240" w:lineRule="auto"/>
        <w:jc w:val="center"/>
        <w:rPr>
          <w:b/>
          <w:sz w:val="20"/>
        </w:rPr>
      </w:pPr>
    </w:p>
    <w:p>
      <w:pPr>
        <w:pStyle w:val="Heading2"/>
        <w:spacing w:before="120" w:after="120" w:line="264" w:lineRule="auto"/>
        <w:rPr>
          <w:rFonts w:ascii="Times New Roman" w:hAnsi="Times New Roman" w:cs="Times New Roman"/>
          <w:color w:val="auto"/>
          <w:sz w:val="28"/>
          <w:szCs w:val="28"/>
        </w:rPr>
      </w:pPr>
      <w:r>
        <w:rPr>
          <w:rFonts w:ascii="Times New Roman" w:hAnsi="Times New Roman" w:cs="Times New Roman"/>
          <w:b/>
          <w:color w:val="auto"/>
          <w:sz w:val="28"/>
          <w:szCs w:val="28"/>
        </w:rPr>
        <w:t>Điều 9. Nguồn kinh phí thực hiện</w:t>
      </w:r>
    </w:p>
    <w:p>
      <w:pPr>
        <w:spacing w:line="264" w:lineRule="auto"/>
      </w:pPr>
      <w:r>
        <w:t>Từ nguồn ngân sách cấp tỉnh cân đối trong dự toán chi ngân sách sự nghiệp giáo dục, đào tạo hằng năm.</w:t>
      </w:r>
    </w:p>
    <w:p>
      <w:pPr>
        <w:pStyle w:val="Heading2"/>
        <w:spacing w:before="120" w:after="120" w:line="264" w:lineRule="auto"/>
        <w:rPr>
          <w:rFonts w:ascii="Times New Roman" w:hAnsi="Times New Roman" w:cs="Times New Roman"/>
          <w:b/>
          <w:color w:val="auto"/>
          <w:sz w:val="28"/>
          <w:szCs w:val="28"/>
        </w:rPr>
      </w:pPr>
      <w:bookmarkStart w:id="1" w:name="_Hlk216400190"/>
      <w:r>
        <w:rPr>
          <w:rFonts w:ascii="Times New Roman" w:hAnsi="Times New Roman" w:cs="Times New Roman"/>
          <w:b/>
          <w:color w:val="auto"/>
          <w:sz w:val="28"/>
          <w:szCs w:val="28"/>
        </w:rPr>
        <w:t>Điều 10. Điều khoản thi hành</w:t>
      </w:r>
      <w:bookmarkStart w:id="2" w:name="_GoBack"/>
      <w:bookmarkEnd w:id="2"/>
    </w:p>
    <w:bookmarkEnd w:id="1"/>
    <w:p>
      <w:pPr>
        <w:widowControl w:val="0"/>
        <w:spacing w:line="264" w:lineRule="auto"/>
      </w:pPr>
      <w:r>
        <w:t>1. Nghị quyết này có hiệu lực thi hành từ ngày 01 tháng 8 năm 2026 đến hết ngày 31 tháng 7 năm 2031.</w:t>
      </w:r>
    </w:p>
    <w:p>
      <w:pPr>
        <w:widowControl w:val="0"/>
        <w:spacing w:line="264" w:lineRule="auto"/>
      </w:pPr>
      <w:r>
        <w:t>2. Trường hợp các văn bản quy phạm pháp luật dẫn chiếu để áp dụng tại Nghị quyết này được sửa đổi, bổ sung hoặc thay thế thì áp dụng theo quy định tại văn bản sửa đổi, bổ sung hoặc thay thế.</w:t>
      </w:r>
    </w:p>
    <w:p>
      <w:pPr>
        <w:widowControl w:val="0"/>
        <w:spacing w:line="264" w:lineRule="auto"/>
      </w:pPr>
      <w:r>
        <w:t>3. Nghị quyết số 63/2021/NQ-HĐND ngày 09 tháng 12 năm 2021 của Hội đồng nhân dân tỉnh quy định chế độ thưởng, hỗ trợ trong công tác bồi dưỡng học sinh giỏi và một số chính sách ưu đãi đối với Trường trung học phổ thông Chuyên Hạ Long từ năm học 2021 - 2022 đến năm học 2025 - 2026 hết hiệu lực kể từ ngày Nghị quyết này có hiệu lực thi hành.</w:t>
      </w:r>
    </w:p>
    <w:p>
      <w:pPr>
        <w:pStyle w:val="Heading2"/>
        <w:spacing w:before="120" w:after="120" w:line="264" w:lineRule="auto"/>
        <w:rPr>
          <w:rFonts w:ascii="Times New Roman" w:hAnsi="Times New Roman" w:cs="Times New Roman"/>
          <w:b/>
          <w:color w:val="auto"/>
          <w:sz w:val="28"/>
          <w:szCs w:val="28"/>
        </w:rPr>
      </w:pPr>
      <w:r>
        <w:rPr>
          <w:rFonts w:ascii="Times New Roman" w:hAnsi="Times New Roman" w:cs="Times New Roman"/>
          <w:b/>
          <w:color w:val="auto"/>
          <w:sz w:val="28"/>
          <w:szCs w:val="28"/>
        </w:rPr>
        <w:t>Điều 11. Tổ chức thực hiện</w:t>
      </w:r>
    </w:p>
    <w:p>
      <w:pPr>
        <w:widowControl w:val="0"/>
        <w:spacing w:line="264" w:lineRule="auto"/>
      </w:pPr>
      <w:r>
        <w:t>1. Giao Ủy ban nhân dân tỉnh tổ chức triển khai thực hiện Nghị quyết, đảm bảo công khai, minh bạch, kịp thời, đúng đối tượng và nội dung chính sách. Giám đốc Sở Giáo dục và Đào tạo, Giám đốc Sở Tài chính, Hiệu trưởng Trường trung học phổ thông Chuyên Hạ Long và thủ trưởng các cơ quan, đơn vị liên quan chịu trách nhiệm toàn diện trong việc rà soát, thẩm định, thẩm tra, tổ chức thực hiện; kiểm soát rủi ro chính sách, bảo đảm quản lý chặt chẽ, tuyệt đối không để xảy ra vi phạm trục lợi, thất thoát ngân sách nhà nước, kịp thời phát hiện và xử lý nghiêm các vi phạm.</w:t>
      </w:r>
    </w:p>
    <w:p>
      <w:pPr>
        <w:widowControl w:val="0"/>
        <w:spacing w:line="264" w:lineRule="auto"/>
      </w:pPr>
      <w:r>
        <w:t>2. Giao Thường trực Hội đồng nhân dân tỉnh, các ban, các tổ và đại biểu Hội đồng nhân dân tỉnh giám sát việc thực hiện Nghị quyết.</w:t>
      </w:r>
    </w:p>
    <w:p>
      <w:pPr>
        <w:widowControl w:val="0"/>
        <w:spacing w:line="264" w:lineRule="auto"/>
      </w:pPr>
      <w:r>
        <w:lastRenderedPageBreak/>
        <w:t>3. Đề nghị Ủy ban Mặt trận Tổ quốc và các tổ chức chính trị - xã hội tỉnh tuyên truyền, tạo sự đồng thuận của Nhân dân và giám sát việc tổ chức thực hiện Nghị quyết.</w:t>
      </w:r>
    </w:p>
    <w:p>
      <w:pPr>
        <w:widowControl w:val="0"/>
        <w:spacing w:after="240" w:line="240" w:lineRule="auto"/>
        <w:rPr>
          <w:i/>
        </w:rPr>
      </w:pPr>
      <w:r>
        <w:rPr>
          <w:i/>
        </w:rPr>
        <w:t>Nghị quyết này đã được Hội đồng nhân dân tỉnh Quảng Ninh khóa XV, Kỳ họp thứ 6 thông qua ngày 09 tháng 7 năm 2026./.</w:t>
      </w:r>
    </w:p>
    <w:tbl>
      <w:tblPr>
        <w:tblW w:w="9072" w:type="dxa"/>
        <w:tblLook w:val="01E0" w:firstRow="1" w:lastRow="1" w:firstColumn="1" w:lastColumn="1" w:noHBand="0" w:noVBand="0"/>
      </w:tblPr>
      <w:tblGrid>
        <w:gridCol w:w="4678"/>
        <w:gridCol w:w="284"/>
        <w:gridCol w:w="4110"/>
      </w:tblGrid>
      <w:tr>
        <w:trPr>
          <w:trHeight w:val="652"/>
        </w:trPr>
        <w:tc>
          <w:tcPr>
            <w:tcW w:w="4678" w:type="dxa"/>
          </w:tcPr>
          <w:p>
            <w:pPr>
              <w:spacing w:before="0" w:after="0" w:line="240" w:lineRule="auto"/>
              <w:ind w:firstLine="0"/>
              <w:rPr>
                <w:b/>
                <w:i/>
                <w:sz w:val="24"/>
                <w:lang w:val="nl-NL"/>
              </w:rPr>
            </w:pPr>
            <w:r>
              <w:rPr>
                <w:b/>
                <w:i/>
                <w:sz w:val="24"/>
                <w:lang w:val="nl-NL"/>
              </w:rPr>
              <w:t>Nơi nhận:</w:t>
            </w:r>
          </w:p>
          <w:p>
            <w:pPr>
              <w:widowControl w:val="0"/>
              <w:spacing w:before="0" w:after="0" w:line="240" w:lineRule="auto"/>
              <w:ind w:firstLine="0"/>
              <w:rPr>
                <w:bCs/>
                <w:sz w:val="22"/>
                <w:lang w:val="nl-NL" w:eastAsia="vi-VN"/>
              </w:rPr>
            </w:pPr>
            <w:r>
              <w:rPr>
                <w:bCs/>
                <w:sz w:val="22"/>
                <w:lang w:val="nl-NL" w:eastAsia="vi-VN"/>
              </w:rPr>
              <w:t>- Ủy ban Thường vụ Quốc hội (báo cáo);</w:t>
            </w:r>
          </w:p>
          <w:p>
            <w:pPr>
              <w:widowControl w:val="0"/>
              <w:spacing w:before="0" w:after="0" w:line="240" w:lineRule="auto"/>
              <w:ind w:firstLine="0"/>
              <w:rPr>
                <w:bCs/>
                <w:sz w:val="22"/>
                <w:lang w:val="nl-NL" w:eastAsia="vi-VN"/>
              </w:rPr>
            </w:pPr>
            <w:r>
              <w:rPr>
                <w:bCs/>
                <w:sz w:val="22"/>
                <w:lang w:val="nl-NL" w:eastAsia="vi-VN"/>
              </w:rPr>
              <w:t xml:space="preserve">- Các bộ: Giáo dục và Đào tạo, Tài chính, </w:t>
            </w:r>
          </w:p>
          <w:p>
            <w:pPr>
              <w:widowControl w:val="0"/>
              <w:spacing w:before="0" w:after="0" w:line="240" w:lineRule="auto"/>
              <w:ind w:firstLine="0"/>
              <w:rPr>
                <w:bCs/>
                <w:sz w:val="22"/>
                <w:lang w:val="nl-NL" w:eastAsia="vi-VN"/>
              </w:rPr>
            </w:pPr>
            <w:r>
              <w:rPr>
                <w:bCs/>
                <w:sz w:val="22"/>
                <w:lang w:val="nl-NL" w:eastAsia="vi-VN"/>
              </w:rPr>
              <w:t>Tư pháp (báo cáo);</w:t>
            </w:r>
          </w:p>
          <w:p>
            <w:pPr>
              <w:widowControl w:val="0"/>
              <w:spacing w:before="0" w:after="0" w:line="240" w:lineRule="auto"/>
              <w:ind w:firstLine="0"/>
              <w:rPr>
                <w:bCs/>
                <w:sz w:val="22"/>
                <w:lang w:val="nl-NL" w:eastAsia="vi-VN"/>
              </w:rPr>
            </w:pPr>
            <w:r>
              <w:rPr>
                <w:bCs/>
                <w:sz w:val="22"/>
                <w:lang w:val="nl-NL" w:eastAsia="vi-VN"/>
              </w:rPr>
              <w:t>- Thường trực Tỉnh ủy (báo cáo);</w:t>
            </w:r>
          </w:p>
          <w:p>
            <w:pPr>
              <w:widowControl w:val="0"/>
              <w:spacing w:before="0" w:after="0" w:line="240" w:lineRule="auto"/>
              <w:ind w:firstLine="0"/>
              <w:rPr>
                <w:bCs/>
                <w:sz w:val="22"/>
                <w:lang w:val="nl-NL" w:eastAsia="vi-VN"/>
              </w:rPr>
            </w:pPr>
            <w:r>
              <w:rPr>
                <w:bCs/>
                <w:sz w:val="22"/>
                <w:lang w:val="nl-NL" w:eastAsia="vi-VN"/>
              </w:rPr>
              <w:t>- Thường trực HĐND tỉnh, UBND tỉnh;</w:t>
            </w:r>
          </w:p>
          <w:p>
            <w:pPr>
              <w:widowControl w:val="0"/>
              <w:spacing w:before="0" w:after="0" w:line="240" w:lineRule="auto"/>
              <w:ind w:firstLine="0"/>
              <w:rPr>
                <w:bCs/>
                <w:sz w:val="22"/>
                <w:lang w:val="nl-NL" w:eastAsia="vi-VN"/>
              </w:rPr>
            </w:pPr>
            <w:r>
              <w:rPr>
                <w:bCs/>
                <w:sz w:val="22"/>
                <w:lang w:val="nl-NL" w:eastAsia="vi-VN"/>
              </w:rPr>
              <w:t>- Đoàn đại biểu Quốc hội tỉnh;</w:t>
            </w:r>
          </w:p>
          <w:p>
            <w:pPr>
              <w:widowControl w:val="0"/>
              <w:spacing w:before="0" w:after="0" w:line="240" w:lineRule="auto"/>
              <w:ind w:firstLine="0"/>
              <w:rPr>
                <w:bCs/>
                <w:sz w:val="22"/>
                <w:lang w:val="nl-NL" w:eastAsia="vi-VN"/>
              </w:rPr>
            </w:pPr>
            <w:r>
              <w:rPr>
                <w:bCs/>
                <w:sz w:val="22"/>
                <w:lang w:val="nl-NL" w:eastAsia="vi-VN"/>
              </w:rPr>
              <w:t>- Đại biểu HĐND tỉnh khóa XV;</w:t>
            </w:r>
          </w:p>
          <w:p>
            <w:pPr>
              <w:widowControl w:val="0"/>
              <w:spacing w:before="0" w:after="0" w:line="240" w:lineRule="auto"/>
              <w:ind w:firstLine="0"/>
              <w:rPr>
                <w:bCs/>
                <w:sz w:val="22"/>
                <w:lang w:val="nl-NL" w:eastAsia="vi-VN"/>
              </w:rPr>
            </w:pPr>
            <w:r>
              <w:rPr>
                <w:bCs/>
                <w:sz w:val="22"/>
                <w:lang w:val="nl-NL" w:eastAsia="vi-VN"/>
              </w:rPr>
              <w:t xml:space="preserve">- Các ban xây dựng Đảng và VP Tỉnh ủy; </w:t>
            </w:r>
          </w:p>
          <w:p>
            <w:pPr>
              <w:widowControl w:val="0"/>
              <w:spacing w:before="0" w:after="0" w:line="240" w:lineRule="auto"/>
              <w:ind w:firstLine="0"/>
              <w:rPr>
                <w:bCs/>
                <w:sz w:val="22"/>
                <w:lang w:val="nl-NL" w:eastAsia="vi-VN"/>
              </w:rPr>
            </w:pPr>
            <w:r>
              <w:rPr>
                <w:bCs/>
                <w:sz w:val="22"/>
                <w:lang w:val="nl-NL" w:eastAsia="vi-VN"/>
              </w:rPr>
              <w:t>- Ủy ban MTTQ, các tổ chức CTXH tỉnh;</w:t>
            </w:r>
          </w:p>
          <w:p>
            <w:pPr>
              <w:widowControl w:val="0"/>
              <w:spacing w:before="0" w:after="0" w:line="240" w:lineRule="auto"/>
              <w:ind w:firstLine="0"/>
              <w:rPr>
                <w:bCs/>
                <w:sz w:val="22"/>
                <w:lang w:val="nl-NL" w:eastAsia="vi-VN"/>
              </w:rPr>
            </w:pPr>
            <w:r>
              <w:rPr>
                <w:bCs/>
                <w:sz w:val="22"/>
                <w:lang w:val="nl-NL" w:eastAsia="vi-VN"/>
              </w:rPr>
              <w:t>- Các sở, ban, ngành thuộc tỉnh;</w:t>
            </w:r>
          </w:p>
          <w:p>
            <w:pPr>
              <w:widowControl w:val="0"/>
              <w:spacing w:before="0" w:after="0" w:line="240" w:lineRule="auto"/>
              <w:ind w:firstLine="0"/>
              <w:rPr>
                <w:bCs/>
                <w:sz w:val="22"/>
                <w:lang w:val="nl-NL" w:eastAsia="vi-VN"/>
              </w:rPr>
            </w:pPr>
            <w:r>
              <w:rPr>
                <w:bCs/>
                <w:sz w:val="22"/>
                <w:lang w:val="nl-NL" w:eastAsia="vi-VN"/>
              </w:rPr>
              <w:t>- VP: Đoàn ĐBQH và HĐND tỉnh, UBND tỉnh;</w:t>
            </w:r>
          </w:p>
          <w:p>
            <w:pPr>
              <w:widowControl w:val="0"/>
              <w:spacing w:before="0" w:after="0" w:line="240" w:lineRule="auto"/>
              <w:ind w:firstLine="0"/>
              <w:rPr>
                <w:bCs/>
                <w:sz w:val="22"/>
                <w:lang w:val="nl-NL" w:eastAsia="vi-VN"/>
              </w:rPr>
            </w:pPr>
            <w:r>
              <w:rPr>
                <w:bCs/>
                <w:sz w:val="22"/>
                <w:lang w:val="nl-NL" w:eastAsia="vi-VN"/>
              </w:rPr>
              <w:t>- Thường trực HĐND, UBND cấp xã;</w:t>
            </w:r>
          </w:p>
          <w:p>
            <w:pPr>
              <w:widowControl w:val="0"/>
              <w:spacing w:before="0" w:after="0" w:line="240" w:lineRule="auto"/>
              <w:ind w:firstLine="0"/>
              <w:rPr>
                <w:bCs/>
                <w:sz w:val="22"/>
                <w:lang w:val="nl-NL" w:eastAsia="vi-VN"/>
              </w:rPr>
            </w:pPr>
            <w:r>
              <w:rPr>
                <w:bCs/>
                <w:sz w:val="22"/>
                <w:lang w:val="nl-NL" w:eastAsia="vi-VN"/>
              </w:rPr>
              <w:t>- Báo và Phát thanh, Truyền hình tỉnh;</w:t>
            </w:r>
          </w:p>
          <w:p>
            <w:pPr>
              <w:widowControl w:val="0"/>
              <w:spacing w:before="0" w:after="0" w:line="240" w:lineRule="auto"/>
              <w:ind w:firstLine="0"/>
              <w:rPr>
                <w:bCs/>
                <w:sz w:val="22"/>
                <w:lang w:val="nl-NL" w:eastAsia="vi-VN"/>
              </w:rPr>
            </w:pPr>
            <w:r>
              <w:rPr>
                <w:bCs/>
                <w:sz w:val="22"/>
                <w:lang w:val="nl-NL" w:eastAsia="vi-VN"/>
              </w:rPr>
              <w:t>- Công báo tỉnh;</w:t>
            </w:r>
          </w:p>
          <w:p>
            <w:pPr>
              <w:spacing w:before="0" w:after="0" w:line="240" w:lineRule="auto"/>
              <w:ind w:firstLine="0"/>
              <w:rPr>
                <w:sz w:val="20"/>
                <w:szCs w:val="20"/>
                <w:lang w:val="nl-NL"/>
              </w:rPr>
            </w:pPr>
            <w:r>
              <w:rPr>
                <w:bCs/>
                <w:sz w:val="22"/>
                <w:lang w:val="nl-NL" w:eastAsia="vi-VN"/>
              </w:rPr>
              <w:t>- Lưu: VT, HĐ9.</w:t>
            </w:r>
          </w:p>
        </w:tc>
        <w:tc>
          <w:tcPr>
            <w:tcW w:w="284" w:type="dxa"/>
          </w:tcPr>
          <w:p>
            <w:pPr>
              <w:spacing w:before="0" w:after="0" w:line="240" w:lineRule="auto"/>
              <w:ind w:firstLine="0"/>
              <w:rPr>
                <w:lang w:val="nl-NL"/>
              </w:rPr>
            </w:pPr>
          </w:p>
        </w:tc>
        <w:tc>
          <w:tcPr>
            <w:tcW w:w="4110" w:type="dxa"/>
          </w:tcPr>
          <w:p>
            <w:pPr>
              <w:spacing w:before="0" w:after="0" w:line="240" w:lineRule="auto"/>
              <w:ind w:firstLine="0"/>
              <w:jc w:val="center"/>
              <w:rPr>
                <w:b/>
              </w:rPr>
            </w:pPr>
            <w:r>
              <w:rPr>
                <w:b/>
              </w:rPr>
              <w:t>CHỦ TỊCH</w:t>
            </w:r>
          </w:p>
          <w:p>
            <w:pPr>
              <w:spacing w:before="0" w:after="0" w:line="240" w:lineRule="auto"/>
              <w:ind w:firstLine="0"/>
              <w:jc w:val="center"/>
              <w:rPr>
                <w:b/>
              </w:rPr>
            </w:pPr>
          </w:p>
          <w:p>
            <w:pPr>
              <w:spacing w:before="0" w:after="0" w:line="240" w:lineRule="auto"/>
              <w:ind w:firstLine="0"/>
              <w:jc w:val="center"/>
              <w:rPr>
                <w:b/>
              </w:rPr>
            </w:pPr>
          </w:p>
          <w:p>
            <w:pPr>
              <w:spacing w:before="0" w:after="0" w:line="240" w:lineRule="auto"/>
              <w:ind w:firstLine="0"/>
              <w:jc w:val="center"/>
              <w:rPr>
                <w:b/>
              </w:rPr>
            </w:pPr>
          </w:p>
          <w:p>
            <w:pPr>
              <w:spacing w:before="0" w:after="0" w:line="240" w:lineRule="auto"/>
              <w:ind w:firstLine="0"/>
              <w:jc w:val="center"/>
              <w:rPr>
                <w:b/>
              </w:rPr>
            </w:pPr>
          </w:p>
          <w:p>
            <w:pPr>
              <w:spacing w:before="0" w:after="0" w:line="240" w:lineRule="auto"/>
              <w:ind w:firstLine="0"/>
              <w:jc w:val="center"/>
              <w:rPr>
                <w:b/>
              </w:rPr>
            </w:pPr>
          </w:p>
          <w:p>
            <w:pPr>
              <w:spacing w:before="0" w:after="0" w:line="240" w:lineRule="auto"/>
              <w:ind w:firstLine="0"/>
              <w:jc w:val="center"/>
              <w:rPr>
                <w:b/>
              </w:rPr>
            </w:pPr>
          </w:p>
          <w:p>
            <w:pPr>
              <w:spacing w:before="0" w:after="0" w:line="240" w:lineRule="auto"/>
              <w:ind w:firstLine="0"/>
              <w:jc w:val="center"/>
              <w:rPr>
                <w:b/>
              </w:rPr>
            </w:pPr>
          </w:p>
          <w:p>
            <w:pPr>
              <w:spacing w:before="0" w:after="0" w:line="240" w:lineRule="auto"/>
              <w:ind w:firstLine="0"/>
              <w:jc w:val="center"/>
              <w:rPr>
                <w:b/>
                <w:lang w:val="nl-NL"/>
              </w:rPr>
            </w:pPr>
            <w:r>
              <w:rPr>
                <w:b/>
                <w:lang w:val="nl-NL"/>
              </w:rPr>
              <w:t>Trịnh Thị Minh Thanh</w:t>
            </w:r>
          </w:p>
        </w:tc>
      </w:tr>
    </w:tbl>
    <w:p>
      <w:pPr>
        <w:spacing w:before="0" w:after="0" w:line="240" w:lineRule="auto"/>
        <w:ind w:firstLine="0"/>
        <w:jc w:val="center"/>
        <w:rPr>
          <w:szCs w:val="28"/>
        </w:rPr>
      </w:pPr>
      <w:r>
        <w:rPr>
          <w:b/>
          <w:szCs w:val="28"/>
        </w:rPr>
        <w:t xml:space="preserve"> </w:t>
      </w:r>
    </w:p>
    <w:sectPr>
      <w:headerReference w:type="default" r:id="rId7"/>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782472"/>
      <w:docPartObj>
        <w:docPartGallery w:val="Page Numbers (Top of Page)"/>
        <w:docPartUnique/>
      </w:docPartObj>
    </w:sdtPr>
    <w:sdtEndPr>
      <w:rPr>
        <w:noProof/>
        <w:sz w:val="26"/>
        <w:szCs w:val="26"/>
      </w:rPr>
    </w:sdtEndPr>
    <w:sdtContent>
      <w:p>
        <w:pPr>
          <w:pStyle w:val="Header"/>
          <w:widowControl w:val="0"/>
          <w:spacing w:before="0"/>
          <w:ind w:firstLine="0"/>
          <w:jc w:val="cente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7</w:t>
        </w:r>
        <w:r>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724155E5-F561-443B-87BD-BE281984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before="120" w:after="120" w:line="252"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99"/>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pPr>
      <w:spacing w:before="0" w:after="0" w:line="240" w:lineRule="auto"/>
      <w:ind w:firstLine="0"/>
      <w:jc w:val="left"/>
    </w:p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0C0DB-93FB-43B0-8AFC-69DD07E36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1036</TotalTime>
  <Pages>7</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Thảo</dc:creator>
  <cp:keywords/>
  <dc:description/>
  <cp:lastModifiedBy>Admin</cp:lastModifiedBy>
  <cp:revision>37</cp:revision>
  <cp:lastPrinted>2026-07-13T00:33:00Z</cp:lastPrinted>
  <dcterms:created xsi:type="dcterms:W3CDTF">2026-07-02T04:06:00Z</dcterms:created>
  <dcterms:modified xsi:type="dcterms:W3CDTF">2026-07-13T01:49:00Z</dcterms:modified>
</cp:coreProperties>
</file>