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0" w:type="auto"/>
        <w:tblBorders/>
        <w:tblLayout w:type="fixed"/>
        <w:tblLook w:val="01E0" w:firstRow="1" w:lastRow="1" w:firstColumn="1" w:lastColumn="1" w:noHBand="0" w:noVBand="0"/>
      </w:tblPr>
      <w:tblGrid>
        <w:gridCol w:w="3260"/>
        <w:gridCol w:w="5812"/>
      </w:tblGrid>
      <w:tr>
        <w:trPr/>
        <w:tc>
          <w:tcPr>
            <w:tcBorders/>
            <w:tcW w:w="3260" w:type="dxa"/>
            <w:textDirection w:val="lrTb"/>
            <w:noWrap w:val="false"/>
          </w:tcPr>
          <w:p>
            <w:pPr>
              <w:pBdr/>
              <w:spacing/>
              <w:ind/>
              <w:jc w:val="center"/>
              <w:rPr>
                <w:b/>
              </w:rPr>
            </w:pPr>
            <w:r/>
            <w:bookmarkStart w:id="0" w:name="OLE_LINK1"/>
            <w:r>
              <w:rPr>
                <w:b/>
                <w:sz w:val="26"/>
              </w:rPr>
              <w:t xml:space="preserve">ỦY BAN NHÂN DÂN</w:t>
            </w:r>
            <w:r>
              <w:rPr>
                <w:b/>
                <w:sz w:val="26"/>
              </w:rPr>
              <w:br/>
              <w:t xml:space="preserve">TỈNH TÂY NINH</w:t>
            </w:r>
            <w:r>
              <w:rPr>
                <w:b/>
              </w:rPr>
              <w:br/>
            </w:r>
            <w:r>
              <w:rPr>
                <w:b/>
                <w:sz w:val="24"/>
                <w:szCs w:val="24"/>
                <w:vertAlign w:val="superscript"/>
              </w:rPr>
              <w:t xml:space="preserve">_____</w:t>
            </w:r>
            <w:r>
              <w:rPr>
                <w:b/>
                <w:sz w:val="24"/>
                <w:szCs w:val="24"/>
                <w:vertAlign w:val="superscript"/>
              </w:rPr>
              <w:t xml:space="preserve">___</w:t>
            </w:r>
            <w:r>
              <w:rPr>
                <w:b/>
                <w:sz w:val="24"/>
                <w:szCs w:val="24"/>
                <w:vertAlign w:val="superscript"/>
              </w:rPr>
              <w:t xml:space="preserve">____</w:t>
            </w:r>
            <w:r>
              <w:rPr>
                <w:b/>
              </w:rPr>
            </w:r>
            <w:r>
              <w:rPr>
                <w:b/>
              </w:rPr>
            </w:r>
          </w:p>
        </w:tc>
        <w:tc>
          <w:tcPr>
            <w:tcBorders/>
            <w:tcW w:w="5812" w:type="dxa"/>
            <w:textDirection w:val="lrTb"/>
            <w:noWrap w:val="false"/>
          </w:tcPr>
          <w:p>
            <w:pPr>
              <w:pBdr/>
              <w:spacing/>
              <w:ind/>
              <w:jc w:val="center"/>
              <w:rPr/>
            </w:pPr>
            <w:r>
              <w:rPr>
                <w:b/>
                <w:sz w:val="26"/>
              </w:rPr>
              <w:t xml:space="preserve">CỘNG HÒA XÃ HỘI CHỦ NGHĨA VIỆT NAM</w:t>
            </w:r>
            <w:r>
              <w:rPr>
                <w:b/>
              </w:rPr>
              <w:br/>
            </w:r>
            <w:r>
              <w:rPr>
                <w:b/>
                <w:szCs w:val="26"/>
              </w:rPr>
              <w:t xml:space="preserve">Độc lập - Tự do - Hạnh phúc </w:t>
            </w:r>
            <w:r>
              <w:rPr>
                <w:b/>
                <w:szCs w:val="26"/>
              </w:rPr>
              <w:br/>
            </w:r>
            <w:r>
              <w:rPr>
                <w:b/>
                <w:sz w:val="24"/>
                <w:szCs w:val="24"/>
                <w:vertAlign w:val="superscript"/>
              </w:rPr>
              <w:t xml:space="preserve">_______</w:t>
            </w:r>
            <w:r>
              <w:rPr>
                <w:b/>
                <w:sz w:val="24"/>
                <w:szCs w:val="24"/>
                <w:vertAlign w:val="superscript"/>
              </w:rPr>
              <w:t xml:space="preserve">______________</w:t>
            </w:r>
            <w:r>
              <w:rPr>
                <w:b/>
                <w:sz w:val="24"/>
                <w:szCs w:val="24"/>
                <w:vertAlign w:val="superscript"/>
              </w:rPr>
              <w:t xml:space="preserve">______________________</w:t>
            </w:r>
            <w:r/>
          </w:p>
        </w:tc>
      </w:tr>
      <w:tr>
        <w:trPr>
          <w:trHeight w:val="324"/>
        </w:trPr>
        <w:tc>
          <w:tcPr>
            <w:tcBorders/>
            <w:tcW w:w="3260" w:type="dxa"/>
            <w:textDirection w:val="lrTb"/>
            <w:noWrap w:val="false"/>
          </w:tcPr>
          <w:p>
            <w:pPr>
              <w:pBdr/>
              <w:spacing/>
              <w:ind/>
              <w:jc w:val="center"/>
              <w:rPr>
                <w:sz w:val="26"/>
                <w:szCs w:val="26"/>
              </w:rPr>
            </w:pPr>
            <w:r>
              <w:rPr>
                <w:sz w:val="26"/>
                <w:szCs w:val="26"/>
              </w:rPr>
              <w:t xml:space="preserve">Số:  67</w:t>
            </w:r>
            <w:r>
              <w:rPr>
                <w:sz w:val="26"/>
                <w:szCs w:val="26"/>
              </w:rPr>
              <w:t xml:space="preserve">/2026/QĐ-UBND</w:t>
            </w:r>
            <w:r>
              <w:rPr>
                <w:sz w:val="26"/>
                <w:szCs w:val="26"/>
              </w:rPr>
            </w:r>
            <w:r>
              <w:rPr>
                <w:sz w:val="26"/>
                <w:szCs w:val="26"/>
              </w:rPr>
            </w:r>
          </w:p>
        </w:tc>
        <w:tc>
          <w:tcPr>
            <w:tcBorders/>
            <w:tcW w:w="5812" w:type="dxa"/>
            <w:textDirection w:val="lrTb"/>
            <w:noWrap w:val="false"/>
          </w:tcPr>
          <w:p>
            <w:pPr>
              <w:pBdr/>
              <w:spacing/>
              <w:ind/>
              <w:jc w:val="center"/>
              <w:rPr>
                <w:i/>
              </w:rPr>
            </w:pPr>
            <w:r>
              <w:rPr>
                <w:i/>
              </w:rPr>
              <w:t xml:space="preserve">Tây Ninh, ngày  14  tháng</w:t>
            </w:r>
            <w:r>
              <w:rPr>
                <w:i/>
              </w:rPr>
              <w:t xml:space="preserve"> </w:t>
            </w:r>
            <w:r>
              <w:rPr>
                <w:i/>
              </w:rPr>
              <w:t xml:space="preserve">5</w:t>
            </w:r>
            <w:r>
              <w:rPr>
                <w:i/>
              </w:rPr>
              <w:t xml:space="preserve"> </w:t>
            </w:r>
            <w:r>
              <w:rPr>
                <w:i/>
              </w:rPr>
              <w:t xml:space="preserve">năm 2026</w:t>
            </w:r>
            <w:r>
              <w:rPr>
                <w:i/>
              </w:rPr>
            </w:r>
            <w:r>
              <w:rPr>
                <w:i/>
              </w:rPr>
            </w:r>
          </w:p>
        </w:tc>
      </w:tr>
    </w:tbl>
    <w:p>
      <w:pPr>
        <w:pBdr/>
        <w:spacing/>
        <w:ind/>
        <w:jc w:val="center"/>
        <w:rPr>
          <w:b/>
        </w:rPr>
      </w:pPr>
      <w:r>
        <w:rPr>
          <w:b/>
        </w:rPr>
      </w:r>
      <w:r>
        <w:rPr>
          <w:b/>
        </w:rPr>
      </w:r>
      <w:r>
        <w:rPr>
          <w:b/>
        </w:rPr>
      </w:r>
    </w:p>
    <w:p>
      <w:pPr>
        <w:pBdr/>
        <w:spacing/>
        <w:ind/>
        <w:jc w:val="center"/>
        <w:rPr>
          <w:b/>
        </w:rPr>
      </w:pPr>
      <w:r>
        <w:rPr>
          <w:b/>
        </w:rPr>
        <w:t xml:space="preserve">QUYẾT ĐỊNH</w:t>
      </w:r>
      <w:r>
        <w:rPr>
          <w:b/>
        </w:rPr>
      </w:r>
      <w:r>
        <w:rPr>
          <w:b/>
        </w:rPr>
      </w:r>
    </w:p>
    <w:p>
      <w:pPr>
        <w:pBdr/>
        <w:spacing w:line="340" w:lineRule="exact"/>
        <w:ind/>
        <w:jc w:val="center"/>
        <w:rPr>
          <w:b/>
          <w:bCs/>
          <w:iCs/>
          <w:color w:val="000000" w:themeColor="text1"/>
          <w:spacing w:val="-4"/>
        </w:rPr>
      </w:pPr>
      <w:r>
        <w:rPr>
          <w:b/>
          <w:bCs/>
          <w:color w:val="000000" w:themeColor="text1"/>
          <w:spacing w:val="-4"/>
        </w:rPr>
        <w:t xml:space="preserve">Ban hành quy định phân cấp thẩm quyền quản lý nhiệm vụ </w:t>
      </w:r>
      <w:r>
        <w:rPr>
          <w:b/>
          <w:bCs/>
          <w:color w:val="000000" w:themeColor="text1"/>
          <w:spacing w:val="-4"/>
        </w:rPr>
        <w:t xml:space="preserve">khoa học,</w:t>
      </w:r>
      <w:r>
        <w:rPr>
          <w:b/>
          <w:bCs/>
          <w:iCs/>
          <w:color w:val="000000" w:themeColor="text1"/>
          <w:spacing w:val="-4"/>
        </w:rPr>
      </w:r>
      <w:r>
        <w:rPr>
          <w:b/>
          <w:bCs/>
          <w:iCs/>
          <w:color w:val="000000" w:themeColor="text1"/>
          <w:spacing w:val="-4"/>
        </w:rPr>
      </w:r>
    </w:p>
    <w:p>
      <w:pPr>
        <w:pBdr/>
        <w:spacing w:line="340" w:lineRule="exact"/>
        <w:ind/>
        <w:jc w:val="center"/>
        <w:rPr>
          <w:b/>
          <w:bCs/>
          <w:color w:val="000000" w:themeColor="text1"/>
          <w:spacing w:val="-4"/>
        </w:rPr>
      </w:pPr>
      <w:r>
        <w:rPr>
          <w:b/>
          <w:bCs/>
          <w:color w:val="000000" w:themeColor="text1"/>
          <w:spacing w:val="-4"/>
        </w:rPr>
        <w:t xml:space="preserve">công nghệ </w:t>
      </w:r>
      <w:r>
        <w:rPr>
          <w:b/>
          <w:bCs/>
          <w:color w:val="000000" w:themeColor="text1"/>
          <w:spacing w:val="-4"/>
        </w:rPr>
        <w:t xml:space="preserve">và đổi mới sáng tạo </w:t>
      </w:r>
      <w:r>
        <w:rPr>
          <w:b/>
          <w:bCs/>
          <w:iCs/>
          <w:color w:val="000000" w:themeColor="text1"/>
          <w:lang w:val="nl-NL"/>
        </w:rPr>
        <w:t xml:space="preserve">sử dụng ngân sách nhà nước </w:t>
      </w:r>
      <w:r>
        <w:rPr>
          <w:b/>
          <w:bCs/>
          <w:color w:val="000000" w:themeColor="text1"/>
          <w:spacing w:val="-4"/>
        </w:rPr>
      </w:r>
      <w:r>
        <w:rPr>
          <w:b/>
          <w:bCs/>
          <w:color w:val="000000" w:themeColor="text1"/>
          <w:spacing w:val="-4"/>
        </w:rPr>
      </w:r>
    </w:p>
    <w:p>
      <w:pPr>
        <w:pBdr/>
        <w:spacing w:line="340" w:lineRule="exact"/>
        <w:ind/>
        <w:jc w:val="center"/>
        <w:rPr>
          <w:b/>
          <w:bCs/>
          <w:color w:val="000000" w:themeColor="text1"/>
          <w:spacing w:val="-4"/>
        </w:rPr>
      </w:pPr>
      <w:r>
        <w:rPr>
          <w:b/>
          <w:bCs/>
          <w:iCs/>
          <w:color w:val="000000" w:themeColor="text1"/>
          <w:lang w:val="nl-NL"/>
        </w:rPr>
        <w:t xml:space="preserve">trên địa bàn tỉnh Tây Ninh</w:t>
      </w:r>
      <w:r>
        <w:rPr>
          <w:b/>
          <w:bCs/>
          <w:color w:val="000000" w:themeColor="text1"/>
          <w:spacing w:val="-4"/>
        </w:rPr>
      </w:r>
      <w:r>
        <w:rPr>
          <w:b/>
          <w:bCs/>
          <w:color w:val="000000" w:themeColor="text1"/>
          <w:spacing w:val="-4"/>
        </w:rPr>
      </w:r>
    </w:p>
    <w:p>
      <w:pPr>
        <w:pBdr/>
        <w:spacing/>
        <w:ind/>
        <w:rPr>
          <w:b/>
          <w:sz w:val="4"/>
          <w:lang w:val="nl-NL"/>
        </w:rPr>
      </w:pPr>
      <w:r>
        <w:rPr>
          <w:b/>
          <w:sz w:val="4"/>
          <w:lang w:val="nl-NL"/>
        </w:rPr>
      </w:r>
      <w:r>
        <w:rPr>
          <w:b/>
          <w:sz w:val="4"/>
          <w:lang w:val="nl-NL"/>
        </w:rPr>
      </w:r>
      <w:r>
        <w:rPr>
          <w:b/>
          <w:sz w:val="4"/>
          <w:lang w:val="nl-NL"/>
        </w:rPr>
      </w:r>
    </w:p>
    <w:p>
      <w:pPr>
        <w:pBdr/>
        <w:spacing w:after="86" w:before="86" w:line="288" w:lineRule="auto"/>
        <w:ind/>
        <w:jc w:val="center"/>
        <w:rPr>
          <w:sz w:val="16"/>
        </w:rPr>
      </w:pPr>
      <w:r>
        <w:rPr>
          <w:sz w:val="16"/>
        </w:rPr>
        <w:t xml:space="preserve">________________________</w:t>
      </w:r>
      <w:r>
        <w:rPr>
          <w:sz w:val="16"/>
        </w:rPr>
      </w:r>
      <w:r>
        <w:rPr>
          <w:sz w:val="16"/>
        </w:rPr>
      </w:r>
    </w:p>
    <w:p>
      <w:pPr>
        <w:pBdr/>
        <w:spacing w:before="120" w:line="288" w:lineRule="auto"/>
        <w:ind w:firstLine="720"/>
        <w:jc w:val="both"/>
        <w:rPr>
          <w:i/>
        </w:rPr>
      </w:pPr>
      <w:r>
        <w:rPr>
          <w:i/>
        </w:rPr>
        <w:t xml:space="preserve">Căn cứ Luật Tổ chức chính quyền địa phương </w:t>
      </w:r>
      <w:r>
        <w:rPr>
          <w:i/>
          <w:iCs/>
        </w:rPr>
        <w:t xml:space="preserve">số 72/2025/QH15</w:t>
      </w:r>
      <w:r>
        <w:rPr>
          <w:i/>
        </w:rPr>
        <w:t xml:space="preserve">;</w:t>
      </w:r>
      <w:r>
        <w:rPr>
          <w:i/>
        </w:rPr>
      </w:r>
      <w:r>
        <w:rPr>
          <w:i/>
        </w:rPr>
      </w:r>
    </w:p>
    <w:p>
      <w:pPr>
        <w:pBdr/>
        <w:spacing w:before="60" w:line="288" w:lineRule="auto"/>
        <w:ind w:firstLine="720"/>
        <w:jc w:val="both"/>
        <w:rPr>
          <w:i/>
          <w:szCs w:val="24"/>
        </w:rPr>
      </w:pPr>
      <w:r>
        <w:rPr>
          <w:i/>
          <w:szCs w:val="24"/>
        </w:rPr>
        <w:t xml:space="preserve">Căn cứ </w:t>
      </w:r>
      <w:bookmarkStart w:id="1" w:name="tvpllink_gzxwavcnwq"/>
      <w:r>
        <w:rPr>
          <w:i/>
          <w:szCs w:val="24"/>
        </w:rPr>
        <w:t xml:space="preserve">Luật Khoa học, Công nghệ</w:t>
      </w:r>
      <w:bookmarkEnd w:id="1"/>
      <w:r>
        <w:rPr>
          <w:i/>
          <w:szCs w:val="24"/>
        </w:rPr>
        <w:t xml:space="preserve"> và Đổi mới sáng tạo số 93/2025/QH15;</w:t>
      </w:r>
      <w:r>
        <w:rPr>
          <w:i/>
          <w:szCs w:val="24"/>
        </w:rPr>
      </w:r>
      <w:r>
        <w:rPr>
          <w:i/>
          <w:szCs w:val="24"/>
        </w:rPr>
      </w:r>
    </w:p>
    <w:p>
      <w:pPr>
        <w:pBdr/>
        <w:spacing w:before="60" w:line="288" w:lineRule="auto"/>
        <w:ind w:firstLine="720"/>
        <w:jc w:val="both"/>
        <w:rPr>
          <w:i/>
          <w:szCs w:val="24"/>
        </w:rPr>
      </w:pPr>
      <w:r>
        <w:rPr>
          <w:i/>
          <w:szCs w:val="24"/>
        </w:rPr>
        <w:t xml:space="preserve">Căn cứ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w:t>
      </w:r>
      <w:r>
        <w:rPr>
          <w:i/>
          <w:szCs w:val="24"/>
        </w:rPr>
        <w:t xml:space="preserve">húc đẩy hoạt động nghiên cứu khoa học, phát triển công nghệ và đổi mới sáng tạo;</w:t>
      </w:r>
      <w:r>
        <w:rPr>
          <w:i/>
          <w:szCs w:val="24"/>
        </w:rPr>
      </w:r>
      <w:r>
        <w:rPr>
          <w:i/>
          <w:szCs w:val="24"/>
        </w:rPr>
      </w:r>
    </w:p>
    <w:p>
      <w:pPr>
        <w:pBdr/>
        <w:spacing w:before="60" w:line="288" w:lineRule="auto"/>
        <w:ind w:firstLine="720"/>
        <w:jc w:val="both"/>
        <w:rPr>
          <w:i/>
          <w:szCs w:val="24"/>
        </w:rPr>
      </w:pPr>
      <w:r>
        <w:rPr>
          <w:i/>
          <w:iCs/>
        </w:rPr>
        <w:t xml:space="preserve">Căn cứ Thông tư số 36/2025/TT-BKHCN ngày 26 tháng 11 năm 2025 của Bộ trưởng Bộ Khoa học và Công nghệ quy định khung về trình tự, thủ tục xây dựng, thẩm định, ban hành, quản lý</w:t>
      </w:r>
      <w:r>
        <w:rPr>
          <w:i/>
          <w:iCs/>
        </w:rPr>
        <w:t xml:space="preserve">,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w:t>
      </w:r>
      <w:r>
        <w:rPr>
          <w:i/>
          <w:iCs/>
        </w:rPr>
        <w:t xml:space="preserve"> nghệ và đổi mới sáng tạo;</w:t>
      </w:r>
      <w:r>
        <w:rPr>
          <w:i/>
          <w:szCs w:val="24"/>
        </w:rPr>
      </w:r>
      <w:r>
        <w:rPr>
          <w:i/>
          <w:szCs w:val="24"/>
        </w:rPr>
      </w:r>
    </w:p>
    <w:p>
      <w:pPr>
        <w:pBdr/>
        <w:shd w:val="clear" w:color="auto" w:fill="ffffff"/>
        <w:spacing w:before="120" w:line="288" w:lineRule="auto"/>
        <w:ind w:firstLine="720"/>
        <w:jc w:val="both"/>
        <w:rPr>
          <w:i/>
        </w:rPr>
      </w:pPr>
      <w:r>
        <w:rPr>
          <w:i/>
          <w:lang w:val="vi-VN"/>
        </w:rPr>
        <w:t xml:space="preserve">Theo đề nghị của Giám đốc Sở </w:t>
      </w:r>
      <w:r>
        <w:rPr>
          <w:i/>
        </w:rPr>
        <w:t xml:space="preserve">Khoa học và Công nghệ</w:t>
      </w:r>
      <w:r>
        <w:rPr>
          <w:i/>
        </w:rPr>
        <w:t xml:space="preserve"> tại Tờ trình số 2500/TTr-SKHCN ngày 05/5/2026</w:t>
      </w:r>
      <w:r>
        <w:rPr>
          <w:i/>
        </w:rPr>
        <w:t xml:space="preserve">;</w:t>
      </w:r>
      <w:r>
        <w:rPr>
          <w:i/>
        </w:rPr>
      </w:r>
      <w:r>
        <w:rPr>
          <w:i/>
        </w:rPr>
      </w:r>
    </w:p>
    <w:p>
      <w:pPr>
        <w:pBdr/>
        <w:shd w:val="clear" w:color="auto" w:fill="ffffff"/>
        <w:spacing w:before="120" w:line="288" w:lineRule="auto"/>
        <w:ind w:firstLine="720"/>
        <w:jc w:val="both"/>
        <w:rPr/>
      </w:pPr>
      <w:r>
        <w:t xml:space="preserve">Ủy ban nhân dân tỉnh ban hành Quyết định quy định </w:t>
      </w:r>
      <w:r>
        <w:rPr>
          <w:spacing w:val="-4"/>
        </w:rPr>
        <w:t xml:space="preserve">phân cấp thẩm quyền quản lý nhiệm vụ khoa học, công nghệ và đổi mới sáng tạo</w:t>
      </w:r>
      <w:r>
        <w:t xml:space="preserve"> </w:t>
      </w:r>
      <w:r>
        <w:rPr>
          <w:lang w:val="nl-NL"/>
        </w:rPr>
        <w:t xml:space="preserve">sử dụng ngân sách nhà nước trên địa bàn tỉnh Tây N</w:t>
      </w:r>
      <w:r>
        <w:rPr>
          <w:lang w:val="nl-NL"/>
        </w:rPr>
        <w:t xml:space="preserve">inh.</w:t>
      </w:r>
      <w:r/>
    </w:p>
    <w:p>
      <w:pPr>
        <w:pBdr/>
        <w:spacing w:before="120"/>
        <w:ind w:firstLine="720"/>
        <w:jc w:val="both"/>
        <w:rPr>
          <w:b/>
          <w:bCs/>
        </w:rPr>
      </w:pPr>
      <w:r>
        <w:rPr>
          <w:b/>
          <w:bCs/>
        </w:rPr>
        <w:t xml:space="preserve">Điều 1. Phạm vi điều chỉnh</w:t>
      </w:r>
      <w:r>
        <w:rPr>
          <w:b/>
          <w:bCs/>
        </w:rPr>
      </w:r>
      <w:r>
        <w:rPr>
          <w:b/>
          <w:bCs/>
        </w:rPr>
      </w:r>
    </w:p>
    <w:p>
      <w:pPr>
        <w:pBdr/>
        <w:spacing w:before="120"/>
        <w:ind w:firstLine="720"/>
        <w:jc w:val="both"/>
        <w:rPr/>
      </w:pPr>
      <w:r>
        <w:t xml:space="preserve">Quyết định này quy định phân cấp thẩm quyền quản lý nhiệm vụ khoa học, công nghệ và đổi mới sáng tạo theo quy định tại khoản 1 Điều 4 </w:t>
      </w:r>
      <w:r>
        <w:rPr>
          <w:szCs w:val="24"/>
        </w:rPr>
        <w:t xml:space="preserve">Nghị định số 267/2025/NĐ-CP </w:t>
      </w:r>
      <w:r>
        <w:rPr>
          <w:iCs/>
          <w:szCs w:val="24"/>
        </w:rPr>
        <w:t xml:space="preserve">ngày 14 tháng 10 năm 2025</w:t>
      </w:r>
      <w:r>
        <w:rPr>
          <w:i/>
          <w:szCs w:val="24"/>
        </w:rPr>
        <w:t xml:space="preserve"> </w:t>
      </w:r>
      <w:r>
        <w:rPr>
          <w:szCs w:val="24"/>
        </w:rPr>
        <w:t xml:space="preserve">của Chính phủ </w:t>
      </w:r>
      <w:r>
        <w:rPr>
          <w:iCs/>
          <w:szCs w:val="24"/>
        </w:rPr>
        <w:t xml:space="preserve">quy định chi tiết và h</w:t>
      </w:r>
      <w:r>
        <w:rPr>
          <w:iCs/>
          <w:szCs w:val="24"/>
        </w:rPr>
        <w:t xml:space="preserve">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điểm b khoản 1 Đ</w:t>
      </w:r>
      <w:r>
        <w:rPr>
          <w:iCs/>
          <w:szCs w:val="24"/>
        </w:rPr>
        <w:t xml:space="preserve">iều 1 </w:t>
      </w:r>
      <w:r>
        <w:t xml:space="preserve">Thông tư số 36/2025/TT-BKHCN ngày 26 tháng 11 năm 2025 của Bộ trưởng Bộ Khoa học và Công nghệ quy định khung về trình tự, thủ tục xây dựng, thẩm định, ban hành, quản lý, tổ chức thực hiện chương trình khoa học, công nghệ và đổi mới sáng tạo và quy đị</w:t>
      </w:r>
      <w:r>
        <w:t xml:space="preserve">nh về trình tự, thủ tục xét tài </w:t>
      </w:r>
      <w:r>
        <w:t xml:space="preserve">trợ, đặt hàng, ký hợp đồng, tổ chức thực hiện, chấm dứt thực hiện, thanh lý hợp đồng giao nhiệm vụ và đánh giá đối với nhiệm vụ khoa học, công nghệ và đổi mới sáng tạo</w:t>
      </w:r>
      <w:r/>
    </w:p>
    <w:p>
      <w:pPr>
        <w:pBdr/>
        <w:spacing w:before="120"/>
        <w:ind w:firstLine="720"/>
        <w:jc w:val="both"/>
        <w:rPr>
          <w:b/>
          <w:bCs/>
        </w:rPr>
      </w:pPr>
      <w:r>
        <w:rPr>
          <w:b/>
          <w:bCs/>
          <w:szCs w:val="16"/>
          <w:lang w:val="nl-NL"/>
        </w:rPr>
        <w:t xml:space="preserve">Điều 2. Đối tượng áp dụng</w:t>
      </w:r>
      <w:r>
        <w:rPr>
          <w:b/>
          <w:bCs/>
        </w:rPr>
      </w:r>
      <w:r>
        <w:rPr>
          <w:b/>
          <w:bCs/>
        </w:rPr>
      </w:r>
    </w:p>
    <w:p>
      <w:pPr>
        <w:pBdr/>
        <w:spacing w:before="120"/>
        <w:ind w:firstLine="720"/>
        <w:jc w:val="both"/>
        <w:rPr>
          <w:lang w:val="nl-NL"/>
        </w:rPr>
      </w:pPr>
      <w:r>
        <w:rPr>
          <w:lang w:val="nl-NL"/>
        </w:rPr>
        <w:t xml:space="preserve">Cơ quan, tổ chức, doanh nghiệp</w:t>
      </w:r>
      <w:r>
        <w:rPr>
          <w:lang w:val="nl-NL"/>
        </w:rPr>
        <w:t xml:space="preserve">, cá nhân có liên quan đến việc quản lý, triển khai thực hiện </w:t>
      </w:r>
      <w:r>
        <w:t xml:space="preserve">nhiệm vụ khoa học và công nghệ</w:t>
      </w:r>
      <w:r>
        <w:rPr>
          <w:lang w:val="nl-NL"/>
        </w:rPr>
        <w:t xml:space="preserve"> có sử dụng </w:t>
      </w:r>
      <w:r>
        <w:rPr>
          <w:bCs/>
          <w:szCs w:val="16"/>
          <w:lang w:val="nl-NL"/>
        </w:rPr>
        <w:t xml:space="preserve">ngân sách nhà nước</w:t>
      </w:r>
      <w:r>
        <w:rPr>
          <w:lang w:val="nl-NL"/>
        </w:rPr>
        <w:t xml:space="preserve"> trên địa bàn tỉnh Tây Ninh.</w:t>
      </w:r>
      <w:r>
        <w:rPr>
          <w:lang w:val="nl-NL"/>
        </w:rPr>
      </w:r>
      <w:r>
        <w:rPr>
          <w:lang w:val="nl-NL"/>
        </w:rPr>
      </w:r>
    </w:p>
    <w:p>
      <w:pPr>
        <w:pBdr/>
        <w:spacing w:before="120"/>
        <w:ind w:firstLine="720"/>
        <w:jc w:val="both"/>
        <w:rPr/>
      </w:pPr>
      <w:r>
        <w:rPr>
          <w:b/>
          <w:bCs/>
        </w:rPr>
        <w:t xml:space="preserve">Điều 3. </w:t>
      </w:r>
      <w:r>
        <w:rPr>
          <w:b/>
          <w:bCs/>
          <w:lang w:val="nl-NL"/>
        </w:rPr>
        <w:t xml:space="preserve">Phân cấp thẩm quyền quản lý </w:t>
      </w:r>
      <w:r>
        <w:rPr>
          <w:b/>
          <w:bCs/>
        </w:rPr>
        <w:t xml:space="preserve">nhiệm vụ khoa học, công nghệ và đổi mới sáng tạo </w:t>
      </w:r>
      <w:r>
        <w:rPr>
          <w:b/>
          <w:bCs/>
          <w:lang w:val="nl-NL"/>
        </w:rPr>
        <w:t xml:space="preserve">sử dụng </w:t>
      </w:r>
      <w:r>
        <w:rPr>
          <w:b/>
          <w:bCs/>
          <w:szCs w:val="16"/>
          <w:lang w:val="nl-NL"/>
        </w:rPr>
        <w:t xml:space="preserve">ngân sách nh</w:t>
      </w:r>
      <w:r>
        <w:rPr>
          <w:b/>
          <w:bCs/>
          <w:szCs w:val="16"/>
          <w:lang w:val="nl-NL"/>
        </w:rPr>
        <w:t xml:space="preserve">à nước</w:t>
      </w:r>
      <w:r>
        <w:rPr>
          <w:b/>
          <w:bCs/>
          <w:lang w:val="nl-NL"/>
        </w:rPr>
        <w:t xml:space="preserve"> trên địa bàn tỉnh Tây Ninh</w:t>
      </w:r>
      <w:bookmarkStart w:id="2" w:name="_Hlk219367681"/>
      <w:r/>
      <w:r/>
    </w:p>
    <w:p>
      <w:pPr>
        <w:pBdr/>
        <w:spacing w:before="120"/>
        <w:ind w:firstLine="720"/>
        <w:jc w:val="both"/>
        <w:rPr/>
      </w:pPr>
      <w:r>
        <w:rPr>
          <w:lang w:val="nl-NL"/>
        </w:rPr>
        <w:t xml:space="preserve">Phân cấp thẩm quyền cho Sở Khoa học và Công nghệ là cơ quan quản lý </w:t>
      </w:r>
      <w:r>
        <w:t xml:space="preserve">nhiệm vụ khoa học, công nghệ và đổi mới sáng tạo </w:t>
      </w:r>
      <w:r>
        <w:rPr>
          <w:lang w:val="nl-NL"/>
        </w:rPr>
        <w:t xml:space="preserve">sử dụng </w:t>
      </w:r>
      <w:r>
        <w:rPr>
          <w:szCs w:val="16"/>
          <w:lang w:val="nl-NL"/>
        </w:rPr>
        <w:t xml:space="preserve">ngân sách nhà nước</w:t>
      </w:r>
      <w:r>
        <w:rPr>
          <w:lang w:val="nl-NL"/>
        </w:rPr>
        <w:t xml:space="preserve"> trên địa bàn tỉnh Tây Ninh, cụ thể như sau:</w:t>
      </w:r>
      <w:r/>
    </w:p>
    <w:p>
      <w:pPr>
        <w:pBdr/>
        <w:spacing w:before="120"/>
        <w:ind w:firstLine="720"/>
        <w:jc w:val="both"/>
        <w:rPr>
          <w:spacing w:val="4"/>
        </w:rPr>
      </w:pPr>
      <w:r>
        <w:rPr>
          <w:spacing w:val="4"/>
          <w:lang w:val="vi-VN"/>
        </w:rPr>
        <w:t xml:space="preserve">1. </w:t>
      </w:r>
      <w:r>
        <w:rPr>
          <w:spacing w:val="4"/>
        </w:rPr>
        <w:t xml:space="preserve">Thông báo kế hoạch tài trợ, đặt</w:t>
      </w:r>
      <w:r>
        <w:rPr>
          <w:spacing w:val="4"/>
        </w:rPr>
        <w:t xml:space="preserve"> hàng nhiệm vụ khoa học, công nghệ và đổi mới sáng tạo </w:t>
      </w:r>
      <w:r>
        <w:t xml:space="preserve">được quy định tại </w:t>
      </w:r>
      <w:r>
        <w:rPr>
          <w:spacing w:val="4"/>
          <w:lang w:val="vi-VN"/>
        </w:rPr>
        <w:t xml:space="preserve">Điều 10 Nghị định số 267/2025/NĐ-CP. </w:t>
      </w:r>
      <w:r>
        <w:rPr>
          <w:spacing w:val="4"/>
        </w:rPr>
      </w:r>
      <w:r>
        <w:rPr>
          <w:spacing w:val="4"/>
        </w:rPr>
      </w:r>
    </w:p>
    <w:p>
      <w:pPr>
        <w:pBdr/>
        <w:spacing w:before="120"/>
        <w:ind w:firstLine="720"/>
        <w:jc w:val="both"/>
        <w:rPr>
          <w:spacing w:val="4"/>
        </w:rPr>
      </w:pPr>
      <w:r>
        <w:rPr>
          <w:spacing w:val="4"/>
        </w:rPr>
        <w:t xml:space="preserve">2</w:t>
      </w:r>
      <w:r>
        <w:rPr>
          <w:spacing w:val="4"/>
          <w:lang w:val="vi-VN"/>
        </w:rPr>
        <w:t xml:space="preserve">. </w:t>
      </w:r>
      <w:r>
        <w:rPr>
          <w:spacing w:val="4"/>
        </w:rPr>
        <w:t xml:space="preserve">X</w:t>
      </w:r>
      <w:r>
        <w:rPr>
          <w:spacing w:val="4"/>
          <w:lang w:val="vi-VN"/>
        </w:rPr>
        <w:t xml:space="preserve">ét tài trợ, đặt hàng, thẩm định kinh phí nhiệm vụ </w:t>
      </w:r>
      <w:r>
        <w:rPr>
          <w:spacing w:val="4"/>
        </w:rPr>
        <w:t xml:space="preserve">khoa học, công nghệ và đổi mới sáng tạo </w:t>
      </w:r>
      <w:r>
        <w:rPr>
          <w:spacing w:val="4"/>
          <w:lang w:val="vi-VN"/>
        </w:rPr>
        <w:t xml:space="preserve">được quy định tại Điều 12 Nghị định số 267/2025/NĐ-</w:t>
      </w:r>
      <w:r>
        <w:rPr>
          <w:spacing w:val="4"/>
          <w:lang w:val="vi-VN"/>
        </w:rPr>
        <w:t xml:space="preserve">CP</w:t>
      </w:r>
      <w:bookmarkStart w:id="3" w:name="dieu_5"/>
      <w:r>
        <w:rPr>
          <w:spacing w:val="4"/>
        </w:rPr>
        <w:t xml:space="preserve">; khoản 1, </w:t>
      </w:r>
      <w:r>
        <w:rPr>
          <w:spacing w:val="4"/>
        </w:rPr>
        <w:t xml:space="preserve">3, điểm a khoản 4 Điều 5 Thông tư số 36/2025/TT-BKHCN.</w:t>
      </w:r>
      <w:bookmarkEnd w:id="3"/>
      <w:r>
        <w:rPr>
          <w:spacing w:val="4"/>
        </w:rPr>
      </w:r>
      <w:r>
        <w:rPr>
          <w:spacing w:val="4"/>
        </w:rPr>
      </w:r>
    </w:p>
    <w:p>
      <w:pPr>
        <w:pBdr/>
        <w:spacing w:before="120"/>
        <w:ind w:firstLine="720"/>
        <w:jc w:val="both"/>
        <w:rPr>
          <w:spacing w:val="4"/>
        </w:rPr>
      </w:pPr>
      <w:r>
        <w:rPr>
          <w:spacing w:val="4"/>
        </w:rPr>
        <w:t xml:space="preserve">3</w:t>
      </w:r>
      <w:r>
        <w:rPr>
          <w:spacing w:val="4"/>
          <w:lang w:val="vi-VN"/>
        </w:rPr>
        <w:t xml:space="preserve">. Phê duyệt nhiệm vụ </w:t>
      </w:r>
      <w:r>
        <w:rPr>
          <w:spacing w:val="4"/>
        </w:rPr>
        <w:t xml:space="preserve">khoa học, công nghệ và đổi mới sáng tạo </w:t>
      </w:r>
      <w:r>
        <w:rPr>
          <w:spacing w:val="4"/>
          <w:lang w:val="vi-VN"/>
        </w:rPr>
        <w:t xml:space="preserve">được quy định tại Điều 13 Nghị định số 267/2025/NĐ-CP</w:t>
      </w:r>
      <w:r>
        <w:rPr>
          <w:spacing w:val="4"/>
        </w:rPr>
        <w:t xml:space="preserve">; điểm b khoản 4 Điều 5 Thông tư số 36/2025/TT-BKHCN.</w:t>
      </w:r>
      <w:r>
        <w:rPr>
          <w:spacing w:val="4"/>
        </w:rPr>
      </w:r>
      <w:r>
        <w:rPr>
          <w:spacing w:val="4"/>
        </w:rPr>
      </w:r>
    </w:p>
    <w:p>
      <w:pPr>
        <w:pBdr/>
        <w:spacing w:before="120"/>
        <w:ind w:firstLine="720"/>
        <w:jc w:val="both"/>
        <w:rPr>
          <w:b/>
          <w:bCs/>
        </w:rPr>
      </w:pPr>
      <w:r>
        <w:rPr>
          <w:spacing w:val="4"/>
        </w:rPr>
        <w:t xml:space="preserve">4</w:t>
      </w:r>
      <w:r>
        <w:rPr>
          <w:spacing w:val="4"/>
          <w:lang w:val="vi-VN"/>
        </w:rPr>
        <w:t xml:space="preserve">. Hủy kết quả xét tài trợ, đặt hàng nhiệm vụ, cụm nhiệm vụ, chuỗi nhiệm vụ khoa học, công nghệ và đổi mới sáng tạo được quy định tại Điều 14 Nghị định số 267/2025/NĐ-CP.</w:t>
      </w:r>
      <w:r>
        <w:rPr>
          <w:b/>
          <w:bCs/>
        </w:rPr>
      </w:r>
      <w:r>
        <w:rPr>
          <w:b/>
          <w:bCs/>
        </w:rPr>
      </w:r>
    </w:p>
    <w:p>
      <w:pPr>
        <w:pBdr/>
        <w:spacing w:before="120"/>
        <w:ind w:firstLine="720"/>
        <w:jc w:val="both"/>
        <w:rPr>
          <w:b/>
          <w:bCs/>
        </w:rPr>
      </w:pPr>
      <w:r>
        <w:rPr>
          <w:spacing w:val="4"/>
        </w:rPr>
        <w:t xml:space="preserve">5</w:t>
      </w:r>
      <w:r>
        <w:rPr>
          <w:spacing w:val="4"/>
          <w:lang w:val="vi-VN"/>
        </w:rPr>
        <w:t xml:space="preserve">. Ký hợp đồng giao nhiệm vụ được quy định tại Điều 15 Nghị định số 267/2025/NĐ-CP</w:t>
      </w:r>
      <w:r>
        <w:rPr>
          <w:spacing w:val="4"/>
        </w:rPr>
        <w:t xml:space="preserve">; đi</w:t>
      </w:r>
      <w:r>
        <w:rPr>
          <w:spacing w:val="4"/>
        </w:rPr>
        <w:t xml:space="preserve">ểm c khoản 4 Điều 5 Thông tư số 36/2025/TT-BKHCN.</w:t>
      </w:r>
      <w:r>
        <w:rPr>
          <w:b/>
          <w:bCs/>
        </w:rPr>
      </w:r>
      <w:r>
        <w:rPr>
          <w:b/>
          <w:bCs/>
        </w:rPr>
      </w:r>
    </w:p>
    <w:p>
      <w:pPr>
        <w:pBdr/>
        <w:spacing w:before="120"/>
        <w:ind w:firstLine="720"/>
        <w:jc w:val="both"/>
        <w:rPr>
          <w:spacing w:val="4"/>
        </w:rPr>
      </w:pPr>
      <w:r>
        <w:rPr>
          <w:spacing w:val="4"/>
        </w:rPr>
        <w:t xml:space="preserve">6</w:t>
      </w:r>
      <w:r>
        <w:rPr>
          <w:spacing w:val="4"/>
          <w:lang w:val="vi-VN"/>
        </w:rPr>
        <w:t xml:space="preserve">. Đánh giá trong kỳ, cấp tiếp kinh phí, điều chỉnh hợp đồng giao nhiệm vụ và chấm dứt thực hiện nhiệm vụ được quy định tại Điều 16 Nghị định số 267/2025/NĐ-CP</w:t>
      </w:r>
      <w:r>
        <w:rPr>
          <w:spacing w:val="4"/>
        </w:rPr>
        <w:t xml:space="preserve">; khoản 1, 2, 4 Điều 6 Thông tư số 36/2025/TT-B</w:t>
      </w:r>
      <w:r>
        <w:rPr>
          <w:spacing w:val="4"/>
        </w:rPr>
        <w:t xml:space="preserve">KHCN.</w:t>
      </w:r>
      <w:r>
        <w:rPr>
          <w:spacing w:val="4"/>
        </w:rPr>
      </w:r>
      <w:r>
        <w:rPr>
          <w:spacing w:val="4"/>
        </w:rPr>
      </w:r>
    </w:p>
    <w:p>
      <w:pPr>
        <w:pBdr/>
        <w:spacing w:before="120"/>
        <w:ind w:firstLine="720"/>
        <w:jc w:val="both"/>
        <w:rPr>
          <w:spacing w:val="4"/>
        </w:rPr>
      </w:pPr>
      <w:r>
        <w:rPr>
          <w:spacing w:val="4"/>
        </w:rPr>
        <w:t xml:space="preserve">7</w:t>
      </w:r>
      <w:r>
        <w:rPr>
          <w:spacing w:val="4"/>
          <w:lang w:val="vi-VN"/>
        </w:rPr>
        <w:t xml:space="preserve">. Đánh giá cuối kỳ, đánh giá hiệu quả đầu ra của nhiệm vụ khoa học, công nghệ và đổi mới sáng tạo được quy định tại</w:t>
      </w:r>
      <w:r>
        <w:rPr>
          <w:spacing w:val="4"/>
        </w:rPr>
        <w:t xml:space="preserve"> </w:t>
      </w:r>
      <w:r>
        <w:rPr>
          <w:spacing w:val="4"/>
          <w:lang w:val="vi-VN"/>
        </w:rPr>
        <w:t xml:space="preserve">Điều 17 Nghị định số 267/2025/NĐ-CP</w:t>
      </w:r>
      <w:r>
        <w:rPr>
          <w:spacing w:val="4"/>
        </w:rPr>
        <w:t xml:space="preserve">; khoản 3 Điều 6 Thông tư số 36/2025/TT-BKHCN.</w:t>
      </w:r>
      <w:r>
        <w:rPr>
          <w:spacing w:val="4"/>
        </w:rPr>
      </w:r>
      <w:r>
        <w:rPr>
          <w:spacing w:val="4"/>
        </w:rPr>
      </w:r>
    </w:p>
    <w:p>
      <w:pPr>
        <w:pBdr/>
        <w:spacing w:before="120"/>
        <w:ind w:firstLine="720"/>
        <w:jc w:val="both"/>
        <w:rPr>
          <w:b/>
          <w:bCs/>
        </w:rPr>
      </w:pPr>
      <w:r>
        <w:rPr>
          <w:spacing w:val="4"/>
        </w:rPr>
        <w:t xml:space="preserve">8</w:t>
      </w:r>
      <w:r>
        <w:rPr>
          <w:spacing w:val="4"/>
          <w:lang w:val="vi-VN"/>
        </w:rPr>
        <w:t xml:space="preserve">. Đánh giá tác động của kết quả thực hiện nhiệm vụ</w:t>
      </w:r>
      <w:r>
        <w:rPr>
          <w:spacing w:val="4"/>
          <w:lang w:val="vi-VN"/>
        </w:rPr>
        <w:t xml:space="preserve"> phát triển công nghệ, đổi mới sáng tạo được quy định tại Điều 18 Nghị định số 267/2025/NĐ-CP.</w:t>
      </w:r>
      <w:r>
        <w:rPr>
          <w:b/>
          <w:bCs/>
        </w:rPr>
      </w:r>
      <w:r>
        <w:rPr>
          <w:b/>
          <w:bCs/>
        </w:rPr>
      </w:r>
    </w:p>
    <w:p>
      <w:pPr>
        <w:pBdr/>
        <w:spacing w:before="120"/>
        <w:ind w:firstLine="720"/>
        <w:jc w:val="both"/>
        <w:rPr>
          <w:spacing w:val="4"/>
        </w:rPr>
      </w:pPr>
      <w:r>
        <w:rPr>
          <w:spacing w:val="-2"/>
        </w:rPr>
        <w:t xml:space="preserve">9</w:t>
      </w:r>
      <w:r>
        <w:rPr>
          <w:spacing w:val="-2"/>
          <w:lang w:val="vi-VN"/>
        </w:rPr>
        <w:t xml:space="preserve">. Quyết định chấm dứt thực hiện nhiệm vụ và thanh lý hợp đồng giao nhiệm</w:t>
      </w:r>
      <w:r>
        <w:rPr>
          <w:lang w:val="vi-VN"/>
        </w:rPr>
        <w:t xml:space="preserve"> vụ </w:t>
      </w:r>
      <w:r>
        <w:rPr>
          <w:spacing w:val="4"/>
          <w:lang w:val="vi-VN"/>
        </w:rPr>
        <w:t xml:space="preserve">được</w:t>
      </w:r>
      <w:r>
        <w:rPr>
          <w:lang w:val="vi-VN"/>
        </w:rPr>
        <w:t xml:space="preserve"> quy định tại Điều 19 Nghị định số 267/2025/NĐ-CP</w:t>
      </w:r>
      <w:r>
        <w:t xml:space="preserve">; </w:t>
      </w:r>
      <w:r>
        <w:rPr>
          <w:spacing w:val="4"/>
        </w:rPr>
        <w:t xml:space="preserve">khoản 4, 5 Điều 6 Thông tư số</w:t>
      </w:r>
      <w:r>
        <w:rPr>
          <w:spacing w:val="4"/>
        </w:rPr>
        <w:t xml:space="preserve"> 36/2025/TT-BKHCN.</w:t>
      </w:r>
      <w:r>
        <w:rPr>
          <w:spacing w:val="4"/>
        </w:rPr>
      </w:r>
      <w:r>
        <w:rPr>
          <w:spacing w:val="4"/>
        </w:rPr>
      </w:r>
    </w:p>
    <w:p>
      <w:pPr>
        <w:pBdr/>
        <w:spacing w:before="120"/>
        <w:ind w:firstLine="720"/>
        <w:jc w:val="both"/>
        <w:rPr>
          <w:b/>
          <w:bCs/>
        </w:rPr>
      </w:pPr>
      <w:r>
        <w:rPr>
          <w:spacing w:val="4"/>
          <w:lang w:val="vi-VN"/>
        </w:rPr>
        <w:t xml:space="preserve">1</w:t>
      </w:r>
      <w:r>
        <w:rPr>
          <w:spacing w:val="4"/>
        </w:rPr>
        <w:t xml:space="preserve">0</w:t>
      </w:r>
      <w:r>
        <w:rPr>
          <w:spacing w:val="4"/>
          <w:lang w:val="vi-VN"/>
        </w:rPr>
        <w:t xml:space="preserve">. Tổ chức, quản lý, thực hiện nhiệm vụ khoa học, công nghệ và đổi mới sáng tạo thuộc danh mục bí mật nhà nước, có nội dung bí mật nhà nước được quy định tại Điều 20 Nghị định số 267/2025/NĐ-CP.</w:t>
      </w:r>
      <w:r>
        <w:rPr>
          <w:b/>
          <w:bCs/>
        </w:rPr>
      </w:r>
      <w:r>
        <w:rPr>
          <w:b/>
          <w:bCs/>
        </w:rPr>
      </w:r>
    </w:p>
    <w:p>
      <w:pPr>
        <w:pBdr/>
        <w:spacing w:before="120"/>
        <w:ind w:firstLine="720"/>
        <w:jc w:val="both"/>
        <w:rPr>
          <w:b/>
          <w:bCs/>
        </w:rPr>
      </w:pPr>
      <w:r>
        <w:rPr>
          <w:spacing w:val="4"/>
          <w:lang w:val="vi-VN"/>
        </w:rPr>
        <w:t xml:space="preserve">1</w:t>
      </w:r>
      <w:r>
        <w:rPr>
          <w:spacing w:val="4"/>
        </w:rPr>
        <w:t xml:space="preserve">1</w:t>
      </w:r>
      <w:r>
        <w:rPr>
          <w:spacing w:val="4"/>
          <w:lang w:val="vi-VN"/>
        </w:rPr>
        <w:t xml:space="preserve">. Quản lý, sử dụng, quyền sở hữu kết quả của nhiệm vụ khoa học, công nghệ và đổi mới sáng tạo sử dụng ngân sách nhà nước được quy định tại Điều 32 Nghị định số 267/2025/NĐ-CP.</w:t>
      </w:r>
      <w:r>
        <w:rPr>
          <w:b/>
          <w:bCs/>
        </w:rPr>
      </w:r>
      <w:r>
        <w:rPr>
          <w:b/>
          <w:bCs/>
        </w:rPr>
      </w:r>
    </w:p>
    <w:p>
      <w:pPr>
        <w:pBdr/>
        <w:spacing w:before="120"/>
        <w:ind w:firstLine="720"/>
        <w:jc w:val="both"/>
        <w:rPr>
          <w:b/>
          <w:bCs/>
        </w:rPr>
      </w:pPr>
      <w:r>
        <w:rPr>
          <w:spacing w:val="4"/>
          <w:lang w:val="vi-VN"/>
        </w:rPr>
        <w:t xml:space="preserve">1</w:t>
      </w:r>
      <w:r>
        <w:rPr>
          <w:spacing w:val="4"/>
        </w:rPr>
        <w:t xml:space="preserve">2</w:t>
      </w:r>
      <w:r>
        <w:rPr>
          <w:spacing w:val="4"/>
          <w:lang w:val="vi-VN"/>
        </w:rPr>
        <w:t xml:space="preserve">. Quản trị rủi ro trong việc xét tài trợ, đặt hàng nhiệm vụ khoa học, công ngh</w:t>
      </w:r>
      <w:r>
        <w:rPr>
          <w:spacing w:val="4"/>
          <w:lang w:val="vi-VN"/>
        </w:rPr>
        <w:t xml:space="preserve">ệ và đổi mới sáng tạo sử dụng ngân sách nhà nước được quy định tại Điều 39 Nghị định số 267/2025/NĐ-CP.</w:t>
      </w:r>
      <w:bookmarkEnd w:id="2"/>
      <w:r>
        <w:rPr>
          <w:b/>
          <w:bCs/>
        </w:rPr>
      </w:r>
      <w:r>
        <w:rPr>
          <w:b/>
          <w:bCs/>
        </w:rPr>
      </w:r>
    </w:p>
    <w:p>
      <w:pPr>
        <w:pBdr/>
        <w:shd w:val="clear" w:color="auto" w:fill="ffffff"/>
        <w:spacing w:before="120" w:line="288" w:lineRule="auto"/>
        <w:ind w:firstLine="720"/>
        <w:jc w:val="both"/>
        <w:rPr>
          <w:b/>
          <w:bCs/>
          <w:lang w:val="nl-NL"/>
        </w:rPr>
      </w:pPr>
      <w:r>
        <w:rPr>
          <w:b/>
          <w:bCs/>
          <w:lang w:val="nl-NL"/>
        </w:rPr>
        <w:t xml:space="preserve">Điều 4. Trách nhiệm thi hành</w:t>
      </w:r>
      <w:r>
        <w:rPr>
          <w:b/>
          <w:bCs/>
          <w:lang w:val="nl-NL"/>
        </w:rPr>
      </w:r>
      <w:r>
        <w:rPr>
          <w:b/>
          <w:bCs/>
          <w:lang w:val="nl-NL"/>
        </w:rPr>
      </w:r>
    </w:p>
    <w:p>
      <w:pPr>
        <w:pStyle w:val="997"/>
        <w:pBdr/>
        <w:shd w:val="clear" w:color="auto" w:fill="ffffff"/>
        <w:spacing w:after="120" w:afterAutospacing="0" w:before="120" w:beforeAutospacing="0" w:line="234" w:lineRule="atLeast"/>
        <w:ind w:firstLine="720"/>
        <w:jc w:val="both"/>
        <w:rPr>
          <w:sz w:val="28"/>
          <w:szCs w:val="28"/>
        </w:rPr>
      </w:pPr>
      <w:r>
        <w:rPr>
          <w:sz w:val="28"/>
          <w:szCs w:val="28"/>
          <w:lang w:val="en-US"/>
        </w:rPr>
        <w:t xml:space="preserve">1</w:t>
      </w:r>
      <w:r>
        <w:rPr>
          <w:sz w:val="28"/>
          <w:szCs w:val="28"/>
        </w:rPr>
        <w:t xml:space="preserve">. Sở Khoa học và Công nghệ chủ trì đôn đốc, hướng dẫn, kiểm tra việc thực hiện Quyết định này; tổng hợp, báo cáo Ủy ban nh</w:t>
      </w:r>
      <w:r>
        <w:rPr>
          <w:sz w:val="28"/>
          <w:szCs w:val="28"/>
        </w:rPr>
        <w:t xml:space="preserve">ân dân tỉnh về tình hình, kết quả triển khai thực hiện; kịp thời xem xét, tổng hợp các tình huống phát sinh, khó khăn vướng mắc (nếu có); chủ động nghiên cứu, đề xuất, tham mưu cho Ủy ban nhân dân tỉnh giải quyết những nội dung phát sinh theo thẩm quyền qu</w:t>
      </w:r>
      <w:r>
        <w:rPr>
          <w:sz w:val="28"/>
          <w:szCs w:val="28"/>
        </w:rPr>
        <w:t xml:space="preserve">y định.</w:t>
      </w:r>
      <w:r>
        <w:rPr>
          <w:sz w:val="28"/>
          <w:szCs w:val="28"/>
        </w:rPr>
      </w:r>
      <w:r>
        <w:rPr>
          <w:sz w:val="28"/>
          <w:szCs w:val="28"/>
        </w:rPr>
      </w:r>
    </w:p>
    <w:p>
      <w:pPr>
        <w:pBdr/>
        <w:spacing w:before="120"/>
        <w:ind w:firstLine="720"/>
        <w:jc w:val="both"/>
        <w:rPr/>
      </w:pPr>
      <w:r>
        <w:t xml:space="preserve">2. Các Sở, ban, ngành tỉnh; Ủy ban nhân dân xã, phường có trách nhiệm đề xuất đặt hàng, phối hợp, cung cấp thông tin, tham gia triển khai nhiệm vụ theo yêu cầu của cơ quan quản lý nhiệm vụ; </w:t>
      </w:r>
      <w:r>
        <w:rPr>
          <w:shd w:val="clear" w:color="auto" w:fill="ffffff"/>
        </w:rPr>
        <w:t xml:space="preserve">t</w:t>
      </w:r>
      <w:r>
        <w:rPr>
          <w:shd w:val="clear" w:color="auto" w:fill="ffffff"/>
        </w:rPr>
        <w:t xml:space="preserve">iếp nhận, tổ chức ứng dụng, bố trí kinh phí, báo cáo đánh</w:t>
      </w:r>
      <w:r>
        <w:rPr>
          <w:shd w:val="clear" w:color="auto" w:fill="ffffff"/>
        </w:rPr>
        <w:t xml:space="preserve"> giá hiệu quả ứng dụng kết quả thực hiện nhiệm vụ khoa học và công nghệ đặt hàng thuộc lĩnh vực ngành quản lý sau khi được đánh giá, nghiệm thu và bàn giao.</w:t>
      </w:r>
      <w:r/>
    </w:p>
    <w:p>
      <w:pPr>
        <w:pBdr/>
        <w:spacing w:before="120"/>
        <w:ind w:firstLine="720"/>
        <w:jc w:val="both"/>
        <w:rPr>
          <w:bCs/>
          <w:lang w:val="nl-NL"/>
        </w:rPr>
      </w:pPr>
      <w:r>
        <w:rPr>
          <w:bCs/>
          <w:lang w:val="nl-NL"/>
        </w:rPr>
        <w:t xml:space="preserve">3</w:t>
      </w:r>
      <w:r>
        <w:rPr>
          <w:shd w:val="clear" w:color="auto" w:fill="ffffff"/>
        </w:rPr>
        <w:t xml:space="preserve">. Trong quá trình thực hiện nếu có khó khăn vướng mắc, các cơ quan, đơn vị và các tổ chức, cá nhân</w:t>
      </w:r>
      <w:r>
        <w:rPr>
          <w:shd w:val="clear" w:color="auto" w:fill="ffffff"/>
        </w:rPr>
        <w:t xml:space="preserve"> có liên quan kịp thời báo cáo, đề xuất với Sở Khoa học và Công nghệ để tổng hợp báo cáo Ủy ban nhân dân tỉnh xem xét, quyết định.</w:t>
      </w:r>
      <w:r>
        <w:rPr>
          <w:bCs/>
          <w:lang w:val="nl-NL"/>
        </w:rPr>
      </w:r>
      <w:r>
        <w:rPr>
          <w:bCs/>
          <w:lang w:val="nl-NL"/>
        </w:rPr>
      </w:r>
    </w:p>
    <w:p>
      <w:pPr>
        <w:pBdr/>
        <w:spacing w:before="120"/>
        <w:ind w:firstLine="720"/>
        <w:jc w:val="both"/>
        <w:rPr>
          <w:b/>
          <w:bCs/>
          <w:lang w:val="nl-NL"/>
        </w:rPr>
      </w:pPr>
      <w:r>
        <w:rPr>
          <w:b/>
          <w:bCs/>
        </w:rPr>
        <w:t xml:space="preserve">Điều 5. Điều khoản thi hành</w:t>
      </w:r>
      <w:r>
        <w:rPr>
          <w:b/>
          <w:bCs/>
          <w:lang w:val="nl-NL"/>
        </w:rPr>
      </w:r>
      <w:r>
        <w:rPr>
          <w:b/>
          <w:bCs/>
          <w:lang w:val="nl-NL"/>
        </w:rPr>
      </w:r>
    </w:p>
    <w:p>
      <w:pPr>
        <w:pBdr/>
        <w:spacing w:before="120"/>
        <w:ind w:firstLine="720"/>
        <w:jc w:val="both"/>
        <w:rPr>
          <w:color w:val="000000" w:themeColor="text1"/>
        </w:rPr>
      </w:pPr>
      <w:r>
        <w:rPr>
          <w:bCs/>
          <w:color w:val="ff0000"/>
          <w:lang w:val="nl-NL"/>
        </w:rPr>
        <w:t xml:space="preserve">1. Quyết đinh có hiệu lực thi hành kể từ ngày </w:t>
      </w:r>
      <w:r>
        <w:rPr>
          <w:bCs/>
          <w:color w:val="ff0000"/>
          <w:lang w:val="nl-NL"/>
        </w:rPr>
        <w:t xml:space="preserve">2</w:t>
      </w:r>
      <w:r>
        <w:rPr>
          <w:bCs/>
          <w:color w:val="ff0000"/>
          <w:lang w:val="nl-NL"/>
        </w:rPr>
        <w:t xml:space="preserve">5 tháng 5 năm 2026 </w:t>
      </w:r>
      <w:r>
        <w:rPr>
          <w:bCs/>
          <w:color w:val="000000" w:themeColor="text1"/>
          <w:lang w:val="nl-NL"/>
        </w:rPr>
        <w:t xml:space="preserve">và thay thế các Quyết định của UBND tỉnh: </w:t>
      </w:r>
      <w:r>
        <w:rPr>
          <w:color w:val="000000" w:themeColor="text1"/>
        </w:rPr>
        <w:t xml:space="preserve">Số 2188/QĐ-UBND ngày 11 tháng 8 tháng 2025 của UBND tỉnh Tây Ninh về việc ủy quyền thực hiện các nội dung thuộc thẩm quyền của Chủ tịch Ủy ban nhân </w:t>
      </w:r>
      <w:r>
        <w:rPr>
          <w:color w:val="000000" w:themeColor="text1"/>
        </w:rPr>
        <w:t xml:space="preserve">dân tỉnh trong quản lý nhiệm vụ khoa học và công nghệ cấp tỉnh sử dụng ngân sách Nhà nước trên địa bàn tỉnh Tây Ninh; số 2192/QĐ-UBND ngày 11 tháng 8 năm 2025 của UBND tỉnh Tây Ninh về việc ủy quyền thực hiện các nội dung thuộc thẩm quyền của Ủy ban nhân d</w:t>
      </w:r>
      <w:r>
        <w:rPr>
          <w:color w:val="000000" w:themeColor="text1"/>
        </w:rPr>
        <w:t xml:space="preserve">ân tỉnh trong quản lý nhiệm vụ khoa học và công nghệ cấp tỉnh sử dụng ngân sách Nhà nước trên địa bàn tỉnh Tây Ninh; số 5575/QĐ-UBND ngày 01 tháng 10 tháng 2025 của UBND tỉnh Tây Ninh về việc ủy quyền quản lý nhiệm vụ khoa học và công nghệ cấp cơ sở sử dụn</w:t>
      </w:r>
      <w:r>
        <w:rPr>
          <w:color w:val="000000" w:themeColor="text1"/>
        </w:rPr>
        <w:t xml:space="preserve">g ngân sách Nhà nước trên địa bàn tỉnh Tây Ninh.</w:t>
      </w:r>
      <w:r>
        <w:rPr>
          <w:color w:val="000000" w:themeColor="text1"/>
        </w:rPr>
      </w:r>
      <w:r>
        <w:rPr>
          <w:color w:val="000000" w:themeColor="text1"/>
        </w:rPr>
      </w:r>
    </w:p>
    <w:p>
      <w:pPr>
        <w:pBdr/>
        <w:spacing w:before="120"/>
        <w:ind w:firstLine="720"/>
        <w:jc w:val="both"/>
        <w:rPr>
          <w:bCs/>
          <w:color w:val="000000" w:themeColor="text1"/>
        </w:rPr>
      </w:pPr>
      <w:r>
        <w:rPr>
          <w:bCs/>
          <w:color w:val="000000" w:themeColor="text1"/>
          <w:lang w:val="nl-NL"/>
        </w:rPr>
        <w:t xml:space="preserve">Trường hợp các văn bản quy phạm pháp luật viện dẫn trong Quyết định này được sửa đổi, bổ sung hoặc thay thế thì áp dụng theo các văn bản sửa đổi, bổ sung hoặc thay thế.</w:t>
      </w:r>
      <w:r>
        <w:rPr>
          <w:bCs/>
          <w:color w:val="000000" w:themeColor="text1"/>
        </w:rPr>
      </w:r>
      <w:r>
        <w:rPr>
          <w:bCs/>
          <w:color w:val="000000" w:themeColor="text1"/>
        </w:rPr>
      </w:r>
    </w:p>
    <w:p>
      <w:pPr>
        <w:pBdr/>
        <w:spacing w:before="120"/>
        <w:ind w:firstLine="720"/>
        <w:jc w:val="both"/>
        <w:rPr>
          <w:color w:val="000000" w:themeColor="text1"/>
        </w:rPr>
      </w:pPr>
      <w:r>
        <w:rPr>
          <w:bCs/>
          <w:color w:val="000000" w:themeColor="text1"/>
          <w:lang w:val="nl-NL"/>
        </w:rPr>
        <w:t xml:space="preserve">2. </w:t>
      </w:r>
      <w:r>
        <w:rPr>
          <w:color w:val="000000" w:themeColor="text1"/>
        </w:rPr>
        <w:t xml:space="preserve">Đối với đề xuất nhiệm vụ khoa học v</w:t>
      </w:r>
      <w:r>
        <w:rPr>
          <w:color w:val="000000" w:themeColor="text1"/>
        </w:rPr>
        <w:t xml:space="preserve">à công nghệ; đề xuất đặt hàng nhiệm vụ khoa học và công nghệ đã nộp cho cơ quan nhà nước có thẩm quyền nhưng đến ngày 01 tháng 10 năm 2025 chưa được cơ quan nhà nước có thẩm quyền phê duyệt giao tổ chức chủ trì thực hiện và đối với nhiệm vụ khoa học và côn</w:t>
      </w:r>
      <w:r>
        <w:rPr>
          <w:color w:val="000000" w:themeColor="text1"/>
        </w:rPr>
        <w:t xml:space="preserve">g nghệ đã được cơ quan có thẩm quyền phê duyệt giao tổ chức chủ trì thực hiện nhiệm vụ trước ngày 01 tháng 10 năm 2025 thì thẩm quyền quản lý tiếp tục thực hiện theo Quyết định số 2188/QĐ-UBND ngày 11 tháng 8 năm 2025; Quyết định số 2192/QĐ-UBND ngày 11 th</w:t>
      </w:r>
      <w:r>
        <w:rPr>
          <w:color w:val="000000" w:themeColor="text1"/>
        </w:rPr>
        <w:t xml:space="preserve">áng 8 năm 2025; Quyết định số 5575/QĐ-UBND ngày 01 tháng 10 năm 2025.</w:t>
      </w:r>
      <w:r>
        <w:rPr>
          <w:color w:val="000000" w:themeColor="text1"/>
        </w:rPr>
      </w:r>
      <w:r>
        <w:rPr>
          <w:color w:val="000000" w:themeColor="text1"/>
        </w:rPr>
      </w:r>
    </w:p>
    <w:p>
      <w:pPr>
        <w:pBdr/>
        <w:spacing w:before="120"/>
        <w:ind w:firstLine="720"/>
        <w:jc w:val="both"/>
        <w:rPr>
          <w:b/>
          <w:bCs/>
          <w:spacing w:val="-8"/>
          <w:lang w:val="nl-NL"/>
        </w:rPr>
      </w:pPr>
      <w:r>
        <w:rPr>
          <w:b/>
          <w:bCs/>
          <w:spacing w:val="-8"/>
          <w:lang w:val="nl-NL"/>
        </w:rPr>
        <w:t xml:space="preserve">Điều 6. Tổ chức thực hiện</w:t>
      </w:r>
      <w:r>
        <w:rPr>
          <w:b/>
          <w:bCs/>
          <w:spacing w:val="-8"/>
          <w:lang w:val="nl-NL"/>
        </w:rPr>
      </w:r>
      <w:r>
        <w:rPr>
          <w:b/>
          <w:bCs/>
          <w:spacing w:val="-8"/>
          <w:lang w:val="nl-NL"/>
        </w:rPr>
      </w:r>
    </w:p>
    <w:p>
      <w:pPr>
        <w:suppressLineNumbers w:val="false"/>
        <w:pBdr/>
        <w:spacing w:before="120"/>
        <w:ind w:firstLine="720"/>
        <w:contextualSpacing w:val="false"/>
        <w:jc w:val="both"/>
        <w:rPr>
          <w:color w:val="000000" w:themeColor="text1"/>
          <w:spacing w:val="6"/>
        </w:rPr>
      </w:pPr>
      <w:r>
        <w:rPr>
          <w:bCs/>
          <w:spacing w:val="6"/>
          <w:lang w:val="nl-NL"/>
        </w:rPr>
        <w:t xml:space="preserve">Chánh Văn phòng Ủy ban nhân dân tỉnh; Giám đốc Sở Khoa học và Công nghệ; Thủ trưởng các Sở, ngành tỉnh; Chủ tịch UBND các xã, phường và các cơ quan, đơn v</w:t>
      </w:r>
      <w:r>
        <w:rPr>
          <w:bCs/>
          <w:spacing w:val="6"/>
          <w:lang w:val="nl-NL"/>
        </w:rPr>
        <w:t xml:space="preserve">ị, tổ chức, cá nhân có liên quan chịu trách nhiệm thi hành Quyết định này./. </w:t>
      </w:r>
      <w:r>
        <w:rPr>
          <w:color w:val="000000" w:themeColor="text1"/>
          <w:spacing w:val="6"/>
        </w:rPr>
      </w:r>
      <w:r>
        <w:rPr>
          <w:color w:val="000000" w:themeColor="text1"/>
          <w:spacing w:val="6"/>
        </w:rPr>
      </w:r>
    </w:p>
    <w:p>
      <w:pPr>
        <w:pBdr/>
        <w:spacing w:before="120"/>
        <w:ind w:firstLine="720"/>
        <w:jc w:val="both"/>
        <w:rPr>
          <w:b/>
          <w:bCs/>
          <w:spacing w:val="-8"/>
          <w:lang w:val="nl-NL"/>
        </w:rPr>
      </w:pPr>
      <w:r>
        <w:rPr>
          <w:b/>
          <w:bCs/>
          <w:spacing w:val="-8"/>
          <w:lang w:val="nl-NL"/>
        </w:rPr>
      </w:r>
      <w:r>
        <w:rPr>
          <w:b/>
          <w:bCs/>
          <w:spacing w:val="-8"/>
          <w:lang w:val="nl-NL"/>
        </w:rPr>
      </w:r>
      <w:r>
        <w:rPr>
          <w:b/>
          <w:bCs/>
          <w:spacing w:val="-8"/>
          <w:lang w:val="nl-NL"/>
        </w:rPr>
      </w:r>
    </w:p>
    <w:tbl>
      <w:tblPr>
        <w:tblW w:w="9180" w:type="dxa"/>
        <w:tblBorders/>
        <w:tblLayout w:type="fixed"/>
        <w:tblLook w:val="01E0" w:firstRow="1" w:lastRow="1" w:firstColumn="1" w:lastColumn="1" w:noHBand="0" w:noVBand="0"/>
      </w:tblPr>
      <w:tblGrid>
        <w:gridCol w:w="5103"/>
        <w:gridCol w:w="4077"/>
      </w:tblGrid>
      <w:tr>
        <w:trPr/>
        <w:tc>
          <w:tcPr>
            <w:tcBorders/>
            <w:tcW w:w="5103" w:type="dxa"/>
            <w:textDirection w:val="lrTb"/>
            <w:noWrap w:val="false"/>
          </w:tcPr>
          <w:p>
            <w:pPr>
              <w:pBdr/>
              <w:spacing/>
              <w:ind/>
              <w:jc w:val="both"/>
              <w:rPr>
                <w:b/>
                <w:i/>
                <w:sz w:val="24"/>
                <w:szCs w:val="24"/>
                <w:lang w:val="nl-NL"/>
              </w:rPr>
            </w:pPr>
            <w:r>
              <w:rPr>
                <w:b/>
                <w:i/>
                <w:sz w:val="24"/>
                <w:szCs w:val="24"/>
                <w:lang w:val="nl-NL"/>
              </w:rPr>
              <w:t xml:space="preserve">Nơi nhận:</w:t>
            </w:r>
            <w:r>
              <w:rPr>
                <w:b/>
                <w:i/>
                <w:sz w:val="24"/>
                <w:szCs w:val="24"/>
                <w:lang w:val="nl-NL"/>
              </w:rPr>
            </w:r>
            <w:r>
              <w:rPr>
                <w:b/>
                <w:i/>
                <w:sz w:val="24"/>
                <w:szCs w:val="24"/>
                <w:lang w:val="nl-NL"/>
              </w:rPr>
            </w:r>
          </w:p>
          <w:p>
            <w:pPr>
              <w:pStyle w:val="995"/>
              <w:pBdr/>
              <w:spacing/>
              <w:ind w:right="210" w:firstLine="0" w:left="0"/>
              <w:rPr>
                <w:rFonts w:ascii="Times New Roman" w:hAnsi="Times New Roman"/>
                <w:b w:val="0"/>
                <w:color w:val="000000" w:themeColor="text1"/>
                <w:sz w:val="22"/>
              </w:rPr>
            </w:pPr>
            <w:r>
              <w:rPr>
                <w:rFonts w:ascii="Times New Roman" w:hAnsi="Times New Roman"/>
                <w:b w:val="0"/>
                <w:color w:val="000000" w:themeColor="text1"/>
                <w:sz w:val="22"/>
                <w:lang w:val="nl-NL"/>
              </w:rPr>
              <w:t xml:space="preserve">- Như Điều 6; </w:t>
            </w:r>
            <w:r>
              <w:rPr>
                <w:rFonts w:ascii="Times New Roman" w:hAnsi="Times New Roman"/>
                <w:b w:val="0"/>
                <w:color w:val="000000" w:themeColor="text1"/>
                <w:sz w:val="22"/>
              </w:rPr>
            </w:r>
            <w:r>
              <w:rPr>
                <w:rFonts w:ascii="Times New Roman" w:hAnsi="Times New Roman"/>
                <w:b w:val="0"/>
                <w:color w:val="000000" w:themeColor="text1"/>
                <w:sz w:val="22"/>
              </w:rPr>
            </w:r>
          </w:p>
          <w:p>
            <w:pPr>
              <w:pStyle w:val="995"/>
              <w:pBdr/>
              <w:spacing/>
              <w:ind/>
              <w:rPr>
                <w:rFonts w:ascii="Times New Roman" w:hAnsi="Times New Roman"/>
                <w:b w:val="0"/>
                <w:bCs w:val="0"/>
                <w:color w:val="auto"/>
                <w:sz w:val="22"/>
                <w:szCs w:val="22"/>
                <w:highlight w:val="none"/>
                <w:lang w:val="nl-NL"/>
              </w:rPr>
            </w:pPr>
            <w:r>
              <w:rPr>
                <w:rFonts w:ascii="Times New Roman" w:hAnsi="Times New Roman"/>
                <w:b w:val="0"/>
                <w:color w:val="auto"/>
                <w:sz w:val="22"/>
                <w:lang w:val="nl-NL"/>
              </w:rPr>
              <w:t xml:space="preserve">- Vụ Pháp chế - Văn phòng Chính phủ; </w:t>
            </w:r>
            <w:r>
              <w:rPr>
                <w:rFonts w:ascii="Times New Roman" w:hAnsi="Times New Roman"/>
                <w:b w:val="0"/>
                <w:color w:val="auto"/>
                <w:sz w:val="22"/>
                <w:lang w:val="nl-NL"/>
              </w:rPr>
            </w:r>
            <w:r>
              <w:rPr>
                <w:rFonts w:ascii="Times New Roman" w:hAnsi="Times New Roman"/>
                <w:b w:val="0"/>
                <w:bCs w:val="0"/>
                <w:color w:val="auto"/>
                <w:sz w:val="22"/>
                <w:szCs w:val="22"/>
                <w:highlight w:val="none"/>
                <w:lang w:val="nl-NL"/>
              </w:rPr>
            </w:r>
          </w:p>
          <w:p>
            <w:pPr>
              <w:pStyle w:val="995"/>
              <w:pBdr/>
              <w:spacing/>
              <w:ind/>
              <w:rPr>
                <w:rFonts w:ascii="Times New Roman" w:hAnsi="Times New Roman"/>
                <w:b w:val="0"/>
                <w:color w:val="000000" w:themeColor="text1"/>
                <w:sz w:val="22"/>
              </w:rPr>
            </w:pPr>
            <w:r>
              <w:rPr>
                <w:rFonts w:ascii="Times New Roman" w:hAnsi="Times New Roman"/>
                <w:b w:val="0"/>
                <w:color w:val="auto"/>
                <w:sz w:val="22"/>
                <w:lang w:val="nl-NL"/>
              </w:rPr>
              <w:t xml:space="preserve">-</w:t>
            </w:r>
            <w:r>
              <w:rPr>
                <w:rFonts w:ascii="Times New Roman" w:hAnsi="Times New Roman"/>
                <w:b w:val="0"/>
                <w:color w:val="000000" w:themeColor="text1"/>
                <w:sz w:val="22"/>
                <w:lang w:val="nl-NL"/>
              </w:rPr>
              <w:t xml:space="preserve"> Vụ Pháp chế - Bộ Khoa học và Công nghệ; </w:t>
            </w:r>
            <w:r>
              <w:rPr>
                <w:rFonts w:ascii="Times New Roman" w:hAnsi="Times New Roman"/>
                <w:b w:val="0"/>
                <w:color w:val="000000" w:themeColor="text1"/>
                <w:sz w:val="22"/>
              </w:rPr>
            </w:r>
            <w:r>
              <w:rPr>
                <w:rFonts w:ascii="Times New Roman" w:hAnsi="Times New Roman"/>
                <w:b w:val="0"/>
                <w:color w:val="000000" w:themeColor="text1"/>
                <w:sz w:val="22"/>
              </w:rPr>
            </w:r>
          </w:p>
          <w:p>
            <w:pPr>
              <w:pStyle w:val="995"/>
              <w:pBdr/>
              <w:spacing/>
              <w:ind/>
              <w:rPr>
                <w:rFonts w:ascii="Times New Roman" w:hAnsi="Times New Roman"/>
                <w:b w:val="0"/>
                <w:color w:val="000000" w:themeColor="text1"/>
                <w:sz w:val="22"/>
                <w:szCs w:val="22"/>
              </w:rPr>
            </w:pPr>
            <w:r>
              <w:rPr>
                <w:rFonts w:ascii="Times New Roman" w:hAnsi="Times New Roman"/>
                <w:b w:val="0"/>
                <w:color w:val="000000" w:themeColor="text1"/>
                <w:sz w:val="22"/>
                <w:lang w:val="nl-NL"/>
              </w:rPr>
              <w:t xml:space="preserve">- </w:t>
            </w:r>
            <w:r>
              <w:rPr>
                <w:rFonts w:ascii="Times New Roman" w:hAnsi="Times New Roman"/>
                <w:b w:val="0"/>
                <w:bCs/>
                <w:color w:val="000000" w:themeColor="text1"/>
                <w:sz w:val="22"/>
                <w:szCs w:val="22"/>
              </w:rPr>
              <w:t xml:space="preserve">Cục Kiểm tra văn bản và Tổ chức thi hành </w:t>
            </w:r>
            <w:r>
              <w:rPr>
                <w:rFonts w:ascii="Times New Roman" w:hAnsi="Times New Roman"/>
                <w:b w:val="0"/>
                <w:color w:val="000000" w:themeColor="text1"/>
                <w:sz w:val="22"/>
                <w:szCs w:val="22"/>
              </w:rPr>
            </w:r>
            <w:r>
              <w:rPr>
                <w:rFonts w:ascii="Times New Roman" w:hAnsi="Times New Roman"/>
                <w:b w:val="0"/>
                <w:color w:val="000000" w:themeColor="text1"/>
                <w:sz w:val="22"/>
                <w:szCs w:val="22"/>
              </w:rPr>
            </w:r>
          </w:p>
          <w:p>
            <w:pPr>
              <w:pStyle w:val="995"/>
              <w:pBdr/>
              <w:spacing/>
              <w:ind/>
              <w:rPr>
                <w:rFonts w:ascii="Times New Roman" w:hAnsi="Times New Roman"/>
                <w:b w:val="0"/>
                <w:color w:val="000000" w:themeColor="text1"/>
                <w:sz w:val="22"/>
                <w:szCs w:val="22"/>
              </w:rPr>
            </w:pPr>
            <w:r>
              <w:rPr>
                <w:rFonts w:ascii="Times New Roman" w:hAnsi="Times New Roman"/>
                <w:b w:val="0"/>
                <w:bCs/>
                <w:color w:val="000000" w:themeColor="text1"/>
                <w:sz w:val="22"/>
                <w:szCs w:val="22"/>
              </w:rPr>
              <w:t xml:space="preserve">luật - Bộ Tư pháp</w:t>
            </w:r>
            <w:r>
              <w:rPr>
                <w:rFonts w:ascii="Times New Roman" w:hAnsi="Times New Roman"/>
                <w:b w:val="0"/>
                <w:color w:val="000000" w:themeColor="text1"/>
                <w:sz w:val="22"/>
                <w:lang w:val="nl-NL"/>
              </w:rPr>
              <w:t xml:space="preserve">; </w:t>
            </w:r>
            <w:r>
              <w:rPr>
                <w:rFonts w:ascii="Times New Roman" w:hAnsi="Times New Roman"/>
                <w:b w:val="0"/>
                <w:color w:val="000000" w:themeColor="text1"/>
                <w:sz w:val="22"/>
                <w:szCs w:val="22"/>
              </w:rPr>
            </w:r>
            <w:r>
              <w:rPr>
                <w:rFonts w:ascii="Times New Roman" w:hAnsi="Times New Roman"/>
                <w:b w:val="0"/>
                <w:color w:val="000000" w:themeColor="text1"/>
                <w:sz w:val="22"/>
                <w:szCs w:val="22"/>
              </w:rPr>
            </w:r>
          </w:p>
          <w:p>
            <w:pPr>
              <w:pStyle w:val="995"/>
              <w:pBdr/>
              <w:spacing/>
              <w:ind/>
              <w:rPr>
                <w:rFonts w:ascii="Times New Roman" w:hAnsi="Times New Roman"/>
                <w:b w:val="0"/>
                <w:color w:val="auto"/>
                <w:sz w:val="22"/>
                <w:lang w:val="nl-NL"/>
              </w:rPr>
            </w:pPr>
            <w:r>
              <w:rPr>
                <w:rFonts w:ascii="Times New Roman" w:hAnsi="Times New Roman"/>
                <w:b w:val="0"/>
                <w:color w:val="000000" w:themeColor="text1"/>
                <w:sz w:val="22"/>
                <w:lang w:val="nl-NL"/>
              </w:rPr>
              <w:t xml:space="preserve">- Thường trực Tỉn</w:t>
            </w:r>
            <w:r>
              <w:rPr>
                <w:rFonts w:ascii="Times New Roman" w:hAnsi="Times New Roman"/>
                <w:b w:val="0"/>
                <w:color w:val="auto"/>
                <w:sz w:val="22"/>
                <w:lang w:val="nl-NL"/>
              </w:rPr>
              <w:t xml:space="preserve">h uỷ; </w:t>
            </w:r>
            <w:r>
              <w:rPr>
                <w:rFonts w:ascii="Times New Roman" w:hAnsi="Times New Roman"/>
                <w:b w:val="0"/>
                <w:color w:val="auto"/>
                <w:sz w:val="22"/>
                <w:lang w:val="nl-NL"/>
              </w:rPr>
            </w:r>
            <w:r>
              <w:rPr>
                <w:rFonts w:ascii="Times New Roman" w:hAnsi="Times New Roman"/>
                <w:b w:val="0"/>
                <w:color w:val="auto"/>
                <w:sz w:val="22"/>
                <w:lang w:val="nl-NL"/>
              </w:rPr>
            </w:r>
          </w:p>
          <w:p>
            <w:pPr>
              <w:pStyle w:val="995"/>
              <w:pBdr/>
              <w:spacing/>
              <w:ind/>
              <w:rPr>
                <w:rFonts w:ascii="Times New Roman" w:hAnsi="Times New Roman"/>
                <w:b w:val="0"/>
                <w:color w:val="auto"/>
                <w:sz w:val="22"/>
                <w:lang w:val="nl-NL"/>
              </w:rPr>
            </w:pPr>
            <w:r>
              <w:rPr>
                <w:rFonts w:ascii="Times New Roman" w:hAnsi="Times New Roman"/>
                <w:b w:val="0"/>
                <w:color w:val="auto"/>
                <w:sz w:val="22"/>
                <w:lang w:val="nl-NL"/>
              </w:rPr>
              <w:t xml:space="preserve">- Thường trực HĐND tỉnh; </w:t>
            </w:r>
            <w:r>
              <w:rPr>
                <w:rFonts w:ascii="Times New Roman" w:hAnsi="Times New Roman"/>
                <w:b w:val="0"/>
                <w:color w:val="auto"/>
                <w:sz w:val="22"/>
                <w:lang w:val="nl-NL"/>
              </w:rPr>
            </w:r>
            <w:r>
              <w:rPr>
                <w:rFonts w:ascii="Times New Roman" w:hAnsi="Times New Roman"/>
                <w:b w:val="0"/>
                <w:color w:val="auto"/>
                <w:sz w:val="22"/>
                <w:lang w:val="nl-NL"/>
              </w:rPr>
            </w:r>
          </w:p>
          <w:p>
            <w:pPr>
              <w:pStyle w:val="995"/>
              <w:pBdr/>
              <w:spacing/>
              <w:ind/>
              <w:rPr>
                <w:rFonts w:ascii="Times New Roman" w:hAnsi="Times New Roman"/>
                <w:b w:val="0"/>
                <w:color w:val="auto"/>
                <w:sz w:val="22"/>
                <w:lang w:val="nl-NL"/>
              </w:rPr>
            </w:pPr>
            <w:r>
              <w:rPr>
                <w:rFonts w:ascii="Times New Roman" w:hAnsi="Times New Roman"/>
                <w:b w:val="0"/>
                <w:color w:val="auto"/>
                <w:sz w:val="22"/>
                <w:lang w:val="nl-NL"/>
              </w:rPr>
              <w:t xml:space="preserve">- Đoàn ĐBQH tỉnh; </w:t>
            </w:r>
            <w:r>
              <w:rPr>
                <w:rFonts w:ascii="Times New Roman" w:hAnsi="Times New Roman"/>
                <w:b w:val="0"/>
                <w:color w:val="auto"/>
                <w:sz w:val="22"/>
                <w:lang w:val="nl-NL"/>
              </w:rPr>
            </w:r>
            <w:r>
              <w:rPr>
                <w:rFonts w:ascii="Times New Roman" w:hAnsi="Times New Roman"/>
                <w:b w:val="0"/>
                <w:color w:val="auto"/>
                <w:sz w:val="22"/>
                <w:lang w:val="nl-NL"/>
              </w:rPr>
            </w:r>
          </w:p>
          <w:p>
            <w:pPr>
              <w:pStyle w:val="995"/>
              <w:pBdr/>
              <w:spacing/>
              <w:ind/>
              <w:rPr>
                <w:rFonts w:ascii="Times New Roman" w:hAnsi="Times New Roman"/>
                <w:b w:val="0"/>
                <w:color w:val="000000" w:themeColor="text1"/>
                <w:sz w:val="22"/>
              </w:rPr>
            </w:pPr>
            <w:r>
              <w:rPr>
                <w:rFonts w:ascii="Times New Roman" w:hAnsi="Times New Roman"/>
                <w:b w:val="0"/>
                <w:color w:val="000000" w:themeColor="text1"/>
                <w:sz w:val="22"/>
                <w:lang w:val="nl-NL"/>
              </w:rPr>
              <w:t xml:space="preserve">- Chủ tịch, các PCT UBND tỉnh; </w:t>
            </w:r>
            <w:r>
              <w:rPr>
                <w:rFonts w:ascii="Times New Roman" w:hAnsi="Times New Roman"/>
                <w:b w:val="0"/>
                <w:color w:val="000000" w:themeColor="text1"/>
                <w:sz w:val="22"/>
              </w:rPr>
            </w:r>
            <w:r>
              <w:rPr>
                <w:rFonts w:ascii="Times New Roman" w:hAnsi="Times New Roman"/>
                <w:b w:val="0"/>
                <w:color w:val="000000" w:themeColor="text1"/>
                <w:sz w:val="22"/>
              </w:rPr>
            </w:r>
          </w:p>
          <w:p>
            <w:pPr>
              <w:pStyle w:val="995"/>
              <w:pBdr/>
              <w:spacing/>
              <w:ind w:right="210" w:firstLine="0" w:left="0"/>
              <w:rPr>
                <w:rFonts w:ascii="Times New Roman" w:hAnsi="Times New Roman"/>
                <w:b w:val="0"/>
                <w:color w:val="000000" w:themeColor="text1"/>
                <w:sz w:val="22"/>
              </w:rPr>
            </w:pPr>
            <w:r>
              <w:rPr>
                <w:rFonts w:ascii="Times New Roman" w:hAnsi="Times New Roman"/>
                <w:b w:val="0"/>
                <w:color w:val="auto"/>
                <w:sz w:val="22"/>
                <w:lang w:val="nl-NL"/>
              </w:rPr>
              <w:t xml:space="preserve">- </w:t>
            </w:r>
            <w:r>
              <w:rPr>
                <w:rFonts w:ascii="Times New Roman" w:hAnsi="Times New Roman"/>
                <w:b w:val="0"/>
                <w:color w:val="000000" w:themeColor="text1"/>
                <w:sz w:val="22"/>
                <w:lang w:val="nl-NL"/>
              </w:rPr>
              <w:t xml:space="preserve">Ủy ban Mặt trận Tổ quốc Việt Nam tỉnh; </w:t>
            </w:r>
            <w:r>
              <w:rPr>
                <w:rFonts w:ascii="Times New Roman" w:hAnsi="Times New Roman"/>
                <w:b w:val="0"/>
                <w:color w:val="000000" w:themeColor="text1"/>
                <w:sz w:val="22"/>
              </w:rPr>
            </w:r>
            <w:r>
              <w:rPr>
                <w:rFonts w:ascii="Times New Roman" w:hAnsi="Times New Roman"/>
                <w:b w:val="0"/>
                <w:color w:val="000000" w:themeColor="text1"/>
                <w:sz w:val="22"/>
              </w:rPr>
            </w:r>
          </w:p>
          <w:p>
            <w:pPr>
              <w:pStyle w:val="995"/>
              <w:pBdr/>
              <w:spacing/>
              <w:ind w:right="777" w:firstLine="0" w:left="0"/>
              <w:rPr>
                <w:rFonts w:ascii="Times New Roman" w:hAnsi="Times New Roman"/>
                <w:b w:val="0"/>
                <w:color w:val="000000" w:themeColor="text1"/>
                <w:sz w:val="22"/>
                <w:lang w:val="nl-NL"/>
              </w:rPr>
            </w:pPr>
            <w:r>
              <w:rPr>
                <w:rFonts w:ascii="Times New Roman" w:hAnsi="Times New Roman"/>
                <w:b w:val="0"/>
                <w:color w:val="000000" w:themeColor="text1"/>
                <w:sz w:val="22"/>
                <w:lang w:val="nl-NL"/>
              </w:rPr>
              <w:t xml:space="preserve">- Trung tâm Công báo </w:t>
            </w:r>
            <w:r>
              <w:rPr>
                <w:rFonts w:ascii="Times New Roman" w:hAnsi="Times New Roman"/>
                <w:b w:val="0"/>
                <w:color w:val="000000" w:themeColor="text1"/>
                <w:sz w:val="22"/>
                <w:lang w:val="nl-NL"/>
              </w:rPr>
              <w:t xml:space="preserve">-</w:t>
            </w:r>
            <w:r>
              <w:rPr>
                <w:rFonts w:ascii="Times New Roman" w:hAnsi="Times New Roman"/>
                <w:b w:val="0"/>
                <w:color w:val="000000" w:themeColor="text1"/>
                <w:sz w:val="22"/>
                <w:lang w:val="nl-NL"/>
              </w:rPr>
              <w:t xml:space="preserve"> Tin học</w:t>
            </w:r>
            <w:bookmarkStart w:id="4" w:name="_GoBack"/>
            <w:r/>
            <w:bookmarkEnd w:id="4"/>
            <w:r>
              <w:rPr>
                <w:rFonts w:ascii="Times New Roman" w:hAnsi="Times New Roman"/>
                <w:b w:val="0"/>
                <w:color w:val="000000" w:themeColor="text1"/>
                <w:sz w:val="22"/>
                <w:lang w:val="nl-NL"/>
              </w:rPr>
              <w:t xml:space="preserve"> (Văn phòng UBND tỉnh); </w:t>
            </w:r>
            <w:r>
              <w:rPr>
                <w:rFonts w:ascii="Times New Roman" w:hAnsi="Times New Roman"/>
                <w:b w:val="0"/>
                <w:color w:val="000000" w:themeColor="text1"/>
                <w:sz w:val="22"/>
                <w:lang w:val="nl-NL"/>
              </w:rPr>
            </w:r>
            <w:r>
              <w:rPr>
                <w:rFonts w:ascii="Times New Roman" w:hAnsi="Times New Roman"/>
                <w:b w:val="0"/>
                <w:color w:val="000000" w:themeColor="text1"/>
                <w:sz w:val="22"/>
                <w:lang w:val="nl-NL"/>
              </w:rPr>
            </w:r>
          </w:p>
          <w:p>
            <w:pPr>
              <w:pStyle w:val="995"/>
              <w:pBdr/>
              <w:spacing/>
              <w:ind/>
              <w:rPr>
                <w:rFonts w:ascii="Times New Roman" w:hAnsi="Times New Roman"/>
                <w:b w:val="0"/>
                <w:color w:val="000000" w:themeColor="text1"/>
                <w:sz w:val="22"/>
              </w:rPr>
            </w:pPr>
            <w:r>
              <w:rPr>
                <w:rFonts w:ascii="Times New Roman" w:hAnsi="Times New Roman"/>
                <w:b w:val="0"/>
                <w:color w:val="000000" w:themeColor="text1"/>
                <w:sz w:val="22"/>
                <w:lang w:val="nl-NL"/>
              </w:rPr>
              <w:t xml:space="preserve">- Phòng: VHXH, TH;</w:t>
            </w:r>
            <w:r>
              <w:rPr>
                <w:rFonts w:ascii="Times New Roman" w:hAnsi="Times New Roman"/>
                <w:b w:val="0"/>
                <w:color w:val="000000" w:themeColor="text1"/>
                <w:sz w:val="22"/>
              </w:rPr>
            </w:r>
            <w:r>
              <w:rPr>
                <w:rFonts w:ascii="Times New Roman" w:hAnsi="Times New Roman"/>
                <w:b w:val="0"/>
                <w:color w:val="000000" w:themeColor="text1"/>
                <w:sz w:val="22"/>
              </w:rPr>
            </w:r>
          </w:p>
          <w:p>
            <w:pPr>
              <w:pStyle w:val="995"/>
              <w:pBdr/>
              <w:spacing/>
              <w:ind/>
              <w:rPr>
                <w:rFonts w:ascii="Times New Roman" w:hAnsi="Times New Roman"/>
                <w:color w:val="auto"/>
                <w:sz w:val="22"/>
                <w:lang w:val="nl-NL"/>
              </w:rPr>
            </w:pPr>
            <w:r>
              <w:rPr>
                <w:rFonts w:ascii="Times New Roman" w:hAnsi="Times New Roman"/>
                <w:b w:val="0"/>
                <w:color w:val="000000" w:themeColor="text1"/>
                <w:sz w:val="22"/>
                <w:lang w:val="nl-NL"/>
              </w:rPr>
              <w:t xml:space="preserve">- Lưu: VT, </w:t>
            </w:r>
            <w:r>
              <w:rPr>
                <w:rFonts w:ascii="Times New Roman" w:hAnsi="Times New Roman"/>
                <w:b w:val="0"/>
                <w:color w:val="auto"/>
                <w:sz w:val="22"/>
                <w:lang w:val="nl-NL"/>
              </w:rPr>
              <w:t xml:space="preserve">th.</w:t>
            </w:r>
            <w:r>
              <w:rPr>
                <w:rFonts w:ascii="Times New Roman" w:hAnsi="Times New Roman"/>
                <w:color w:val="auto"/>
                <w:sz w:val="22"/>
                <w:lang w:val="nl-NL"/>
              </w:rPr>
            </w:r>
            <w:r>
              <w:rPr>
                <w:rFonts w:ascii="Times New Roman" w:hAnsi="Times New Roman"/>
                <w:color w:val="auto"/>
                <w:sz w:val="22"/>
                <w:lang w:val="nl-NL"/>
              </w:rPr>
            </w:r>
          </w:p>
        </w:tc>
        <w:tc>
          <w:tcPr>
            <w:tcBorders/>
            <w:tcW w:w="4077" w:type="dxa"/>
            <w:textDirection w:val="lrTb"/>
            <w:noWrap w:val="false"/>
          </w:tcPr>
          <w:p>
            <w:pPr>
              <w:pBdr/>
              <w:spacing/>
              <w:ind/>
              <w:jc w:val="center"/>
              <w:rPr>
                <w:b/>
                <w:lang w:val="vi-VN"/>
              </w:rPr>
            </w:pPr>
            <w:r>
              <w:rPr>
                <w:b/>
                <w:lang w:val="vi-VN"/>
              </w:rPr>
              <w:t xml:space="preserve">T</w:t>
            </w:r>
            <w:r>
              <w:rPr>
                <w:b/>
                <w:lang w:val="vi-VN"/>
              </w:rPr>
              <w:t xml:space="preserve">M. ỦY BAN NHÂN DÂN</w:t>
            </w:r>
            <w:r>
              <w:rPr>
                <w:b/>
                <w:lang w:val="vi-VN"/>
              </w:rPr>
            </w:r>
            <w:r>
              <w:rPr>
                <w:b/>
                <w:lang w:val="vi-VN"/>
              </w:rPr>
            </w:r>
          </w:p>
          <w:p>
            <w:pPr>
              <w:pBdr/>
              <w:spacing/>
              <w:ind/>
              <w:jc w:val="center"/>
              <w:rPr>
                <w:b/>
                <w:lang w:val="vi-VN"/>
              </w:rPr>
            </w:pPr>
            <w:r>
              <w:rPr>
                <w:b/>
                <w:lang w:val="vi-VN"/>
              </w:rPr>
              <w:t xml:space="preserve">KT. CHỦ TỊCH</w:t>
            </w:r>
            <w:r>
              <w:rPr>
                <w:b/>
                <w:lang w:val="vi-VN"/>
              </w:rPr>
            </w:r>
            <w:r>
              <w:rPr>
                <w:b/>
                <w:lang w:val="vi-VN"/>
              </w:rPr>
            </w:r>
          </w:p>
          <w:p>
            <w:pPr>
              <w:pBdr/>
              <w:spacing/>
              <w:ind/>
              <w:jc w:val="center"/>
              <w:rPr>
                <w:b/>
                <w:lang w:val="vi-VN"/>
              </w:rPr>
            </w:pPr>
            <w:r>
              <w:rPr>
                <w:b/>
                <w:lang w:val="vi-VN"/>
              </w:rPr>
              <w:t xml:space="preserve">PHÓ CHỦ TỊCH</w:t>
            </w:r>
            <w:r>
              <w:rPr>
                <w:b/>
                <w:lang w:val="vi-VN"/>
              </w:rPr>
            </w:r>
            <w:r>
              <w:rPr>
                <w:b/>
                <w:lang w:val="vi-VN"/>
              </w:rPr>
            </w:r>
          </w:p>
          <w:p>
            <w:pPr>
              <w:pBdr/>
              <w:spacing/>
              <w:ind/>
              <w:jc w:val="center"/>
              <w:rPr>
                <w:b/>
                <w:lang w:val="vi-VN"/>
              </w:rPr>
            </w:pPr>
            <w:r>
              <w:rPr>
                <w:b/>
                <w:lang w:val="vi-VN"/>
              </w:rPr>
            </w:r>
            <w:r>
              <w:rPr>
                <w:b/>
                <w:lang w:val="vi-VN"/>
              </w:rPr>
            </w:r>
            <w:r>
              <w:rPr>
                <w:b/>
                <w:lang w:val="vi-VN"/>
              </w:rPr>
            </w:r>
          </w:p>
          <w:p>
            <w:pPr>
              <w:pBdr/>
              <w:spacing/>
              <w:ind/>
              <w:jc w:val="center"/>
              <w:rPr>
                <w:b/>
                <w:lang w:val="vi-VN"/>
              </w:rPr>
            </w:pPr>
            <w:r>
              <w:rPr>
                <w:b/>
                <w:lang w:val="vi-VN"/>
              </w:rPr>
            </w:r>
            <w:r>
              <w:rPr>
                <w:b/>
                <w:lang w:val="vi-VN"/>
              </w:rPr>
            </w:r>
            <w:r>
              <w:rPr>
                <w:b/>
                <w:lang w:val="vi-VN"/>
              </w:rPr>
            </w:r>
          </w:p>
          <w:p>
            <w:pPr>
              <w:pBdr/>
              <w:spacing/>
              <w:ind/>
              <w:jc w:val="center"/>
              <w:rPr>
                <w:b/>
                <w:lang w:val="vi-VN"/>
              </w:rPr>
            </w:pPr>
            <w:r>
              <w:rPr>
                <w:b/>
                <w:lang w:val="vi-VN"/>
              </w:rPr>
            </w:r>
            <w:r>
              <w:rPr>
                <w:b/>
                <w:lang w:val="vi-VN"/>
              </w:rPr>
            </w:r>
            <w:r>
              <w:rPr>
                <w:b/>
                <w:lang w:val="vi-VN"/>
              </w:rPr>
            </w:r>
          </w:p>
          <w:p>
            <w:pPr>
              <w:pBdr/>
              <w:spacing/>
              <w:ind/>
              <w:jc w:val="center"/>
              <w:rPr>
                <w:b/>
                <w:lang w:val="vi-VN"/>
              </w:rPr>
            </w:pPr>
            <w:r>
              <w:rPr>
                <w:b/>
                <w:lang w:val="vi-VN"/>
              </w:rPr>
            </w:r>
            <w:r>
              <w:rPr>
                <w:b/>
                <w:lang w:val="vi-VN"/>
              </w:rPr>
            </w:r>
            <w:r>
              <w:rPr>
                <w:b/>
                <w:lang w:val="vi-VN"/>
              </w:rPr>
            </w:r>
          </w:p>
          <w:p>
            <w:pPr>
              <w:pBdr/>
              <w:spacing/>
              <w:ind/>
              <w:jc w:val="center"/>
              <w:rPr>
                <w:b/>
                <w:lang w:val="vi-VN"/>
              </w:rPr>
            </w:pPr>
            <w:r>
              <w:rPr>
                <w:b/>
                <w:lang w:val="vi-VN"/>
              </w:rPr>
            </w:r>
            <w:r>
              <w:rPr>
                <w:b/>
                <w:lang w:val="vi-VN"/>
              </w:rPr>
            </w:r>
            <w:r>
              <w:rPr>
                <w:b/>
                <w:lang w:val="vi-VN"/>
              </w:rPr>
            </w:r>
          </w:p>
          <w:p>
            <w:pPr>
              <w:pBdr/>
              <w:spacing/>
              <w:ind/>
              <w:jc w:val="center"/>
              <w:rPr>
                <w:b/>
              </w:rPr>
            </w:pPr>
            <w:r>
              <w:rPr>
                <w:b/>
              </w:rPr>
              <w:t xml:space="preserve">Phạm Tấn Hòa</w:t>
            </w:r>
            <w:bookmarkEnd w:id="0"/>
            <w:r>
              <w:rPr>
                <w:b/>
              </w:rPr>
            </w:r>
            <w:r>
              <w:rPr>
                <w:b/>
              </w:rPr>
            </w:r>
          </w:p>
        </w:tc>
      </w:tr>
    </w:tbl>
    <w:p>
      <w:pPr>
        <w:pBdr/>
        <w:spacing/>
        <w:ind/>
        <w:rPr>
          <w:lang w:val="vi-VN"/>
        </w:rPr>
      </w:pPr>
      <w:r>
        <w:rPr>
          <w:lang w:val="vi-VN"/>
        </w:rPr>
      </w:r>
      <w:r>
        <w:rPr>
          <w:lang w:val="vi-VN"/>
        </w:rPr>
      </w:r>
      <w:r>
        <w:rPr>
          <w:lang w:val="vi-VN"/>
        </w:rPr>
      </w:r>
    </w:p>
    <w:p>
      <w:pPr>
        <w:pBdr/>
        <w:spacing w:after="160" w:line="259" w:lineRule="auto"/>
        <w:ind/>
        <w:rPr/>
      </w:pPr>
      <w:r/>
      <w:r/>
    </w:p>
    <w:sectPr>
      <w:headerReference w:type="default" r:id="rId9"/>
      <w:footnotePr/>
      <w:endnotePr/>
      <w:type w:val="nextPage"/>
      <w:pgSz w:h="16840" w:orient="portrait" w:w="11907"/>
      <w:pgMar w:top="1134" w:right="1134" w:bottom="1134" w:left="1701" w:header="680" w:footer="68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VnTime">
    <w:panose1 w:val="05040102010807070707"/>
  </w:font>
  <w:font w:name=".VnTimeH">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4433265"/>
      <w:docPartObj>
        <w:docPartGallery w:val="Page Numbers (Top of Page)"/>
        <w:docPartUnique w:val="true"/>
      </w:docPartObj>
      <w:rPr/>
    </w:sdtPr>
    <w:sdtContent>
      <w:p>
        <w:pPr>
          <w:pStyle w:val="999"/>
          <w:pBdr/>
          <w:spacing/>
          <w:ind/>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 xml:space="preserve">3</w:t>
        </w:r>
        <w:r>
          <w:rPr>
            <w:sz w:val="26"/>
            <w:szCs w:val="26"/>
          </w:rPr>
          <w:fldChar w:fldCharType="end"/>
        </w:r>
        <w:r>
          <w:rPr>
            <w:sz w:val="26"/>
            <w:szCs w:val="26"/>
          </w:rPr>
        </w:r>
        <w:r>
          <w:rPr>
            <w:sz w:val="26"/>
            <w:szCs w:val="26"/>
          </w:rPr>
        </w:r>
      </w:p>
    </w:sdtContent>
  </w:sdt>
  <w:p>
    <w:pPr>
      <w:pStyle w:val="99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
      <w:numFmt w:val="bullet"/>
      <w:pPr>
        <w:pBdr/>
        <w:spacing/>
        <w:ind w:hanging="360" w:left="927"/>
      </w:pPr>
      <w:rPr>
        <w:rFonts w:hint="default" w:ascii="Times New Roman" w:hAnsi="Times New Roman" w:eastAsia="Times New Roman" w:cs="Times New Roman"/>
      </w:rPr>
      <w:start w:val="2"/>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Light"/>
    <w:basedOn w:val="82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8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8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8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8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8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8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5"/>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6"/>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6 Colorful - Accent 1"/>
    <w:basedOn w:val="8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8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8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8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 Accent 1"/>
    <w:basedOn w:val="8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8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8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1"/>
    <w:basedOn w:val="8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2"/>
    <w:basedOn w:val="8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3"/>
    <w:basedOn w:val="8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4"/>
    <w:basedOn w:val="8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5"/>
    <w:basedOn w:val="8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6"/>
    <w:basedOn w:val="8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8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8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8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8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8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8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 Accent 1"/>
    <w:basedOn w:val="8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 Accent 1"/>
    <w:basedOn w:val="8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basedOn w:val="8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basedOn w:val="8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basedOn w:val="8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 Accent 1"/>
    <w:basedOn w:val="8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14" w:default="1">
    <w:name w:val="Normal"/>
    <w:qFormat/>
    <w:pPr>
      <w:pBdr/>
      <w:spacing w:after="0" w:line="240" w:lineRule="auto"/>
      <w:ind/>
    </w:pPr>
    <w:rPr>
      <w:rFonts w:ascii="Times New Roman" w:hAnsi="Times New Roman" w:eastAsia="Times New Roman" w:cs="Times New Roman"/>
      <w:sz w:val="28"/>
      <w:szCs w:val="28"/>
    </w:rPr>
  </w:style>
  <w:style w:type="paragraph" w:styleId="815">
    <w:name w:val="Heading 1"/>
    <w:basedOn w:val="814"/>
    <w:next w:val="814"/>
    <w:link w:val="991"/>
    <w:uiPriority w:val="9"/>
    <w:qFormat/>
    <w:pPr>
      <w:keepNext w:val="true"/>
      <w:keepLines w:val="true"/>
      <w:pBdr/>
      <w:spacing w:before="360" w:line="324" w:lineRule="auto"/>
      <w:ind/>
      <w:contextualSpacing w:val="true"/>
      <w:outlineLvl w:val="0"/>
    </w:pPr>
    <w:rPr>
      <w:rFonts w:eastAsiaTheme="majorEastAsia" w:cstheme="majorBidi"/>
      <w:b/>
      <w:sz w:val="26"/>
      <w:szCs w:val="32"/>
    </w:rPr>
  </w:style>
  <w:style w:type="paragraph" w:styleId="816">
    <w:name w:val="Heading 2"/>
    <w:basedOn w:val="814"/>
    <w:next w:val="814"/>
    <w:link w:val="992"/>
    <w:uiPriority w:val="9"/>
    <w:semiHidden/>
    <w:unhideWhenUsed/>
    <w:qFormat/>
    <w:pPr>
      <w:keepNext w:val="true"/>
      <w:keepLines w:val="true"/>
      <w:pBdr/>
      <w:spacing w:before="240" w:line="324" w:lineRule="auto"/>
      <w:ind/>
      <w:contextualSpacing w:val="true"/>
      <w:outlineLvl w:val="1"/>
    </w:pPr>
    <w:rPr>
      <w:rFonts w:eastAsiaTheme="majorEastAsia" w:cstheme="majorBidi"/>
      <w:b/>
      <w:sz w:val="26"/>
      <w:szCs w:val="26"/>
    </w:rPr>
  </w:style>
  <w:style w:type="paragraph" w:styleId="817">
    <w:name w:val="Heading 3"/>
    <w:basedOn w:val="814"/>
    <w:next w:val="814"/>
    <w:link w:val="993"/>
    <w:uiPriority w:val="9"/>
    <w:unhideWhenUsed/>
    <w:qFormat/>
    <w:pPr>
      <w:keepNext w:val="true"/>
      <w:keepLines w:val="true"/>
      <w:pBdr/>
      <w:spacing w:before="120" w:line="324" w:lineRule="auto"/>
      <w:ind/>
      <w:contextualSpacing w:val="true"/>
      <w:outlineLvl w:val="2"/>
    </w:pPr>
    <w:rPr>
      <w:rFonts w:eastAsiaTheme="majorEastAsia" w:cstheme="majorBidi"/>
      <w:b/>
      <w:i/>
      <w:sz w:val="26"/>
      <w:szCs w:val="24"/>
    </w:rPr>
  </w:style>
  <w:style w:type="paragraph" w:styleId="818">
    <w:name w:val="Heading 4"/>
    <w:basedOn w:val="814"/>
    <w:next w:val="814"/>
    <w:link w:val="994"/>
    <w:uiPriority w:val="9"/>
    <w:unhideWhenUsed/>
    <w:qFormat/>
    <w:pPr>
      <w:keepNext w:val="true"/>
      <w:keepLines w:val="true"/>
      <w:pBdr/>
      <w:spacing w:before="120" w:line="324" w:lineRule="auto"/>
      <w:ind/>
      <w:contextualSpacing w:val="true"/>
      <w:outlineLvl w:val="3"/>
    </w:pPr>
    <w:rPr>
      <w:rFonts w:eastAsiaTheme="majorEastAsia" w:cstheme="majorBidi"/>
      <w:i/>
      <w:iCs/>
      <w:sz w:val="26"/>
      <w:szCs w:val="22"/>
    </w:rPr>
  </w:style>
  <w:style w:type="paragraph" w:styleId="819">
    <w:name w:val="Heading 5"/>
    <w:basedOn w:val="814"/>
    <w:next w:val="814"/>
    <w:link w:val="953"/>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820">
    <w:name w:val="Heading 6"/>
    <w:basedOn w:val="814"/>
    <w:next w:val="814"/>
    <w:link w:val="954"/>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21">
    <w:name w:val="Heading 7"/>
    <w:basedOn w:val="814"/>
    <w:next w:val="814"/>
    <w:link w:val="955"/>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22">
    <w:name w:val="Heading 8"/>
    <w:basedOn w:val="814"/>
    <w:next w:val="814"/>
    <w:link w:val="956"/>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23">
    <w:name w:val="Heading 9"/>
    <w:basedOn w:val="814"/>
    <w:next w:val="814"/>
    <w:link w:val="957"/>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24" w:default="1">
    <w:name w:val="Default Paragraph Font"/>
    <w:uiPriority w:val="1"/>
    <w:semiHidden/>
    <w:unhideWhenUsed/>
    <w:pPr>
      <w:pBdr/>
      <w:spacing/>
      <w:ind/>
    </w:pPr>
  </w:style>
  <w:style w:type="table" w:styleId="82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6" w:default="1">
    <w:name w:val="No List"/>
    <w:uiPriority w:val="99"/>
    <w:semiHidden/>
    <w:unhideWhenUsed/>
    <w:pPr>
      <w:pBdr/>
      <w:spacing/>
      <w:ind/>
    </w:pPr>
  </w:style>
  <w:style w:type="table" w:styleId="827">
    <w:name w:val="Grid Table Light"/>
    <w:basedOn w:val="82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Accent 1"/>
    <w:basedOn w:val="825"/>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Accent 2"/>
    <w:basedOn w:val="825"/>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Accent 3"/>
    <w:basedOn w:val="825"/>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Accent 4"/>
    <w:basedOn w:val="825"/>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Accent 5"/>
    <w:basedOn w:val="825"/>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Accent 6"/>
    <w:basedOn w:val="825"/>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Accent 1"/>
    <w:basedOn w:val="825"/>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Accent 2"/>
    <w:basedOn w:val="825"/>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Accent 3"/>
    <w:basedOn w:val="825"/>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Accent 4"/>
    <w:basedOn w:val="825"/>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Accent 5"/>
    <w:basedOn w:val="825"/>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Accent 6"/>
    <w:basedOn w:val="825"/>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Accent 1"/>
    <w:basedOn w:val="825"/>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Accent 2"/>
    <w:basedOn w:val="825"/>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Accent 3"/>
    <w:basedOn w:val="825"/>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Accent 4"/>
    <w:basedOn w:val="825"/>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Accent 5"/>
    <w:basedOn w:val="825"/>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Accent 6"/>
    <w:basedOn w:val="825"/>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Accent 1"/>
    <w:basedOn w:val="825"/>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Accent 2"/>
    <w:basedOn w:val="825"/>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Accent 3"/>
    <w:basedOn w:val="825"/>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Accent 4"/>
    <w:basedOn w:val="825"/>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Accent 5"/>
    <w:basedOn w:val="825"/>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Accent 6"/>
    <w:basedOn w:val="825"/>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2"/>
    <w:basedOn w:val="8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Accent 3"/>
    <w:basedOn w:val="8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Accent 5"/>
    <w:basedOn w:val="8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Accent 6"/>
    <w:basedOn w:val="8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6 Colorful Accent 1"/>
    <w:basedOn w:val="825"/>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6 Colorful Accent 2"/>
    <w:basedOn w:val="825"/>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6 Colorful Accent 3"/>
    <w:basedOn w:val="825"/>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Accent 4"/>
    <w:basedOn w:val="825"/>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6 Colorful Accent 5"/>
    <w:basedOn w:val="825"/>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6 Colorful Accent 6"/>
    <w:basedOn w:val="825"/>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Accent 1"/>
    <w:basedOn w:val="825"/>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Accent 2"/>
    <w:basedOn w:val="825"/>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Accent 3"/>
    <w:basedOn w:val="825"/>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Accent 4"/>
    <w:basedOn w:val="825"/>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Accent 5"/>
    <w:basedOn w:val="825"/>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Accent 6"/>
    <w:basedOn w:val="825"/>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Accent 1"/>
    <w:basedOn w:val="8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Accent 2"/>
    <w:basedOn w:val="8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Accent 3"/>
    <w:basedOn w:val="8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Accent 4"/>
    <w:basedOn w:val="8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Accent 5"/>
    <w:basedOn w:val="8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Accent 6"/>
    <w:basedOn w:val="8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Accent 1"/>
    <w:basedOn w:val="825"/>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Accent 2"/>
    <w:basedOn w:val="825"/>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Accent 3"/>
    <w:basedOn w:val="825"/>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Accent 4"/>
    <w:basedOn w:val="825"/>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Accent 5"/>
    <w:basedOn w:val="825"/>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Accent 6"/>
    <w:basedOn w:val="825"/>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Accent 1"/>
    <w:basedOn w:val="825"/>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Accent 2"/>
    <w:basedOn w:val="825"/>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Accent 3"/>
    <w:basedOn w:val="825"/>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Accent 4"/>
    <w:basedOn w:val="825"/>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Accent 5"/>
    <w:basedOn w:val="825"/>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Accent 6"/>
    <w:basedOn w:val="825"/>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Accent 1"/>
    <w:basedOn w:val="825"/>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Accent 2"/>
    <w:basedOn w:val="825"/>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Accent 3"/>
    <w:basedOn w:val="825"/>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Accent 4"/>
    <w:basedOn w:val="825"/>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Accent 5"/>
    <w:basedOn w:val="825"/>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Accent 6"/>
    <w:basedOn w:val="825"/>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Accent 1"/>
    <w:basedOn w:val="825"/>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5 Dark Accent 2"/>
    <w:basedOn w:val="825"/>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5 Dark Accent 3"/>
    <w:basedOn w:val="825"/>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5 Dark Accent 4"/>
    <w:basedOn w:val="825"/>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5 Dark Accent 5"/>
    <w:basedOn w:val="825"/>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Accent 6"/>
    <w:basedOn w:val="825"/>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Accent 1"/>
    <w:basedOn w:val="825"/>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Accent 2"/>
    <w:basedOn w:val="825"/>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Accent 3"/>
    <w:basedOn w:val="825"/>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Accent 4"/>
    <w:basedOn w:val="825"/>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Accent 5"/>
    <w:basedOn w:val="825"/>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Accent 6"/>
    <w:basedOn w:val="825"/>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7 Colorful Accent 1"/>
    <w:basedOn w:val="825"/>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Accent 2"/>
    <w:basedOn w:val="825"/>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7 Colorful Accent 3"/>
    <w:basedOn w:val="825"/>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7 Colorful Accent 4"/>
    <w:basedOn w:val="825"/>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7 Colorful Accent 5"/>
    <w:basedOn w:val="825"/>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7 Colorful Accent 6"/>
    <w:basedOn w:val="825"/>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Table Grid"/>
    <w:basedOn w:val="82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Plain Table 1"/>
    <w:basedOn w:val="82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Plain Table 2"/>
    <w:basedOn w:val="825"/>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Plain Table 3"/>
    <w:basedOn w:val="82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Plain Table 4"/>
    <w:basedOn w:val="82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Plain Table 5"/>
    <w:basedOn w:val="82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1 Light"/>
    <w:basedOn w:val="825"/>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2"/>
    <w:basedOn w:val="82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w:basedOn w:val="82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4"/>
    <w:basedOn w:val="825"/>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5 Dark"/>
    <w:basedOn w:val="8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5 Dark- Accent 1"/>
    <w:basedOn w:val="8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5 Dark- Accent 4"/>
    <w:basedOn w:val="82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6 Colorful"/>
    <w:basedOn w:val="825"/>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7 Colorful"/>
    <w:basedOn w:val="825"/>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w:basedOn w:val="82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w:basedOn w:val="825"/>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w:basedOn w:val="82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w:basedOn w:val="82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5 Dark"/>
    <w:basedOn w:val="825"/>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w:basedOn w:val="825"/>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7 Colorful"/>
    <w:basedOn w:val="825"/>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ned - Accent"/>
    <w:basedOn w:val="82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ned - Accent 1"/>
    <w:basedOn w:val="82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ned - Accent 2"/>
    <w:basedOn w:val="82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ned - Accent 3"/>
    <w:basedOn w:val="82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ned - Accent 4"/>
    <w:basedOn w:val="82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ned - Accent 5"/>
    <w:basedOn w:val="82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ned - Accent 6"/>
    <w:basedOn w:val="82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amp; Lined - Accent"/>
    <w:basedOn w:val="825"/>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amp; Lined - Accent 1"/>
    <w:basedOn w:val="825"/>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amp; Lined - Accent 2"/>
    <w:basedOn w:val="825"/>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amp; Lined - Accent 3"/>
    <w:basedOn w:val="825"/>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Bordered &amp; Lined - Accent 4"/>
    <w:basedOn w:val="825"/>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Bordered &amp; Lined - Accent 5"/>
    <w:basedOn w:val="825"/>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Bordered &amp; Lined - Accent 6"/>
    <w:basedOn w:val="825"/>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Bordered"/>
    <w:basedOn w:val="825"/>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Bordered - Accent 1"/>
    <w:basedOn w:val="825"/>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Bordered - Accent 2"/>
    <w:basedOn w:val="825"/>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Bordered - Accent 3"/>
    <w:basedOn w:val="825"/>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Bordered - Accent 4"/>
    <w:basedOn w:val="825"/>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Bordered - Accent 5"/>
    <w:basedOn w:val="825"/>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Bordered - Accent 6"/>
    <w:basedOn w:val="825"/>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3" w:customStyle="1">
    <w:name w:val="Heading 5 Char"/>
    <w:basedOn w:val="824"/>
    <w:link w:val="819"/>
    <w:uiPriority w:val="9"/>
    <w:pPr>
      <w:pBdr/>
      <w:spacing/>
      <w:ind/>
    </w:pPr>
    <w:rPr>
      <w:rFonts w:ascii="Arial" w:hAnsi="Arial" w:eastAsia="Arial" w:cs="Arial"/>
      <w:color w:val="2e74b5" w:themeColor="accent1" w:themeShade="BF"/>
    </w:rPr>
  </w:style>
  <w:style w:type="character" w:styleId="954" w:customStyle="1">
    <w:name w:val="Heading 6 Char"/>
    <w:basedOn w:val="824"/>
    <w:link w:val="820"/>
    <w:uiPriority w:val="9"/>
    <w:pPr>
      <w:pBdr/>
      <w:spacing/>
      <w:ind/>
    </w:pPr>
    <w:rPr>
      <w:rFonts w:ascii="Arial" w:hAnsi="Arial" w:eastAsia="Arial" w:cs="Arial"/>
      <w:i/>
      <w:iCs/>
      <w:color w:val="595959" w:themeColor="text1" w:themeTint="A6"/>
    </w:rPr>
  </w:style>
  <w:style w:type="character" w:styleId="955" w:customStyle="1">
    <w:name w:val="Heading 7 Char"/>
    <w:basedOn w:val="824"/>
    <w:link w:val="821"/>
    <w:uiPriority w:val="9"/>
    <w:pPr>
      <w:pBdr/>
      <w:spacing/>
      <w:ind/>
    </w:pPr>
    <w:rPr>
      <w:rFonts w:ascii="Arial" w:hAnsi="Arial" w:eastAsia="Arial" w:cs="Arial"/>
      <w:color w:val="595959" w:themeColor="text1" w:themeTint="A6"/>
    </w:rPr>
  </w:style>
  <w:style w:type="character" w:styleId="956" w:customStyle="1">
    <w:name w:val="Heading 8 Char"/>
    <w:basedOn w:val="824"/>
    <w:link w:val="822"/>
    <w:uiPriority w:val="9"/>
    <w:pPr>
      <w:pBdr/>
      <w:spacing/>
      <w:ind/>
    </w:pPr>
    <w:rPr>
      <w:rFonts w:ascii="Arial" w:hAnsi="Arial" w:eastAsia="Arial" w:cs="Arial"/>
      <w:i/>
      <w:iCs/>
      <w:color w:val="272727" w:themeColor="text1" w:themeTint="D8"/>
    </w:rPr>
  </w:style>
  <w:style w:type="character" w:styleId="957" w:customStyle="1">
    <w:name w:val="Heading 9 Char"/>
    <w:basedOn w:val="824"/>
    <w:link w:val="823"/>
    <w:uiPriority w:val="9"/>
    <w:pPr>
      <w:pBdr/>
      <w:spacing/>
      <w:ind/>
    </w:pPr>
    <w:rPr>
      <w:rFonts w:ascii="Arial" w:hAnsi="Arial" w:eastAsia="Arial" w:cs="Arial"/>
      <w:i/>
      <w:iCs/>
      <w:color w:val="272727" w:themeColor="text1" w:themeTint="D8"/>
    </w:rPr>
  </w:style>
  <w:style w:type="paragraph" w:styleId="958">
    <w:name w:val="Subtitle"/>
    <w:basedOn w:val="814"/>
    <w:next w:val="814"/>
    <w:link w:val="959"/>
    <w:uiPriority w:val="11"/>
    <w:qFormat/>
    <w:pPr>
      <w:numPr>
        <w:ilvl w:val="1"/>
      </w:numPr>
      <w:pBdr/>
      <w:spacing/>
      <w:ind/>
    </w:pPr>
    <w:rPr>
      <w:color w:val="595959" w:themeColor="text1" w:themeTint="A6"/>
      <w:spacing w:val="15"/>
    </w:rPr>
  </w:style>
  <w:style w:type="character" w:styleId="959" w:customStyle="1">
    <w:name w:val="Subtitle Char"/>
    <w:basedOn w:val="824"/>
    <w:link w:val="958"/>
    <w:uiPriority w:val="11"/>
    <w:pPr>
      <w:pBdr/>
      <w:spacing/>
      <w:ind/>
    </w:pPr>
    <w:rPr>
      <w:color w:val="595959" w:themeColor="text1" w:themeTint="A6"/>
      <w:spacing w:val="15"/>
      <w:sz w:val="28"/>
      <w:szCs w:val="28"/>
    </w:rPr>
  </w:style>
  <w:style w:type="paragraph" w:styleId="960">
    <w:name w:val="Quote"/>
    <w:basedOn w:val="814"/>
    <w:next w:val="814"/>
    <w:link w:val="961"/>
    <w:uiPriority w:val="29"/>
    <w:qFormat/>
    <w:pPr>
      <w:pBdr/>
      <w:spacing w:before="160"/>
      <w:ind/>
      <w:jc w:val="center"/>
    </w:pPr>
    <w:rPr>
      <w:i/>
      <w:iCs/>
      <w:color w:val="404040" w:themeColor="text1" w:themeTint="BF"/>
    </w:rPr>
  </w:style>
  <w:style w:type="character" w:styleId="961" w:customStyle="1">
    <w:name w:val="Quote Char"/>
    <w:basedOn w:val="824"/>
    <w:link w:val="960"/>
    <w:uiPriority w:val="29"/>
    <w:pPr>
      <w:pBdr/>
      <w:spacing/>
      <w:ind/>
    </w:pPr>
    <w:rPr>
      <w:i/>
      <w:iCs/>
      <w:color w:val="404040" w:themeColor="text1" w:themeTint="BF"/>
    </w:rPr>
  </w:style>
  <w:style w:type="character" w:styleId="962">
    <w:name w:val="Intense Emphasis"/>
    <w:basedOn w:val="824"/>
    <w:uiPriority w:val="21"/>
    <w:qFormat/>
    <w:pPr>
      <w:pBdr/>
      <w:spacing/>
      <w:ind/>
    </w:pPr>
    <w:rPr>
      <w:i/>
      <w:iCs/>
      <w:color w:val="2e74b5" w:themeColor="accent1" w:themeShade="BF"/>
    </w:rPr>
  </w:style>
  <w:style w:type="paragraph" w:styleId="963">
    <w:name w:val="Intense Quote"/>
    <w:basedOn w:val="814"/>
    <w:next w:val="814"/>
    <w:link w:val="964"/>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64" w:customStyle="1">
    <w:name w:val="Intense Quote Char"/>
    <w:basedOn w:val="824"/>
    <w:link w:val="963"/>
    <w:uiPriority w:val="30"/>
    <w:pPr>
      <w:pBdr/>
      <w:spacing/>
      <w:ind/>
    </w:pPr>
    <w:rPr>
      <w:i/>
      <w:iCs/>
      <w:color w:val="2e74b5" w:themeColor="accent1" w:themeShade="BF"/>
    </w:rPr>
  </w:style>
  <w:style w:type="character" w:styleId="965">
    <w:name w:val="Intense Reference"/>
    <w:basedOn w:val="824"/>
    <w:uiPriority w:val="32"/>
    <w:qFormat/>
    <w:pPr>
      <w:pBdr/>
      <w:spacing/>
      <w:ind/>
    </w:pPr>
    <w:rPr>
      <w:b/>
      <w:bCs/>
      <w:smallCaps/>
      <w:color w:val="2e74b5" w:themeColor="accent1" w:themeShade="BF"/>
      <w:spacing w:val="5"/>
    </w:rPr>
  </w:style>
  <w:style w:type="paragraph" w:styleId="966">
    <w:name w:val="No Spacing"/>
    <w:basedOn w:val="814"/>
    <w:qFormat/>
    <w:pPr>
      <w:pBdr/>
      <w:spacing/>
      <w:ind/>
    </w:pPr>
  </w:style>
  <w:style w:type="character" w:styleId="967">
    <w:name w:val="Subtle Emphasis"/>
    <w:basedOn w:val="824"/>
    <w:uiPriority w:val="19"/>
    <w:qFormat/>
    <w:pPr>
      <w:pBdr/>
      <w:spacing/>
      <w:ind/>
    </w:pPr>
    <w:rPr>
      <w:i/>
      <w:iCs/>
      <w:color w:val="404040" w:themeColor="text1" w:themeTint="BF"/>
    </w:rPr>
  </w:style>
  <w:style w:type="character" w:styleId="968">
    <w:name w:val="Emphasis"/>
    <w:basedOn w:val="824"/>
    <w:uiPriority w:val="20"/>
    <w:qFormat/>
    <w:pPr>
      <w:pBdr/>
      <w:spacing/>
      <w:ind/>
    </w:pPr>
    <w:rPr>
      <w:i/>
      <w:iCs/>
    </w:rPr>
  </w:style>
  <w:style w:type="character" w:styleId="969">
    <w:name w:val="Strong"/>
    <w:basedOn w:val="824"/>
    <w:uiPriority w:val="22"/>
    <w:qFormat/>
    <w:pPr>
      <w:pBdr/>
      <w:spacing/>
      <w:ind/>
    </w:pPr>
    <w:rPr>
      <w:b/>
      <w:bCs/>
    </w:rPr>
  </w:style>
  <w:style w:type="character" w:styleId="970">
    <w:name w:val="Subtle Reference"/>
    <w:basedOn w:val="824"/>
    <w:uiPriority w:val="31"/>
    <w:qFormat/>
    <w:pPr>
      <w:pBdr/>
      <w:spacing/>
      <w:ind/>
    </w:pPr>
    <w:rPr>
      <w:smallCaps/>
      <w:color w:val="5a5a5a" w:themeColor="text1" w:themeTint="A5"/>
    </w:rPr>
  </w:style>
  <w:style w:type="character" w:styleId="971">
    <w:name w:val="Book Title"/>
    <w:basedOn w:val="824"/>
    <w:uiPriority w:val="33"/>
    <w:qFormat/>
    <w:pPr>
      <w:pBdr/>
      <w:spacing/>
      <w:ind/>
    </w:pPr>
    <w:rPr>
      <w:b/>
      <w:bCs/>
      <w:i/>
      <w:iCs/>
      <w:spacing w:val="5"/>
    </w:rPr>
  </w:style>
  <w:style w:type="paragraph" w:styleId="972">
    <w:name w:val="Caption"/>
    <w:basedOn w:val="814"/>
    <w:next w:val="814"/>
    <w:uiPriority w:val="35"/>
    <w:unhideWhenUsed/>
    <w:qFormat/>
    <w:pPr>
      <w:pBdr/>
      <w:spacing w:after="200"/>
      <w:ind/>
    </w:pPr>
    <w:rPr>
      <w:i/>
      <w:iCs/>
      <w:color w:val="44546a" w:themeColor="text2"/>
      <w:sz w:val="18"/>
      <w:szCs w:val="18"/>
    </w:rPr>
  </w:style>
  <w:style w:type="paragraph" w:styleId="973">
    <w:name w:val="footnote text"/>
    <w:basedOn w:val="814"/>
    <w:link w:val="974"/>
    <w:uiPriority w:val="99"/>
    <w:semiHidden/>
    <w:unhideWhenUsed/>
    <w:pPr>
      <w:pBdr/>
      <w:spacing/>
      <w:ind/>
    </w:pPr>
    <w:rPr>
      <w:sz w:val="20"/>
      <w:szCs w:val="20"/>
    </w:rPr>
  </w:style>
  <w:style w:type="character" w:styleId="974" w:customStyle="1">
    <w:name w:val="Footnote Text Char"/>
    <w:basedOn w:val="824"/>
    <w:link w:val="973"/>
    <w:uiPriority w:val="99"/>
    <w:semiHidden/>
    <w:pPr>
      <w:pBdr/>
      <w:spacing/>
      <w:ind/>
    </w:pPr>
    <w:rPr>
      <w:sz w:val="20"/>
      <w:szCs w:val="20"/>
    </w:rPr>
  </w:style>
  <w:style w:type="character" w:styleId="975">
    <w:name w:val="footnote reference"/>
    <w:basedOn w:val="824"/>
    <w:uiPriority w:val="99"/>
    <w:semiHidden/>
    <w:unhideWhenUsed/>
    <w:pPr>
      <w:pBdr/>
      <w:spacing/>
      <w:ind/>
    </w:pPr>
    <w:rPr>
      <w:vertAlign w:val="superscript"/>
    </w:rPr>
  </w:style>
  <w:style w:type="paragraph" w:styleId="976">
    <w:name w:val="endnote text"/>
    <w:basedOn w:val="814"/>
    <w:link w:val="977"/>
    <w:uiPriority w:val="99"/>
    <w:semiHidden/>
    <w:unhideWhenUsed/>
    <w:pPr>
      <w:pBdr/>
      <w:spacing/>
      <w:ind/>
    </w:pPr>
    <w:rPr>
      <w:sz w:val="20"/>
      <w:szCs w:val="20"/>
    </w:rPr>
  </w:style>
  <w:style w:type="character" w:styleId="977" w:customStyle="1">
    <w:name w:val="Endnote Text Char"/>
    <w:basedOn w:val="824"/>
    <w:link w:val="976"/>
    <w:uiPriority w:val="99"/>
    <w:semiHidden/>
    <w:pPr>
      <w:pBdr/>
      <w:spacing/>
      <w:ind/>
    </w:pPr>
    <w:rPr>
      <w:sz w:val="20"/>
      <w:szCs w:val="20"/>
    </w:rPr>
  </w:style>
  <w:style w:type="character" w:styleId="978">
    <w:name w:val="endnote reference"/>
    <w:basedOn w:val="824"/>
    <w:uiPriority w:val="99"/>
    <w:semiHidden/>
    <w:unhideWhenUsed/>
    <w:pPr>
      <w:pBdr/>
      <w:spacing/>
      <w:ind/>
    </w:pPr>
    <w:rPr>
      <w:vertAlign w:val="superscript"/>
    </w:rPr>
  </w:style>
  <w:style w:type="character" w:styleId="979">
    <w:name w:val="FollowedHyperlink"/>
    <w:basedOn w:val="824"/>
    <w:uiPriority w:val="99"/>
    <w:semiHidden/>
    <w:unhideWhenUsed/>
    <w:pPr>
      <w:pBdr/>
      <w:spacing/>
      <w:ind/>
    </w:pPr>
    <w:rPr>
      <w:color w:val="954f72" w:themeColor="followedHyperlink"/>
      <w:u w:val="single"/>
    </w:rPr>
  </w:style>
  <w:style w:type="paragraph" w:styleId="980">
    <w:name w:val="toc 1"/>
    <w:basedOn w:val="814"/>
    <w:next w:val="814"/>
    <w:uiPriority w:val="39"/>
    <w:unhideWhenUsed/>
    <w:pPr>
      <w:pBdr/>
      <w:spacing w:after="100"/>
      <w:ind/>
    </w:pPr>
  </w:style>
  <w:style w:type="paragraph" w:styleId="981">
    <w:name w:val="toc 2"/>
    <w:basedOn w:val="814"/>
    <w:next w:val="814"/>
    <w:uiPriority w:val="39"/>
    <w:unhideWhenUsed/>
    <w:pPr>
      <w:pBdr/>
      <w:spacing w:after="100"/>
      <w:ind w:left="220"/>
    </w:pPr>
  </w:style>
  <w:style w:type="paragraph" w:styleId="982">
    <w:name w:val="toc 3"/>
    <w:basedOn w:val="814"/>
    <w:next w:val="814"/>
    <w:uiPriority w:val="39"/>
    <w:unhideWhenUsed/>
    <w:pPr>
      <w:pBdr/>
      <w:spacing w:after="100"/>
      <w:ind w:left="440"/>
    </w:pPr>
  </w:style>
  <w:style w:type="paragraph" w:styleId="983">
    <w:name w:val="toc 4"/>
    <w:basedOn w:val="814"/>
    <w:next w:val="814"/>
    <w:uiPriority w:val="39"/>
    <w:unhideWhenUsed/>
    <w:pPr>
      <w:pBdr/>
      <w:spacing w:after="100"/>
      <w:ind w:left="660"/>
    </w:pPr>
  </w:style>
  <w:style w:type="paragraph" w:styleId="984">
    <w:name w:val="toc 5"/>
    <w:basedOn w:val="814"/>
    <w:next w:val="814"/>
    <w:uiPriority w:val="39"/>
    <w:unhideWhenUsed/>
    <w:pPr>
      <w:pBdr/>
      <w:spacing w:after="100"/>
      <w:ind w:left="880"/>
    </w:pPr>
  </w:style>
  <w:style w:type="paragraph" w:styleId="985">
    <w:name w:val="toc 6"/>
    <w:basedOn w:val="814"/>
    <w:next w:val="814"/>
    <w:uiPriority w:val="39"/>
    <w:unhideWhenUsed/>
    <w:pPr>
      <w:pBdr/>
      <w:spacing w:after="100"/>
      <w:ind w:left="1100"/>
    </w:pPr>
  </w:style>
  <w:style w:type="paragraph" w:styleId="986">
    <w:name w:val="toc 7"/>
    <w:basedOn w:val="814"/>
    <w:next w:val="814"/>
    <w:uiPriority w:val="39"/>
    <w:unhideWhenUsed/>
    <w:pPr>
      <w:pBdr/>
      <w:spacing w:after="100"/>
      <w:ind w:left="1320"/>
    </w:pPr>
  </w:style>
  <w:style w:type="paragraph" w:styleId="987">
    <w:name w:val="toc 8"/>
    <w:basedOn w:val="814"/>
    <w:next w:val="814"/>
    <w:uiPriority w:val="39"/>
    <w:unhideWhenUsed/>
    <w:pPr>
      <w:pBdr/>
      <w:spacing w:after="100"/>
      <w:ind w:left="1540"/>
    </w:pPr>
  </w:style>
  <w:style w:type="paragraph" w:styleId="988">
    <w:name w:val="toc 9"/>
    <w:basedOn w:val="814"/>
    <w:next w:val="814"/>
    <w:uiPriority w:val="39"/>
    <w:unhideWhenUsed/>
    <w:pPr>
      <w:pBdr/>
      <w:spacing w:after="100"/>
      <w:ind w:left="1760"/>
    </w:pPr>
  </w:style>
  <w:style w:type="paragraph" w:styleId="989">
    <w:name w:val="TOC Heading"/>
    <w:uiPriority w:val="39"/>
    <w:unhideWhenUsed/>
    <w:pPr>
      <w:pBdr/>
      <w:spacing/>
      <w:ind/>
    </w:pPr>
  </w:style>
  <w:style w:type="paragraph" w:styleId="990">
    <w:name w:val="table of figures"/>
    <w:basedOn w:val="814"/>
    <w:next w:val="814"/>
    <w:uiPriority w:val="99"/>
    <w:unhideWhenUsed/>
    <w:pPr>
      <w:pBdr/>
      <w:spacing/>
      <w:ind/>
    </w:pPr>
  </w:style>
  <w:style w:type="character" w:styleId="991" w:customStyle="1">
    <w:name w:val="Heading 1 Char"/>
    <w:basedOn w:val="824"/>
    <w:link w:val="815"/>
    <w:uiPriority w:val="9"/>
    <w:pPr>
      <w:pBdr/>
      <w:spacing/>
      <w:ind/>
    </w:pPr>
    <w:rPr>
      <w:rFonts w:ascii="Times New Roman" w:hAnsi="Times New Roman" w:eastAsiaTheme="majorEastAsia" w:cstheme="majorBidi"/>
      <w:b/>
      <w:sz w:val="26"/>
      <w:szCs w:val="32"/>
    </w:rPr>
  </w:style>
  <w:style w:type="character" w:styleId="992" w:customStyle="1">
    <w:name w:val="Heading 2 Char"/>
    <w:basedOn w:val="824"/>
    <w:link w:val="816"/>
    <w:uiPriority w:val="9"/>
    <w:semiHidden/>
    <w:pPr>
      <w:pBdr/>
      <w:spacing/>
      <w:ind/>
    </w:pPr>
    <w:rPr>
      <w:rFonts w:ascii="Times New Roman" w:hAnsi="Times New Roman" w:eastAsiaTheme="majorEastAsia" w:cstheme="majorBidi"/>
      <w:b/>
      <w:sz w:val="26"/>
      <w:szCs w:val="26"/>
    </w:rPr>
  </w:style>
  <w:style w:type="character" w:styleId="993" w:customStyle="1">
    <w:name w:val="Heading 3 Char"/>
    <w:basedOn w:val="824"/>
    <w:link w:val="817"/>
    <w:uiPriority w:val="9"/>
    <w:pPr>
      <w:pBdr/>
      <w:spacing/>
      <w:ind/>
    </w:pPr>
    <w:rPr>
      <w:rFonts w:ascii="Times New Roman" w:hAnsi="Times New Roman" w:eastAsiaTheme="majorEastAsia" w:cstheme="majorBidi"/>
      <w:b/>
      <w:i/>
      <w:sz w:val="26"/>
      <w:szCs w:val="24"/>
    </w:rPr>
  </w:style>
  <w:style w:type="character" w:styleId="994" w:customStyle="1">
    <w:name w:val="Heading 4 Char"/>
    <w:basedOn w:val="824"/>
    <w:link w:val="818"/>
    <w:uiPriority w:val="9"/>
    <w:pPr>
      <w:pBdr/>
      <w:spacing/>
      <w:ind/>
    </w:pPr>
    <w:rPr>
      <w:rFonts w:ascii="Times New Roman" w:hAnsi="Times New Roman" w:eastAsiaTheme="majorEastAsia" w:cstheme="majorBidi"/>
      <w:i/>
      <w:iCs/>
      <w:sz w:val="26"/>
    </w:rPr>
  </w:style>
  <w:style w:type="paragraph" w:styleId="995">
    <w:name w:val="Body Text Indent"/>
    <w:basedOn w:val="814"/>
    <w:link w:val="996"/>
    <w:pPr>
      <w:widowControl w:val="false"/>
      <w:pBdr/>
      <w:spacing w:line="271" w:lineRule="auto"/>
      <w:ind/>
      <w:jc w:val="both"/>
    </w:pPr>
    <w:rPr>
      <w:rFonts w:ascii=".VnTime" w:hAnsi=".VnTime"/>
      <w:b/>
      <w:color w:val="000000"/>
      <w:sz w:val="26"/>
      <w:lang w:val="vi-VN"/>
    </w:rPr>
  </w:style>
  <w:style w:type="character" w:styleId="996" w:customStyle="1">
    <w:name w:val="Body Text Indent Char"/>
    <w:basedOn w:val="824"/>
    <w:link w:val="995"/>
    <w:pPr>
      <w:pBdr/>
      <w:spacing/>
      <w:ind/>
    </w:pPr>
    <w:rPr>
      <w:rFonts w:ascii=".VnTime" w:hAnsi=".VnTime" w:eastAsia="Times New Roman" w:cs="Times New Roman"/>
      <w:b/>
      <w:color w:val="000000"/>
      <w:sz w:val="26"/>
      <w:szCs w:val="28"/>
      <w:lang w:val="vi-VN"/>
    </w:rPr>
  </w:style>
  <w:style w:type="paragraph" w:styleId="997">
    <w:name w:val="Normal (Web)"/>
    <w:basedOn w:val="814"/>
    <w:uiPriority w:val="99"/>
    <w:pPr>
      <w:pBdr/>
      <w:spacing w:after="100" w:afterAutospacing="1" w:before="100" w:beforeAutospacing="1" w:line="271" w:lineRule="auto"/>
      <w:ind/>
    </w:pPr>
    <w:rPr>
      <w:sz w:val="24"/>
      <w:szCs w:val="24"/>
      <w:lang w:val="vi-VN"/>
    </w:rPr>
  </w:style>
  <w:style w:type="character" w:styleId="998" w:customStyle="1">
    <w:name w:val="fontstyle01"/>
    <w:pPr>
      <w:pBdr/>
      <w:spacing/>
      <w:ind/>
    </w:pPr>
    <w:rPr>
      <w:rFonts w:hint="default" w:ascii="Times New Roman" w:hAnsi="Times New Roman" w:cs="Times New Roman"/>
      <w:b w:val="0"/>
      <w:bCs w:val="0"/>
      <w:i w:val="0"/>
      <w:iCs w:val="0"/>
      <w:color w:val="000000"/>
      <w:sz w:val="28"/>
      <w:szCs w:val="28"/>
    </w:rPr>
  </w:style>
  <w:style w:type="paragraph" w:styleId="999">
    <w:name w:val="Header"/>
    <w:basedOn w:val="814"/>
    <w:link w:val="1000"/>
    <w:uiPriority w:val="99"/>
    <w:unhideWhenUsed/>
    <w:pPr>
      <w:pBdr/>
      <w:tabs>
        <w:tab w:val="center" w:leader="none" w:pos="4680"/>
        <w:tab w:val="right" w:leader="none" w:pos="9360"/>
      </w:tabs>
      <w:spacing/>
      <w:ind/>
    </w:pPr>
  </w:style>
  <w:style w:type="character" w:styleId="1000" w:customStyle="1">
    <w:name w:val="Header Char"/>
    <w:basedOn w:val="824"/>
    <w:link w:val="999"/>
    <w:uiPriority w:val="99"/>
    <w:pPr>
      <w:pBdr/>
      <w:spacing/>
      <w:ind/>
    </w:pPr>
    <w:rPr>
      <w:rFonts w:ascii="Times New Roman" w:hAnsi="Times New Roman" w:eastAsia="Times New Roman" w:cs="Times New Roman"/>
      <w:sz w:val="28"/>
      <w:szCs w:val="28"/>
    </w:rPr>
  </w:style>
  <w:style w:type="paragraph" w:styleId="1001">
    <w:name w:val="Footer"/>
    <w:basedOn w:val="814"/>
    <w:link w:val="1002"/>
    <w:uiPriority w:val="99"/>
    <w:unhideWhenUsed/>
    <w:pPr>
      <w:pBdr/>
      <w:tabs>
        <w:tab w:val="center" w:leader="none" w:pos="4680"/>
        <w:tab w:val="right" w:leader="none" w:pos="9360"/>
      </w:tabs>
      <w:spacing/>
      <w:ind/>
    </w:pPr>
  </w:style>
  <w:style w:type="character" w:styleId="1002" w:customStyle="1">
    <w:name w:val="Footer Char"/>
    <w:basedOn w:val="824"/>
    <w:link w:val="1001"/>
    <w:uiPriority w:val="99"/>
    <w:pPr>
      <w:pBdr/>
      <w:spacing/>
      <w:ind/>
    </w:pPr>
    <w:rPr>
      <w:rFonts w:ascii="Times New Roman" w:hAnsi="Times New Roman" w:eastAsia="Times New Roman" w:cs="Times New Roman"/>
      <w:sz w:val="28"/>
      <w:szCs w:val="28"/>
    </w:rPr>
  </w:style>
  <w:style w:type="paragraph" w:styleId="1003">
    <w:name w:val="Title"/>
    <w:basedOn w:val="814"/>
    <w:link w:val="1004"/>
    <w:uiPriority w:val="1"/>
    <w:qFormat/>
    <w:pPr>
      <w:pBdr/>
      <w:spacing/>
      <w:ind/>
      <w:jc w:val="center"/>
    </w:pPr>
    <w:rPr>
      <w:rFonts w:ascii=".VnTimeH" w:hAnsi=".VnTimeH"/>
      <w:b/>
      <w:bCs/>
      <w:sz w:val="32"/>
      <w:szCs w:val="20"/>
    </w:rPr>
  </w:style>
  <w:style w:type="character" w:styleId="1004" w:customStyle="1">
    <w:name w:val="Title Char"/>
    <w:basedOn w:val="824"/>
    <w:link w:val="1003"/>
    <w:uiPriority w:val="1"/>
    <w:pPr>
      <w:pBdr/>
      <w:spacing/>
      <w:ind/>
    </w:pPr>
    <w:rPr>
      <w:rFonts w:ascii=".VnTimeH" w:hAnsi=".VnTimeH" w:eastAsia="Times New Roman" w:cs="Times New Roman"/>
      <w:b/>
      <w:bCs/>
      <w:sz w:val="32"/>
      <w:szCs w:val="20"/>
    </w:rPr>
  </w:style>
  <w:style w:type="paragraph" w:styleId="1005">
    <w:name w:val="List Paragraph"/>
    <w:basedOn w:val="814"/>
    <w:uiPriority w:val="34"/>
    <w:qFormat/>
    <w:pPr>
      <w:pBdr/>
      <w:spacing/>
      <w:ind w:left="720"/>
      <w:contextualSpacing w:val="true"/>
    </w:pPr>
  </w:style>
  <w:style w:type="character" w:styleId="1006">
    <w:name w:val="Hyperlink"/>
    <w:basedOn w:val="824"/>
    <w:uiPriority w:val="99"/>
    <w:unhideWhenUsed/>
    <w:pPr>
      <w:pBdr/>
      <w:spacing/>
      <w:ind/>
    </w:pPr>
    <w:rPr>
      <w:color w:val="0563c1" w:themeColor="hyperlink"/>
      <w:u w:val="single"/>
    </w:rPr>
  </w:style>
  <w:style w:type="character" w:styleId="1007" w:customStyle="1">
    <w:name w:val="Unresolved Mention1"/>
    <w:basedOn w:val="824"/>
    <w:uiPriority w:val="99"/>
    <w:semiHidden/>
    <w:unhideWhenUsed/>
    <w:pPr>
      <w:pBdr/>
      <w:spacing/>
      <w:ind/>
    </w:pPr>
    <w:rPr>
      <w:color w:val="605e5c"/>
      <w:shd w:val="clear" w:color="auto" w:fill="e1dfdd"/>
    </w:rPr>
  </w:style>
  <w:style w:type="character" w:styleId="1008" w:customStyle="1">
    <w:name w:val="Unresolved Mention2"/>
    <w:basedOn w:val="82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Lưu Hương Xuân</cp:lastModifiedBy>
  <cp:revision>23</cp:revision>
  <dcterms:created xsi:type="dcterms:W3CDTF">2026-05-05T06:54:00Z</dcterms:created>
  <dcterms:modified xsi:type="dcterms:W3CDTF">2026-05-14T03:03:26Z</dcterms:modified>
</cp:coreProperties>
</file>