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70"/>
      </w:tblGrid>
      <w:tr w:rsidR="00A70CCE" w:rsidTr="00A70CCE">
        <w:tc>
          <w:tcPr>
            <w:tcW w:w="3652" w:type="dxa"/>
          </w:tcPr>
          <w:p w:rsidR="00A70CCE" w:rsidRDefault="00B2311D" w:rsidP="00A70CCE">
            <w:pPr>
              <w:jc w:val="center"/>
              <w:rPr>
                <w:rFonts w:ascii="TimesNewRomanPS-BoldMT" w:eastAsia="Times New Roman" w:hAnsi="TimesNewRomanPS-BoldMT" w:cs="Times New Roman"/>
                <w:b/>
                <w:bCs/>
                <w:color w:val="000000"/>
                <w:sz w:val="26"/>
              </w:rPr>
            </w:pPr>
            <w:r>
              <w:rPr>
                <w:rFonts w:ascii="TimesNewRomanPS-BoldMT" w:eastAsia="Times New Roman" w:hAnsi="TimesNewRomanPS-BoldMT" w:cs="Times New Roman"/>
                <w:b/>
                <w:bCs/>
                <w:noProof/>
                <w:color w:val="000000"/>
                <w:sz w:val="26"/>
              </w:rPr>
              <w:pict>
                <v:shapetype id="_x0000_t32" coordsize="21600,21600" o:spt="32" o:oned="t" path="m,l21600,21600e" filled="f">
                  <v:path arrowok="t" fillok="f" o:connecttype="none"/>
                  <o:lock v:ext="edit" shapetype="t"/>
                </v:shapetype>
                <v:shape id="_x0000_s1027" type="#_x0000_t32" style="position:absolute;left:0;text-align:left;margin-left:53.7pt;margin-top:32.55pt;width:53.25pt;height:0;z-index:251658240" o:connectortype="straight"/>
              </w:pict>
            </w:r>
            <w:r w:rsidR="00A70CCE" w:rsidRPr="00A70CCE">
              <w:rPr>
                <w:rFonts w:ascii="TimesNewRomanPS-BoldMT" w:eastAsia="Times New Roman" w:hAnsi="TimesNewRomanPS-BoldMT" w:cs="Times New Roman"/>
                <w:b/>
                <w:bCs/>
                <w:color w:val="000000"/>
                <w:sz w:val="26"/>
              </w:rPr>
              <w:t xml:space="preserve">HỘI ĐỒNG NHÂN DÂN </w:t>
            </w:r>
          </w:p>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TỈNH HẢI DƯƠNG</w:t>
            </w:r>
          </w:p>
          <w:p w:rsidR="00A70CCE" w:rsidRDefault="00A70CCE" w:rsidP="00A70CCE">
            <w:pPr>
              <w:jc w:val="center"/>
              <w:rPr>
                <w:rFonts w:ascii="TimesNewRomanPSMT" w:eastAsia="Times New Roman" w:hAnsi="TimesNewRomanPSMT" w:cs="Times New Roman"/>
                <w:color w:val="000000"/>
              </w:rPr>
            </w:pPr>
          </w:p>
          <w:p w:rsidR="00A70CCE" w:rsidRDefault="00A70CCE" w:rsidP="007E678A">
            <w:pPr>
              <w:jc w:val="center"/>
              <w:rPr>
                <w:rFonts w:ascii="TimesNewRomanPS-BoldMT" w:eastAsia="Times New Roman" w:hAnsi="TimesNewRomanPS-BoldMT" w:cs="Times New Roman"/>
                <w:b/>
                <w:bCs/>
                <w:color w:val="000000"/>
                <w:sz w:val="26"/>
              </w:rPr>
            </w:pPr>
            <w:r w:rsidRPr="00A70CCE">
              <w:rPr>
                <w:rFonts w:ascii="TimesNewRomanPSMT" w:eastAsia="Times New Roman" w:hAnsi="TimesNewRomanPSMT" w:cs="Times New Roman"/>
                <w:color w:val="000000"/>
              </w:rPr>
              <w:t xml:space="preserve">Số: </w:t>
            </w:r>
            <w:r w:rsidR="00DF28CB">
              <w:rPr>
                <w:rFonts w:ascii="TimesNewRomanPSMT" w:eastAsia="Times New Roman" w:hAnsi="TimesNewRomanPSMT" w:cs="Times New Roman"/>
                <w:color w:val="000000"/>
              </w:rPr>
              <w:t>0</w:t>
            </w:r>
            <w:r w:rsidR="007E678A">
              <w:rPr>
                <w:rFonts w:ascii="TimesNewRomanPSMT" w:eastAsia="Times New Roman" w:hAnsi="TimesNewRomanPSMT" w:cs="Times New Roman"/>
                <w:color w:val="000000"/>
              </w:rPr>
              <w:t>5</w:t>
            </w:r>
            <w:r w:rsidRPr="00A70CCE">
              <w:rPr>
                <w:rFonts w:ascii="TimesNewRomanPSMT" w:eastAsia="Times New Roman" w:hAnsi="TimesNewRomanPSMT" w:cs="Times New Roman"/>
                <w:color w:val="000000"/>
              </w:rPr>
              <w:t>/202</w:t>
            </w:r>
            <w:r w:rsidR="00DF28CB">
              <w:rPr>
                <w:rFonts w:ascii="TimesNewRomanPSMT" w:eastAsia="Times New Roman" w:hAnsi="TimesNewRomanPSMT" w:cs="Times New Roman"/>
                <w:color w:val="000000"/>
              </w:rPr>
              <w:t>4</w:t>
            </w:r>
            <w:r w:rsidRPr="00A70CCE">
              <w:rPr>
                <w:rFonts w:ascii="TimesNewRomanPSMT" w:eastAsia="Times New Roman" w:hAnsi="TimesNewRomanPSMT" w:cs="Times New Roman"/>
                <w:color w:val="000000"/>
              </w:rPr>
              <w:t>/NQ-HĐND</w:t>
            </w:r>
          </w:p>
        </w:tc>
        <w:tc>
          <w:tcPr>
            <w:tcW w:w="5670" w:type="dxa"/>
          </w:tcPr>
          <w:p w:rsidR="00A70CCE" w:rsidRPr="00A70CCE" w:rsidRDefault="00A70CCE" w:rsidP="00A70CCE">
            <w:pPr>
              <w:jc w:val="center"/>
              <w:rPr>
                <w:rFonts w:ascii="TimesNewRomanPS-BoldMT" w:eastAsia="Times New Roman" w:hAnsi="TimesNewRomanPS-BoldMT" w:cs="Times New Roman"/>
                <w:b/>
                <w:bCs/>
                <w:color w:val="000000"/>
                <w:sz w:val="26"/>
              </w:rPr>
            </w:pPr>
            <w:r w:rsidRPr="00A70CCE">
              <w:rPr>
                <w:rFonts w:ascii="TimesNewRomanPS-BoldMT" w:eastAsia="Times New Roman" w:hAnsi="TimesNewRomanPS-BoldMT" w:cs="Times New Roman"/>
                <w:b/>
                <w:bCs/>
                <w:color w:val="000000"/>
                <w:sz w:val="26"/>
              </w:rPr>
              <w:t>CỘNG HÒA XÃ HỘI CHỦ NGHĨA VIỆT NAM</w:t>
            </w:r>
          </w:p>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Độc lập - Tự do - Hạnh phúc</w:t>
            </w:r>
          </w:p>
          <w:p w:rsidR="00A70CCE" w:rsidRDefault="00B2311D" w:rsidP="00A70CCE">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8" type="#_x0000_t32" style="position:absolute;left:0;text-align:left;margin-left:48.85pt;margin-top:1.5pt;width:174.75pt;height:0;z-index:251659264" o:connectortype="straight"/>
              </w:pict>
            </w:r>
          </w:p>
          <w:p w:rsidR="00A70CCE" w:rsidRPr="00A70CCE" w:rsidRDefault="00A70CCE" w:rsidP="00A70CCE">
            <w:pPr>
              <w:jc w:val="center"/>
              <w:rPr>
                <w:rFonts w:ascii="TimesNewRomanPS-ItalicMT" w:eastAsia="Times New Roman" w:hAnsi="TimesNewRomanPS-ItalicMT" w:cs="Times New Roman"/>
                <w:i/>
                <w:iCs/>
                <w:color w:val="000000"/>
              </w:rPr>
            </w:pPr>
            <w:r w:rsidRPr="00A70CCE">
              <w:rPr>
                <w:rFonts w:ascii="TimesNewRomanPS-ItalicMT" w:eastAsia="Times New Roman" w:hAnsi="TimesNewRomanPS-ItalicMT" w:cs="Times New Roman"/>
                <w:i/>
                <w:iCs/>
                <w:color w:val="000000"/>
              </w:rPr>
              <w:t xml:space="preserve">Hải Dương, ngày </w:t>
            </w:r>
            <w:r w:rsidR="00B755DF">
              <w:rPr>
                <w:rFonts w:ascii="TimesNewRomanPS-ItalicMT" w:eastAsia="Times New Roman" w:hAnsi="TimesNewRomanPS-ItalicMT" w:cs="Times New Roman"/>
                <w:i/>
                <w:iCs/>
                <w:color w:val="000000"/>
              </w:rPr>
              <w:t>30</w:t>
            </w:r>
            <w:r w:rsidRPr="00A70CCE">
              <w:rPr>
                <w:rFonts w:ascii="TimesNewRomanPS-ItalicMT" w:eastAsia="Times New Roman" w:hAnsi="TimesNewRomanPS-ItalicMT" w:cs="Times New Roman"/>
                <w:i/>
                <w:iCs/>
                <w:color w:val="000000"/>
              </w:rPr>
              <w:t xml:space="preserve"> tháng </w:t>
            </w:r>
            <w:r w:rsidR="00B755DF">
              <w:rPr>
                <w:rFonts w:ascii="TimesNewRomanPS-ItalicMT" w:eastAsia="Times New Roman" w:hAnsi="TimesNewRomanPS-ItalicMT" w:cs="Times New Roman"/>
                <w:i/>
                <w:iCs/>
                <w:color w:val="000000"/>
              </w:rPr>
              <w:t>5</w:t>
            </w:r>
            <w:r w:rsidRPr="00A70CCE">
              <w:rPr>
                <w:rFonts w:ascii="TimesNewRomanPS-ItalicMT" w:eastAsia="Times New Roman" w:hAnsi="TimesNewRomanPS-ItalicMT" w:cs="Times New Roman"/>
                <w:i/>
                <w:iCs/>
                <w:color w:val="000000"/>
              </w:rPr>
              <w:t xml:space="preserve"> năm 202</w:t>
            </w:r>
            <w:r w:rsidR="00DF28CB">
              <w:rPr>
                <w:rFonts w:ascii="TimesNewRomanPS-ItalicMT" w:eastAsia="Times New Roman" w:hAnsi="TimesNewRomanPS-ItalicMT" w:cs="Times New Roman"/>
                <w:i/>
                <w:iCs/>
                <w:color w:val="000000"/>
              </w:rPr>
              <w:t>4</w:t>
            </w:r>
          </w:p>
          <w:p w:rsidR="00A70CCE" w:rsidRDefault="00A70CCE" w:rsidP="00A70CCE">
            <w:pPr>
              <w:jc w:val="center"/>
              <w:rPr>
                <w:rFonts w:ascii="TimesNewRomanPS-BoldMT" w:eastAsia="Times New Roman" w:hAnsi="TimesNewRomanPS-BoldMT" w:cs="Times New Roman"/>
                <w:b/>
                <w:bCs/>
                <w:color w:val="000000"/>
                <w:sz w:val="26"/>
              </w:rPr>
            </w:pPr>
          </w:p>
        </w:tc>
      </w:tr>
    </w:tbl>
    <w:p w:rsidR="00A70CCE" w:rsidRPr="00A70CCE" w:rsidRDefault="00A70CCE" w:rsidP="00A70CCE">
      <w:pPr>
        <w:spacing w:after="0" w:line="240" w:lineRule="auto"/>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NGHỊ QUYẾT</w:t>
      </w:r>
    </w:p>
    <w:p w:rsidR="007E678A" w:rsidRDefault="007E678A" w:rsidP="00DF30C8">
      <w:pPr>
        <w:spacing w:after="0" w:line="240" w:lineRule="auto"/>
        <w:jc w:val="center"/>
        <w:rPr>
          <w:rFonts w:ascii="TimesNewRomanPS-BoldMT" w:hAnsi="TimesNewRomanPS-BoldMT"/>
          <w:b/>
          <w:bCs/>
          <w:color w:val="000000"/>
          <w:szCs w:val="28"/>
        </w:rPr>
      </w:pPr>
      <w:r w:rsidRPr="007E678A">
        <w:rPr>
          <w:rFonts w:ascii="TimesNewRomanPS-BoldMT" w:hAnsi="TimesNewRomanPS-BoldMT"/>
          <w:b/>
          <w:bCs/>
          <w:color w:val="000000"/>
          <w:szCs w:val="28"/>
        </w:rPr>
        <w:t xml:space="preserve">Quy định mức hỗ trợ đối với lực lượng tham gia bảo vệ an ninh, trật tự </w:t>
      </w:r>
    </w:p>
    <w:p w:rsidR="00A70CCE" w:rsidRPr="00B325ED" w:rsidRDefault="007E678A" w:rsidP="00DF30C8">
      <w:pPr>
        <w:spacing w:after="0" w:line="240" w:lineRule="auto"/>
        <w:jc w:val="center"/>
        <w:rPr>
          <w:rFonts w:ascii="TimesNewRomanPS-BoldMT" w:eastAsia="Times New Roman" w:hAnsi="TimesNewRomanPS-BoldMT" w:cs="Times New Roman"/>
          <w:b/>
          <w:bCs/>
          <w:color w:val="000000"/>
          <w:szCs w:val="28"/>
        </w:rPr>
      </w:pPr>
      <w:r w:rsidRPr="007E678A">
        <w:rPr>
          <w:rFonts w:ascii="TimesNewRomanPS-BoldMT" w:hAnsi="TimesNewRomanPS-BoldMT"/>
          <w:b/>
          <w:bCs/>
          <w:color w:val="000000"/>
          <w:szCs w:val="28"/>
        </w:rPr>
        <w:t>ở cơ sở trên địa bàn tỉnh Hải Dương</w:t>
      </w:r>
    </w:p>
    <w:p w:rsidR="00A70CCE" w:rsidRDefault="00B2311D" w:rsidP="00A70CCE">
      <w:pPr>
        <w:spacing w:after="0" w:line="240" w:lineRule="auto"/>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9" type="#_x0000_t32" style="position:absolute;margin-left:161.7pt;margin-top:3.25pt;width:131.25pt;height:0;z-index:251660288" o:connectortype="straight"/>
        </w:pic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HỘI ĐỒNG NHÂN DÂN TỈNH HẢI DƯƠNG</w:t>
      </w:r>
    </w:p>
    <w:p w:rsidR="00A70CCE" w:rsidRPr="00A70CCE" w:rsidRDefault="00A70CCE" w:rsidP="00A70CCE">
      <w:pPr>
        <w:spacing w:after="0" w:line="240" w:lineRule="auto"/>
        <w:jc w:val="center"/>
        <w:rPr>
          <w:rFonts w:ascii="TimesNewRomanPS-BoldMT" w:eastAsia="Times New Roman" w:hAnsi="TimesNewRomanPS-BoldMT" w:cs="Times New Roman"/>
          <w:b/>
          <w:bCs/>
          <w:color w:val="000000"/>
        </w:rPr>
      </w:pPr>
      <w:r w:rsidRPr="00A70CCE">
        <w:rPr>
          <w:rFonts w:ascii="TimesNewRomanPS-BoldMT" w:eastAsia="Times New Roman" w:hAnsi="TimesNewRomanPS-BoldMT" w:cs="Times New Roman"/>
          <w:b/>
          <w:bCs/>
          <w:color w:val="000000"/>
        </w:rPr>
        <w:t xml:space="preserve">KHÓA XVII, KỲ HỌP THỨ </w:t>
      </w:r>
      <w:r w:rsidR="00DF30C8">
        <w:rPr>
          <w:rFonts w:ascii="TimesNewRomanPS-BoldMT" w:eastAsia="Times New Roman" w:hAnsi="TimesNewRomanPS-BoldMT" w:cs="Times New Roman"/>
          <w:b/>
          <w:bCs/>
          <w:color w:val="000000"/>
        </w:rPr>
        <w:t>22</w:t>
      </w:r>
    </w:p>
    <w:p w:rsidR="00A70CCE" w:rsidRDefault="00A70CCE" w:rsidP="00A70CCE">
      <w:pPr>
        <w:spacing w:after="0" w:line="240" w:lineRule="auto"/>
        <w:rPr>
          <w:rFonts w:ascii="TimesNewRomanPS-ItalicMT" w:eastAsia="Times New Roman" w:hAnsi="TimesNewRomanPS-ItalicMT" w:cs="Times New Roman"/>
          <w:i/>
          <w:iCs/>
          <w:color w:val="000000"/>
        </w:rPr>
      </w:pP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Luật Ngân sách nhà nước ngày 25 tháng 6 năm 2015;</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Luật Lực lượng tham gia bảo vệ an ninh, trật tự ở cơ sở ngày 28 tháng 11 năm 2023;</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Nghị định số 163/2016/NĐ-CP ngày 21 tháng 12 năm 2016 của Chính phủ quy định chi tiết thi hành một số điều của Luật Ngân sách nhà nước;</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Nghị định số 33/2023/NĐ-CP ngày 10 tháng 6 năm 2023 của Chính phủ quy định về cán bộ, công chức cấp xã và người hoạt động không chuyên trách ở cấp xã, ở thôn, tổ dân phố;</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Nghị định số 40/2024/NĐ-CP ngày 16 tháng 4 năm 2024 của Chính phủ quy định chi tiết một số điều của Luật Lực lượng tham gia bảo vệ an ninh, trật tự ở cơ sở;</w:t>
      </w:r>
    </w:p>
    <w:p w:rsidR="007E678A" w:rsidRPr="007E678A" w:rsidRDefault="007E678A" w:rsidP="007E678A">
      <w:pPr>
        <w:spacing w:before="120" w:after="120" w:line="240" w:lineRule="auto"/>
        <w:ind w:firstLine="567"/>
        <w:jc w:val="both"/>
        <w:rPr>
          <w:rFonts w:ascii="TimesNewRomanPS-ItalicMT" w:eastAsia="Times New Roman" w:hAnsi="TimesNewRomanPS-ItalicMT" w:cs="Times New Roman"/>
          <w:i/>
          <w:iCs/>
          <w:color w:val="000000"/>
          <w:szCs w:val="28"/>
        </w:rPr>
      </w:pPr>
      <w:r w:rsidRPr="007E678A">
        <w:rPr>
          <w:rFonts w:ascii="TimesNewRomanPS-ItalicMT" w:eastAsia="Times New Roman" w:hAnsi="TimesNewRomanPS-ItalicMT" w:cs="Times New Roman"/>
          <w:i/>
          <w:iCs/>
          <w:color w:val="000000"/>
          <w:szCs w:val="28"/>
        </w:rPr>
        <w:t>Căn cứ Thông tư số 14/2024/TT-BCA ngày 22 tháng 4 năm 2024 của Bộ trưởng Bộ Công an quy định chi tiết thi hành một số điều của Luật Lực lượng tham gia bảo vệ an ninh, trật tự ở cơ sở;</w:t>
      </w:r>
    </w:p>
    <w:p w:rsidR="00DF28CB" w:rsidRPr="00DF30C8" w:rsidRDefault="007E678A" w:rsidP="007E678A">
      <w:pPr>
        <w:spacing w:before="120" w:after="120" w:line="240" w:lineRule="auto"/>
        <w:ind w:firstLine="567"/>
        <w:jc w:val="both"/>
        <w:rPr>
          <w:rFonts w:eastAsia="Times New Roman" w:cs="Times New Roman"/>
          <w:b/>
          <w:bCs/>
          <w:i/>
          <w:color w:val="000000"/>
          <w:szCs w:val="28"/>
        </w:rPr>
      </w:pPr>
      <w:r w:rsidRPr="007E678A">
        <w:rPr>
          <w:rFonts w:ascii="TimesNewRomanPS-ItalicMT" w:eastAsia="Times New Roman" w:hAnsi="TimesNewRomanPS-ItalicMT" w:cs="Times New Roman"/>
          <w:i/>
          <w:iCs/>
          <w:color w:val="000000"/>
          <w:szCs w:val="28"/>
        </w:rPr>
        <w:t>Xét Tờ trình số 63/TTr-UBND ngày 29 tháng 5 năm 2024 của Ủy ban nhân dân tỉnh đề nghị ban hành Nghị quyết của Hội đồng nhân dân tỉnh về tiêu chí thành lập Tổ bảo vệ an ninh, trật tự; tiêu chí về số lượng thành viên Tổ bảo vệ an ninh, trật tự trên địa bàn tỉnh và Nghị quyết quy định một số chính sách hỗ trợ, bồi dưỡng đối với người tham gia bảo vệ an ninh, trật tự ở cơ sở trên địa bàn tỉnh Hải Dương; Báo cáo thẩm tra của Ban Pháp chế Hội đồng nhân dân tỉnh và ý kiến thảo luận của đại biểu Hội đồng nhân dân tỉnh tại kỳ họp</w:t>
      </w:r>
      <w:r w:rsidR="00B325ED" w:rsidRPr="00DF30C8">
        <w:rPr>
          <w:rStyle w:val="fontstyle01"/>
          <w:rFonts w:ascii="Times New Roman" w:hAnsi="Times New Roman" w:cs="Times New Roman"/>
          <w:b w:val="0"/>
          <w:i/>
          <w:sz w:val="28"/>
          <w:szCs w:val="28"/>
        </w:rPr>
        <w:t>.</w:t>
      </w:r>
    </w:p>
    <w:p w:rsidR="00DF30C8" w:rsidRPr="00B2311D" w:rsidRDefault="00DF30C8" w:rsidP="00B755DF">
      <w:pPr>
        <w:spacing w:before="120" w:after="120" w:line="240" w:lineRule="auto"/>
        <w:ind w:firstLine="567"/>
        <w:jc w:val="center"/>
        <w:rPr>
          <w:rFonts w:eastAsia="Times New Roman" w:cs="Times New Roman"/>
          <w:b/>
          <w:bCs/>
          <w:color w:val="000000"/>
          <w:sz w:val="6"/>
          <w:szCs w:val="28"/>
        </w:rPr>
      </w:pPr>
    </w:p>
    <w:p w:rsidR="00A70CCE" w:rsidRDefault="00A70CCE" w:rsidP="00B755DF">
      <w:pPr>
        <w:spacing w:before="120" w:after="120" w:line="240" w:lineRule="auto"/>
        <w:ind w:firstLine="567"/>
        <w:jc w:val="center"/>
        <w:rPr>
          <w:rFonts w:eastAsia="Times New Roman" w:cs="Times New Roman"/>
          <w:b/>
          <w:bCs/>
          <w:color w:val="000000"/>
          <w:szCs w:val="28"/>
        </w:rPr>
      </w:pPr>
      <w:r w:rsidRPr="00B325ED">
        <w:rPr>
          <w:rFonts w:eastAsia="Times New Roman" w:cs="Times New Roman"/>
          <w:b/>
          <w:bCs/>
          <w:color w:val="000000"/>
          <w:szCs w:val="28"/>
        </w:rPr>
        <w:t>QUYẾT NGHỊ:</w:t>
      </w:r>
    </w:p>
    <w:p w:rsidR="00DF30C8" w:rsidRPr="00B2311D" w:rsidRDefault="00DF30C8" w:rsidP="00B755DF">
      <w:pPr>
        <w:spacing w:before="120" w:after="120" w:line="240" w:lineRule="auto"/>
        <w:ind w:firstLine="567"/>
        <w:jc w:val="center"/>
        <w:rPr>
          <w:rFonts w:eastAsia="Times New Roman" w:cs="Times New Roman"/>
          <w:b/>
          <w:bCs/>
          <w:color w:val="000000"/>
          <w:sz w:val="2"/>
          <w:szCs w:val="28"/>
        </w:rPr>
      </w:pPr>
    </w:p>
    <w:p w:rsidR="007E678A" w:rsidRPr="007E678A" w:rsidRDefault="007E678A" w:rsidP="007E678A">
      <w:pPr>
        <w:spacing w:before="120" w:after="120" w:line="240" w:lineRule="auto"/>
        <w:ind w:firstLine="567"/>
        <w:jc w:val="both"/>
        <w:rPr>
          <w:rFonts w:ascii="TimesNewRomanPS-BoldMT" w:eastAsia="Times New Roman" w:hAnsi="TimesNewRomanPS-BoldMT" w:cs="Times New Roman"/>
          <w:b/>
          <w:bCs/>
          <w:color w:val="000000"/>
          <w:szCs w:val="28"/>
        </w:rPr>
      </w:pPr>
      <w:r w:rsidRPr="007E678A">
        <w:rPr>
          <w:rFonts w:ascii="TimesNewRomanPS-BoldMT" w:eastAsia="Times New Roman" w:hAnsi="TimesNewRomanPS-BoldMT" w:cs="Times New Roman"/>
          <w:b/>
          <w:bCs/>
          <w:color w:val="000000"/>
          <w:szCs w:val="28"/>
        </w:rPr>
        <w:t>Điều 1. Quy định mức hỗ trợ đối với người tham gia lực lượng bảo vệ an ninh, trật tự ở cơ sở</w:t>
      </w:r>
    </w:p>
    <w:p w:rsid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t xml:space="preserve">Tổ trưởng: 1.600.000 đồng/người/tháng. </w:t>
      </w:r>
    </w:p>
    <w:p w:rsid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lastRenderedPageBreak/>
        <w:t xml:space="preserve">Tổ phó : 1.400.000 đồng/người/tháng. </w:t>
      </w:r>
    </w:p>
    <w:p w:rsidR="007E678A" w:rsidRDefault="007E678A" w:rsidP="007E678A">
      <w:pPr>
        <w:spacing w:before="120" w:after="120" w:line="240" w:lineRule="auto"/>
        <w:ind w:firstLine="567"/>
        <w:jc w:val="both"/>
        <w:rPr>
          <w:rFonts w:eastAsia="Times New Roman" w:cs="Times New Roman"/>
          <w:sz w:val="24"/>
          <w:szCs w:val="24"/>
        </w:rPr>
      </w:pPr>
      <w:r w:rsidRPr="007E678A">
        <w:rPr>
          <w:rFonts w:ascii="TimesNewRomanPSMT" w:eastAsia="Times New Roman" w:hAnsi="TimesNewRomanPSMT" w:cs="Times New Roman"/>
          <w:color w:val="000000"/>
          <w:szCs w:val="28"/>
        </w:rPr>
        <w:t>Tổ viên : 1.200.000 đồng/người/tháng.</w:t>
      </w:r>
      <w:r w:rsidRPr="007E678A">
        <w:rPr>
          <w:rFonts w:eastAsia="Times New Roman" w:cs="Times New Roman"/>
          <w:sz w:val="24"/>
          <w:szCs w:val="24"/>
        </w:rPr>
        <w:t xml:space="preserve"> </w:t>
      </w:r>
    </w:p>
    <w:p w:rsidR="007E678A" w:rsidRPr="007E678A" w:rsidRDefault="007E678A" w:rsidP="007E678A">
      <w:pPr>
        <w:spacing w:before="120" w:after="120" w:line="240" w:lineRule="auto"/>
        <w:ind w:firstLine="567"/>
        <w:jc w:val="both"/>
        <w:rPr>
          <w:rFonts w:ascii="TimesNewRomanPS-BoldMT" w:eastAsia="Times New Roman" w:hAnsi="TimesNewRomanPS-BoldMT" w:cs="Times New Roman"/>
          <w:b/>
          <w:bCs/>
          <w:color w:val="000000"/>
          <w:szCs w:val="28"/>
        </w:rPr>
      </w:pPr>
      <w:r w:rsidRPr="007E678A">
        <w:rPr>
          <w:rFonts w:ascii="TimesNewRomanPS-BoldMT" w:eastAsia="Times New Roman" w:hAnsi="TimesNewRomanPS-BoldMT" w:cs="Times New Roman"/>
          <w:b/>
          <w:bCs/>
          <w:color w:val="000000"/>
          <w:szCs w:val="28"/>
        </w:rPr>
        <w:t>Điều 2. Kinh phí thực hiện</w:t>
      </w:r>
    </w:p>
    <w:p w:rsidR="007E678A" w:rsidRP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t>Kinh phí thực hiện do ngân sách địa phương đảm bảo theo phân cấp và các nguồn kinh phí hợp pháp khác theo quy định của pháp luật.</w:t>
      </w:r>
    </w:p>
    <w:p w:rsidR="007E678A" w:rsidRPr="007E678A" w:rsidRDefault="007E678A" w:rsidP="007E678A">
      <w:pPr>
        <w:spacing w:before="120" w:after="120" w:line="240" w:lineRule="auto"/>
        <w:ind w:firstLine="567"/>
        <w:jc w:val="both"/>
        <w:rPr>
          <w:rFonts w:ascii="TimesNewRomanPS-BoldMT" w:eastAsia="Times New Roman" w:hAnsi="TimesNewRomanPS-BoldMT" w:cs="Times New Roman"/>
          <w:b/>
          <w:bCs/>
          <w:color w:val="000000"/>
          <w:szCs w:val="28"/>
        </w:rPr>
      </w:pPr>
      <w:r w:rsidRPr="007E678A">
        <w:rPr>
          <w:rFonts w:ascii="TimesNewRomanPS-BoldMT" w:eastAsia="Times New Roman" w:hAnsi="TimesNewRomanPS-BoldMT" w:cs="Times New Roman"/>
          <w:b/>
          <w:bCs/>
          <w:color w:val="000000"/>
          <w:szCs w:val="28"/>
        </w:rPr>
        <w:t>Điều 3. Điều khoản thi hành</w:t>
      </w:r>
    </w:p>
    <w:p w:rsidR="007E678A" w:rsidRP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t>Bãi bỏ Nghị quyết số 122/2009/NQ-HĐND ngày 09 tháng 7 năm 2009 của Hội đồng nhân dân tỉnh Hải Dương về mức phụ cấp đối với bảo vệ dân phố trên địa bàn tỉnh, Nghị quyết số 05/2022/NQ-HĐND ngày 12 tháng 7 năm 2022 của Hội đồng nhân dân tỉnh Hải Dương quy định mức hỗ trợ thường xuyên hàng tháng cho các chức danh Đội trưởng, Đội phó đội dân phòng tại thôn, khu dân cư trên địa bàn tỉnh Hải Dương; bãi bỏ các chức danh, mức phụ cấp đối với Công an viên, Bảo vệ dân phố quy định tại điểm t, u khoản 1 Điều 2, khoản 1 Điều 5 và số thứ tự 19, 20 phụ lục 1 Nghị quyết số 26/2023/NQ-HĐND ngày 08 tháng 12 năm 2023 của Hội đồng nhân dân tỉnh quy định chức danh, mức phụ cấp, mức hỗ trợ đối với người hoạt động không chuyên trách và mức khoán kinh phí hoạt động các tổ chức chính trị - xã hội ở cấp xã, ở thôn, khu dân cư trên địa bàn tỉnh kể từ ngày Nghị quyết này có hiệu lực thi hành.</w:t>
      </w:r>
    </w:p>
    <w:p w:rsidR="007E678A" w:rsidRPr="007E678A" w:rsidRDefault="007E678A" w:rsidP="007E678A">
      <w:pPr>
        <w:spacing w:before="120" w:after="120" w:line="240" w:lineRule="auto"/>
        <w:ind w:firstLine="567"/>
        <w:jc w:val="both"/>
        <w:rPr>
          <w:rFonts w:ascii="TimesNewRomanPS-BoldMT" w:eastAsia="Times New Roman" w:hAnsi="TimesNewRomanPS-BoldMT" w:cs="Times New Roman"/>
          <w:b/>
          <w:bCs/>
          <w:color w:val="000000"/>
          <w:szCs w:val="28"/>
        </w:rPr>
      </w:pPr>
      <w:r w:rsidRPr="007E678A">
        <w:rPr>
          <w:rFonts w:ascii="TimesNewRomanPS-BoldMT" w:eastAsia="Times New Roman" w:hAnsi="TimesNewRomanPS-BoldMT" w:cs="Times New Roman"/>
          <w:b/>
          <w:bCs/>
          <w:color w:val="000000"/>
          <w:szCs w:val="28"/>
        </w:rPr>
        <w:t>Điều 4. Tổ chức thực hiện</w:t>
      </w:r>
    </w:p>
    <w:p w:rsidR="007E678A" w:rsidRP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t>1. Giao Ủy ban nhân dân tỉnh tổ chức thực hiện Nghị quyết.</w:t>
      </w:r>
    </w:p>
    <w:p w:rsidR="007E678A" w:rsidRPr="007E678A" w:rsidRDefault="007E678A" w:rsidP="007E678A">
      <w:pPr>
        <w:spacing w:before="120" w:after="120" w:line="240" w:lineRule="auto"/>
        <w:ind w:firstLine="567"/>
        <w:jc w:val="both"/>
        <w:rPr>
          <w:rFonts w:ascii="TimesNewRomanPSMT" w:eastAsia="Times New Roman" w:hAnsi="TimesNewRomanPSMT" w:cs="Times New Roman"/>
          <w:color w:val="000000"/>
          <w:szCs w:val="28"/>
        </w:rPr>
      </w:pPr>
      <w:r w:rsidRPr="007E678A">
        <w:rPr>
          <w:rFonts w:ascii="TimesNewRomanPSMT" w:eastAsia="Times New Roman" w:hAnsi="TimesNewRomanPSMT" w:cs="Times New Roman"/>
          <w:color w:val="000000"/>
          <w:szCs w:val="28"/>
        </w:rPr>
        <w:t>2. Thường trực Hội đồng nhân dân, các Ban Hội đồng nhân dân, các Tổ đại biểu Hội đồng nhân dân và đại biểu Hội đồng nhân dân tỉnh giám sát việc thực hiện Nghị quyết.</w:t>
      </w:r>
    </w:p>
    <w:p w:rsidR="00B755DF" w:rsidRPr="00DF30C8" w:rsidRDefault="007E678A" w:rsidP="007E678A">
      <w:pPr>
        <w:spacing w:before="120" w:after="120" w:line="240" w:lineRule="auto"/>
        <w:ind w:firstLine="567"/>
        <w:jc w:val="both"/>
        <w:rPr>
          <w:rFonts w:eastAsia="Times New Roman" w:cs="Times New Roman"/>
          <w:b/>
          <w:bCs/>
          <w:color w:val="000000"/>
          <w:szCs w:val="28"/>
        </w:rPr>
      </w:pPr>
      <w:r w:rsidRPr="007E678A">
        <w:rPr>
          <w:rFonts w:ascii="TimesNewRomanPSMT" w:eastAsia="Times New Roman" w:hAnsi="TimesNewRomanPSMT" w:cs="Times New Roman"/>
          <w:color w:val="000000"/>
          <w:szCs w:val="28"/>
        </w:rPr>
        <w:t>Nghị quyết này được Hội đồng nhân dân tỉnh Hải Dương khóa XVII, kỳ họp thứ 22 thông qua ngày 30 tháng 5 năm 2024, có hiệu lực thi hành kể từ ngày 01 tháng 7 năm 2024./</w:t>
      </w:r>
      <w:r>
        <w:rPr>
          <w:rFonts w:ascii="TimesNewRomanPSMT" w:eastAsia="Times New Roman" w:hAnsi="TimesNewRomanPSMT" w:cs="Times New Roman"/>
          <w:color w:val="000000"/>
          <w:szCs w:val="28"/>
        </w:rPr>
        <w:t>.</w:t>
      </w:r>
    </w:p>
    <w:p w:rsidR="00B755DF" w:rsidRPr="00A70CCE" w:rsidRDefault="00B755DF" w:rsidP="00A70CCE">
      <w:pPr>
        <w:spacing w:after="0" w:line="240" w:lineRule="auto"/>
        <w:ind w:firstLine="426"/>
        <w:jc w:val="both"/>
        <w:rPr>
          <w:rFonts w:ascii="TimesNewRomanPSMT" w:eastAsia="Times New Roman" w:hAnsi="TimesNewRomanPSMT" w:cs="Times New Roman"/>
          <w:color w:val="000000"/>
        </w:rPr>
      </w:pPr>
      <w:bookmarkStart w:id="0" w:name="_GoBack"/>
      <w:bookmarkEnd w:id="0"/>
    </w:p>
    <w:tbl>
      <w:tblPr>
        <w:tblStyle w:val="TableGrid"/>
        <w:tblW w:w="10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gridCol w:w="4644"/>
      </w:tblGrid>
      <w:tr w:rsidR="00A70CCE" w:rsidTr="00B755DF">
        <w:tc>
          <w:tcPr>
            <w:tcW w:w="5495" w:type="dxa"/>
          </w:tcPr>
          <w:p w:rsidR="00A70CCE" w:rsidRPr="00A70CCE" w:rsidRDefault="00A70CCE" w:rsidP="00A70CCE">
            <w:pPr>
              <w:rPr>
                <w:rFonts w:ascii="TimesNewRomanPS-BoldItalicMT" w:eastAsia="Times New Roman" w:hAnsi="TimesNewRomanPS-BoldItalicMT" w:cs="Times New Roman"/>
                <w:b/>
                <w:bCs/>
                <w:i/>
                <w:iCs/>
                <w:color w:val="000000"/>
                <w:sz w:val="24"/>
              </w:rPr>
            </w:pPr>
            <w:r w:rsidRPr="00A70CCE">
              <w:rPr>
                <w:rFonts w:ascii="TimesNewRomanPS-BoldItalicMT" w:eastAsia="Times New Roman" w:hAnsi="TimesNewRomanPS-BoldItalicMT" w:cs="Times New Roman"/>
                <w:b/>
                <w:bCs/>
                <w:i/>
                <w:iCs/>
                <w:color w:val="000000"/>
                <w:sz w:val="24"/>
              </w:rPr>
              <w:t>Nơi nhận:</w:t>
            </w:r>
          </w:p>
          <w:p w:rsidR="007E678A" w:rsidRPr="007E678A" w:rsidRDefault="00B325ED" w:rsidP="007E678A">
            <w:pPr>
              <w:rPr>
                <w:rFonts w:ascii="TimesNewRomanPSMT" w:eastAsia="Times New Roman" w:hAnsi="TimesNewRomanPSMT" w:cs="Times New Roman"/>
                <w:color w:val="000000"/>
                <w:sz w:val="22"/>
              </w:rPr>
            </w:pPr>
            <w:r w:rsidRPr="00B325ED">
              <w:rPr>
                <w:rFonts w:ascii="TimesNewRomanPSMT" w:eastAsia="Times New Roman" w:hAnsi="TimesNewRomanPSMT" w:cs="Times New Roman"/>
                <w:color w:val="000000"/>
                <w:sz w:val="22"/>
              </w:rPr>
              <w:t xml:space="preserve">- </w:t>
            </w:r>
            <w:r w:rsidR="007E678A" w:rsidRPr="007E678A">
              <w:rPr>
                <w:rFonts w:ascii="TimesNewRomanPSMT" w:eastAsia="Times New Roman" w:hAnsi="TimesNewRomanPSMT" w:cs="Times New Roman"/>
                <w:color w:val="000000"/>
                <w:sz w:val="22"/>
              </w:rPr>
              <w:t>Ủy ban Thường vụ Quốc hội;</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Chính phủ;</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Ban Công tác đại biểu;</w:t>
            </w:r>
          </w:p>
          <w:p w:rsidR="007E678A" w:rsidRPr="007E678A" w:rsidRDefault="007E678A" w:rsidP="007E678A">
            <w:pPr>
              <w:rPr>
                <w:rFonts w:ascii="TimesNewRomanPS-ItalicMT" w:eastAsia="Times New Roman" w:hAnsi="TimesNewRomanPS-ItalicMT" w:cs="Times New Roman"/>
                <w:i/>
                <w:iCs/>
                <w:color w:val="000000"/>
                <w:sz w:val="22"/>
              </w:rPr>
            </w:pPr>
            <w:r w:rsidRPr="007E678A">
              <w:rPr>
                <w:rFonts w:ascii="TimesNewRomanPSMT" w:eastAsia="Times New Roman" w:hAnsi="TimesNewRomanPSMT" w:cs="Times New Roman"/>
                <w:color w:val="000000"/>
                <w:sz w:val="22"/>
              </w:rPr>
              <w:t xml:space="preserve">- Bộ Nội vụ; </w:t>
            </w:r>
            <w:r w:rsidRPr="007E678A">
              <w:rPr>
                <w:rFonts w:ascii="TimesNewRomanPS-ItalicMT" w:eastAsia="Times New Roman" w:hAnsi="TimesNewRomanPS-ItalicMT" w:cs="Times New Roman"/>
                <w:i/>
                <w:iCs/>
                <w:color w:val="000000"/>
                <w:sz w:val="22"/>
              </w:rPr>
              <w:t>(Để b/c)</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Bộ Tài chính;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Bộ Công an (Cục PC và CCHC, TP);</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Bộ Tư pháp (Cục Kiểm tra VBQPPL);</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Ban Thường vụ Tỉnh uỷ;</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TT HĐND, UBND, UBMTTQ, Đoàn ĐBQH tỉnh;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Các đại biểu HĐND tỉnh;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VP: Tỉnh uỷ, UBND tỉnh;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Lãnh đạo và CV VP Đoàn ĐBQH và HĐND tỉnh;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Các sở, ban, ngành, đoàn thể tỉnh;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TT HĐND, UBND các huyện, TX, TP;</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 Báo HD, Đài PT-TH tỉnh, Trang TTĐT Đoàn ĐBQH</w:t>
            </w:r>
          </w:p>
          <w:p w:rsidR="007E678A" w:rsidRPr="007E678A" w:rsidRDefault="007E678A" w:rsidP="007E678A">
            <w:pPr>
              <w:rPr>
                <w:rFonts w:ascii="TimesNewRomanPSMT" w:eastAsia="Times New Roman" w:hAnsi="TimesNewRomanPSMT" w:cs="Times New Roman"/>
                <w:color w:val="000000"/>
                <w:sz w:val="22"/>
              </w:rPr>
            </w:pPr>
            <w:r w:rsidRPr="007E678A">
              <w:rPr>
                <w:rFonts w:ascii="TimesNewRomanPSMT" w:eastAsia="Times New Roman" w:hAnsi="TimesNewRomanPSMT" w:cs="Times New Roman"/>
                <w:color w:val="000000"/>
                <w:sz w:val="22"/>
              </w:rPr>
              <w:t>và HĐND tỉnh, Trung tâm CNTT - VP UBND tỉnh;</w:t>
            </w:r>
          </w:p>
          <w:p w:rsidR="00A70CCE" w:rsidRDefault="007E678A" w:rsidP="007E678A">
            <w:pPr>
              <w:rPr>
                <w:rFonts w:ascii="TimesNewRomanPS-BoldItalicMT" w:eastAsia="Times New Roman" w:hAnsi="TimesNewRomanPS-BoldItalicMT" w:cs="Times New Roman"/>
                <w:b/>
                <w:bCs/>
                <w:i/>
                <w:iCs/>
                <w:color w:val="000000"/>
                <w:sz w:val="24"/>
              </w:rPr>
            </w:pPr>
            <w:r w:rsidRPr="007E678A">
              <w:rPr>
                <w:rFonts w:ascii="TimesNewRomanPSMT" w:eastAsia="Times New Roman" w:hAnsi="TimesNewRomanPSMT" w:cs="Times New Roman"/>
                <w:color w:val="000000"/>
                <w:sz w:val="22"/>
              </w:rPr>
              <w:t>- Lưu VT</w:t>
            </w:r>
            <w:r>
              <w:rPr>
                <w:rFonts w:ascii="TimesNewRomanPSMT" w:eastAsia="Times New Roman" w:hAnsi="TimesNewRomanPSMT" w:cs="Times New Roman"/>
                <w:color w:val="000000"/>
                <w:sz w:val="22"/>
              </w:rPr>
              <w:t>.</w:t>
            </w:r>
          </w:p>
        </w:tc>
        <w:tc>
          <w:tcPr>
            <w:tcW w:w="4644" w:type="dxa"/>
          </w:tcPr>
          <w:p w:rsidR="00A70CCE" w:rsidRPr="00A70CCE" w:rsidRDefault="00A70CCE" w:rsidP="00A70CCE">
            <w:pPr>
              <w:jc w:val="center"/>
              <w:rPr>
                <w:rFonts w:ascii="TimesNewRomanPS-BoldMT" w:eastAsia="Times New Roman" w:hAnsi="TimesNewRomanPS-BoldMT" w:cs="Times New Roman"/>
                <w:b/>
                <w:bCs/>
                <w:color w:val="000000"/>
                <w:szCs w:val="28"/>
              </w:rPr>
            </w:pPr>
            <w:r w:rsidRPr="00A70CCE">
              <w:rPr>
                <w:rFonts w:ascii="TimesNewRomanPS-BoldMT" w:eastAsia="Times New Roman" w:hAnsi="TimesNewRomanPS-BoldMT" w:cs="Times New Roman"/>
                <w:b/>
                <w:bCs/>
                <w:color w:val="000000"/>
              </w:rPr>
              <w:t>CHỦ TỊCH</w:t>
            </w: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rPr>
                <w:rFonts w:ascii="TimesNewRomanPS-BoldMT" w:eastAsia="Times New Roman" w:hAnsi="TimesNewRomanPS-BoldMT" w:cs="Times New Roman"/>
                <w:b/>
                <w:bCs/>
                <w:color w:val="000000"/>
              </w:rPr>
            </w:pPr>
          </w:p>
          <w:p w:rsidR="00A70CCE" w:rsidRDefault="00A70CCE" w:rsidP="00A70CCE">
            <w:pPr>
              <w:jc w:val="center"/>
            </w:pPr>
            <w:r w:rsidRPr="00A70CCE">
              <w:rPr>
                <w:rFonts w:ascii="TimesNewRomanPS-BoldMT" w:eastAsia="Times New Roman" w:hAnsi="TimesNewRomanPS-BoldMT" w:cs="Times New Roman"/>
                <w:b/>
                <w:bCs/>
                <w:color w:val="000000"/>
              </w:rPr>
              <w:t>Lê Văn Hiệu</w:t>
            </w:r>
          </w:p>
          <w:p w:rsidR="00A70CCE" w:rsidRDefault="00A70CCE" w:rsidP="00A70CCE">
            <w:pPr>
              <w:rPr>
                <w:rFonts w:ascii="TimesNewRomanPS-BoldItalicMT" w:eastAsia="Times New Roman" w:hAnsi="TimesNewRomanPS-BoldItalicMT" w:cs="Times New Roman"/>
                <w:b/>
                <w:bCs/>
                <w:i/>
                <w:iCs/>
                <w:color w:val="000000"/>
                <w:sz w:val="24"/>
              </w:rPr>
            </w:pPr>
          </w:p>
        </w:tc>
      </w:tr>
    </w:tbl>
    <w:p w:rsidR="00A70CCE" w:rsidRDefault="00A70CCE" w:rsidP="007E678A">
      <w:pPr>
        <w:spacing w:after="0" w:line="240" w:lineRule="auto"/>
        <w:rPr>
          <w:rFonts w:ascii="TimesNewRomanPS-BoldItalicMT" w:eastAsia="Times New Roman" w:hAnsi="TimesNewRomanPS-BoldItalicMT" w:cs="Times New Roman"/>
          <w:b/>
          <w:bCs/>
          <w:i/>
          <w:iCs/>
          <w:color w:val="000000"/>
          <w:sz w:val="24"/>
        </w:rPr>
      </w:pPr>
    </w:p>
    <w:sectPr w:rsidR="00A70CCE"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A70CCE"/>
    <w:rsid w:val="0009711E"/>
    <w:rsid w:val="00107C8E"/>
    <w:rsid w:val="001D3042"/>
    <w:rsid w:val="003A0A48"/>
    <w:rsid w:val="006F0352"/>
    <w:rsid w:val="007D5EFD"/>
    <w:rsid w:val="007E678A"/>
    <w:rsid w:val="0092087F"/>
    <w:rsid w:val="00923A25"/>
    <w:rsid w:val="00A54806"/>
    <w:rsid w:val="00A70CCE"/>
    <w:rsid w:val="00B2311D"/>
    <w:rsid w:val="00B325ED"/>
    <w:rsid w:val="00B755DF"/>
    <w:rsid w:val="00DF28CB"/>
    <w:rsid w:val="00DF30C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1" type="connector" idref="#_x0000_s1027"/>
        <o:r id="V:Rule2" type="connector" idref="#_x0000_s1029"/>
        <o:r id="V:Rule3" type="connector" idref="#_x0000_s1028"/>
      </o:rules>
    </o:shapelayout>
  </w:shapeDefaults>
  <w:decimalSymbol w:val="."/>
  <w:listSeparator w:val=","/>
  <w14:docId w14:val="17166AC2"/>
  <w15:docId w15:val="{EA1A3794-3384-4F26-8783-E995FCB7C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A70CCE"/>
    <w:rPr>
      <w:rFonts w:ascii="TimesNewRomanPS-BoldMT" w:hAnsi="TimesNewRomanPS-BoldMT" w:hint="default"/>
      <w:b/>
      <w:bCs/>
      <w:i w:val="0"/>
      <w:iCs w:val="0"/>
      <w:color w:val="000000"/>
      <w:sz w:val="26"/>
      <w:szCs w:val="26"/>
    </w:rPr>
  </w:style>
  <w:style w:type="character" w:customStyle="1" w:styleId="fontstyle21">
    <w:name w:val="fontstyle21"/>
    <w:basedOn w:val="DefaultParagraphFont"/>
    <w:rsid w:val="00A70CCE"/>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A70CCE"/>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A70CCE"/>
    <w:rPr>
      <w:rFonts w:ascii="TimesNewRomanPS-BoldItalicMT" w:hAnsi="TimesNewRomanPS-BoldItalicMT" w:hint="default"/>
      <w:b/>
      <w:bCs/>
      <w:i/>
      <w:iCs/>
      <w:color w:val="000000"/>
      <w:sz w:val="24"/>
      <w:szCs w:val="24"/>
    </w:rPr>
  </w:style>
  <w:style w:type="table" w:styleId="TableGrid">
    <w:name w:val="Table Grid"/>
    <w:basedOn w:val="TableNormal"/>
    <w:uiPriority w:val="39"/>
    <w:rsid w:val="00A70CC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08788">
      <w:bodyDiv w:val="1"/>
      <w:marLeft w:val="0"/>
      <w:marRight w:val="0"/>
      <w:marTop w:val="0"/>
      <w:marBottom w:val="0"/>
      <w:divBdr>
        <w:top w:val="none" w:sz="0" w:space="0" w:color="auto"/>
        <w:left w:val="none" w:sz="0" w:space="0" w:color="auto"/>
        <w:bottom w:val="none" w:sz="0" w:space="0" w:color="auto"/>
        <w:right w:val="none" w:sz="0" w:space="0" w:color="auto"/>
      </w:divBdr>
    </w:div>
    <w:div w:id="57750789">
      <w:bodyDiv w:val="1"/>
      <w:marLeft w:val="0"/>
      <w:marRight w:val="0"/>
      <w:marTop w:val="0"/>
      <w:marBottom w:val="0"/>
      <w:divBdr>
        <w:top w:val="none" w:sz="0" w:space="0" w:color="auto"/>
        <w:left w:val="none" w:sz="0" w:space="0" w:color="auto"/>
        <w:bottom w:val="none" w:sz="0" w:space="0" w:color="auto"/>
        <w:right w:val="none" w:sz="0" w:space="0" w:color="auto"/>
      </w:divBdr>
    </w:div>
    <w:div w:id="502860856">
      <w:bodyDiv w:val="1"/>
      <w:marLeft w:val="0"/>
      <w:marRight w:val="0"/>
      <w:marTop w:val="0"/>
      <w:marBottom w:val="0"/>
      <w:divBdr>
        <w:top w:val="none" w:sz="0" w:space="0" w:color="auto"/>
        <w:left w:val="none" w:sz="0" w:space="0" w:color="auto"/>
        <w:bottom w:val="none" w:sz="0" w:space="0" w:color="auto"/>
        <w:right w:val="none" w:sz="0" w:space="0" w:color="auto"/>
      </w:divBdr>
    </w:div>
    <w:div w:id="509754297">
      <w:bodyDiv w:val="1"/>
      <w:marLeft w:val="0"/>
      <w:marRight w:val="0"/>
      <w:marTop w:val="0"/>
      <w:marBottom w:val="0"/>
      <w:divBdr>
        <w:top w:val="none" w:sz="0" w:space="0" w:color="auto"/>
        <w:left w:val="none" w:sz="0" w:space="0" w:color="auto"/>
        <w:bottom w:val="none" w:sz="0" w:space="0" w:color="auto"/>
        <w:right w:val="none" w:sz="0" w:space="0" w:color="auto"/>
      </w:divBdr>
    </w:div>
    <w:div w:id="1004435292">
      <w:bodyDiv w:val="1"/>
      <w:marLeft w:val="0"/>
      <w:marRight w:val="0"/>
      <w:marTop w:val="0"/>
      <w:marBottom w:val="0"/>
      <w:divBdr>
        <w:top w:val="none" w:sz="0" w:space="0" w:color="auto"/>
        <w:left w:val="none" w:sz="0" w:space="0" w:color="auto"/>
        <w:bottom w:val="none" w:sz="0" w:space="0" w:color="auto"/>
        <w:right w:val="none" w:sz="0" w:space="0" w:color="auto"/>
      </w:divBdr>
    </w:div>
    <w:div w:id="1174998015">
      <w:bodyDiv w:val="1"/>
      <w:marLeft w:val="0"/>
      <w:marRight w:val="0"/>
      <w:marTop w:val="0"/>
      <w:marBottom w:val="0"/>
      <w:divBdr>
        <w:top w:val="none" w:sz="0" w:space="0" w:color="auto"/>
        <w:left w:val="none" w:sz="0" w:space="0" w:color="auto"/>
        <w:bottom w:val="none" w:sz="0" w:space="0" w:color="auto"/>
        <w:right w:val="none" w:sz="0" w:space="0" w:color="auto"/>
      </w:divBdr>
    </w:div>
    <w:div w:id="1215771853">
      <w:bodyDiv w:val="1"/>
      <w:marLeft w:val="0"/>
      <w:marRight w:val="0"/>
      <w:marTop w:val="0"/>
      <w:marBottom w:val="0"/>
      <w:divBdr>
        <w:top w:val="none" w:sz="0" w:space="0" w:color="auto"/>
        <w:left w:val="none" w:sz="0" w:space="0" w:color="auto"/>
        <w:bottom w:val="none" w:sz="0" w:space="0" w:color="auto"/>
        <w:right w:val="none" w:sz="0" w:space="0" w:color="auto"/>
      </w:divBdr>
    </w:div>
    <w:div w:id="1301499029">
      <w:bodyDiv w:val="1"/>
      <w:marLeft w:val="0"/>
      <w:marRight w:val="0"/>
      <w:marTop w:val="0"/>
      <w:marBottom w:val="0"/>
      <w:divBdr>
        <w:top w:val="none" w:sz="0" w:space="0" w:color="auto"/>
        <w:left w:val="none" w:sz="0" w:space="0" w:color="auto"/>
        <w:bottom w:val="none" w:sz="0" w:space="0" w:color="auto"/>
        <w:right w:val="none" w:sz="0" w:space="0" w:color="auto"/>
      </w:divBdr>
    </w:div>
    <w:div w:id="1343968441">
      <w:bodyDiv w:val="1"/>
      <w:marLeft w:val="0"/>
      <w:marRight w:val="0"/>
      <w:marTop w:val="0"/>
      <w:marBottom w:val="0"/>
      <w:divBdr>
        <w:top w:val="none" w:sz="0" w:space="0" w:color="auto"/>
        <w:left w:val="none" w:sz="0" w:space="0" w:color="auto"/>
        <w:bottom w:val="none" w:sz="0" w:space="0" w:color="auto"/>
        <w:right w:val="none" w:sz="0" w:space="0" w:color="auto"/>
      </w:divBdr>
    </w:div>
    <w:div w:id="1403599139">
      <w:bodyDiv w:val="1"/>
      <w:marLeft w:val="0"/>
      <w:marRight w:val="0"/>
      <w:marTop w:val="0"/>
      <w:marBottom w:val="0"/>
      <w:divBdr>
        <w:top w:val="none" w:sz="0" w:space="0" w:color="auto"/>
        <w:left w:val="none" w:sz="0" w:space="0" w:color="auto"/>
        <w:bottom w:val="none" w:sz="0" w:space="0" w:color="auto"/>
        <w:right w:val="none" w:sz="0" w:space="0" w:color="auto"/>
      </w:divBdr>
    </w:div>
    <w:div w:id="1432553454">
      <w:bodyDiv w:val="1"/>
      <w:marLeft w:val="0"/>
      <w:marRight w:val="0"/>
      <w:marTop w:val="0"/>
      <w:marBottom w:val="0"/>
      <w:divBdr>
        <w:top w:val="none" w:sz="0" w:space="0" w:color="auto"/>
        <w:left w:val="none" w:sz="0" w:space="0" w:color="auto"/>
        <w:bottom w:val="none" w:sz="0" w:space="0" w:color="auto"/>
        <w:right w:val="none" w:sz="0" w:space="0" w:color="auto"/>
      </w:divBdr>
    </w:div>
    <w:div w:id="1466391698">
      <w:bodyDiv w:val="1"/>
      <w:marLeft w:val="0"/>
      <w:marRight w:val="0"/>
      <w:marTop w:val="0"/>
      <w:marBottom w:val="0"/>
      <w:divBdr>
        <w:top w:val="none" w:sz="0" w:space="0" w:color="auto"/>
        <w:left w:val="none" w:sz="0" w:space="0" w:color="auto"/>
        <w:bottom w:val="none" w:sz="0" w:space="0" w:color="auto"/>
        <w:right w:val="none" w:sz="0" w:space="0" w:color="auto"/>
      </w:divBdr>
    </w:div>
    <w:div w:id="1481842281">
      <w:bodyDiv w:val="1"/>
      <w:marLeft w:val="0"/>
      <w:marRight w:val="0"/>
      <w:marTop w:val="0"/>
      <w:marBottom w:val="0"/>
      <w:divBdr>
        <w:top w:val="none" w:sz="0" w:space="0" w:color="auto"/>
        <w:left w:val="none" w:sz="0" w:space="0" w:color="auto"/>
        <w:bottom w:val="none" w:sz="0" w:space="0" w:color="auto"/>
        <w:right w:val="none" w:sz="0" w:space="0" w:color="auto"/>
      </w:divBdr>
    </w:div>
    <w:div w:id="1634092984">
      <w:bodyDiv w:val="1"/>
      <w:marLeft w:val="0"/>
      <w:marRight w:val="0"/>
      <w:marTop w:val="0"/>
      <w:marBottom w:val="0"/>
      <w:divBdr>
        <w:top w:val="none" w:sz="0" w:space="0" w:color="auto"/>
        <w:left w:val="none" w:sz="0" w:space="0" w:color="auto"/>
        <w:bottom w:val="none" w:sz="0" w:space="0" w:color="auto"/>
        <w:right w:val="none" w:sz="0" w:space="0" w:color="auto"/>
      </w:divBdr>
    </w:div>
    <w:div w:id="1800145822">
      <w:bodyDiv w:val="1"/>
      <w:marLeft w:val="0"/>
      <w:marRight w:val="0"/>
      <w:marTop w:val="0"/>
      <w:marBottom w:val="0"/>
      <w:divBdr>
        <w:top w:val="none" w:sz="0" w:space="0" w:color="auto"/>
        <w:left w:val="none" w:sz="0" w:space="0" w:color="auto"/>
        <w:bottom w:val="none" w:sz="0" w:space="0" w:color="auto"/>
        <w:right w:val="none" w:sz="0" w:space="0" w:color="auto"/>
      </w:divBdr>
    </w:div>
    <w:div w:id="1808625001">
      <w:bodyDiv w:val="1"/>
      <w:marLeft w:val="0"/>
      <w:marRight w:val="0"/>
      <w:marTop w:val="0"/>
      <w:marBottom w:val="0"/>
      <w:divBdr>
        <w:top w:val="none" w:sz="0" w:space="0" w:color="auto"/>
        <w:left w:val="none" w:sz="0" w:space="0" w:color="auto"/>
        <w:bottom w:val="none" w:sz="0" w:space="0" w:color="auto"/>
        <w:right w:val="none" w:sz="0" w:space="0" w:color="auto"/>
      </w:divBdr>
    </w:div>
    <w:div w:id="1816099830">
      <w:bodyDiv w:val="1"/>
      <w:marLeft w:val="0"/>
      <w:marRight w:val="0"/>
      <w:marTop w:val="0"/>
      <w:marBottom w:val="0"/>
      <w:divBdr>
        <w:top w:val="none" w:sz="0" w:space="0" w:color="auto"/>
        <w:left w:val="none" w:sz="0" w:space="0" w:color="auto"/>
        <w:bottom w:val="none" w:sz="0" w:space="0" w:color="auto"/>
        <w:right w:val="none" w:sz="0" w:space="0" w:color="auto"/>
      </w:divBdr>
    </w:div>
    <w:div w:id="1953588591">
      <w:bodyDiv w:val="1"/>
      <w:marLeft w:val="0"/>
      <w:marRight w:val="0"/>
      <w:marTop w:val="0"/>
      <w:marBottom w:val="0"/>
      <w:divBdr>
        <w:top w:val="none" w:sz="0" w:space="0" w:color="auto"/>
        <w:left w:val="none" w:sz="0" w:space="0" w:color="auto"/>
        <w:bottom w:val="none" w:sz="0" w:space="0" w:color="auto"/>
        <w:right w:val="none" w:sz="0" w:space="0" w:color="auto"/>
      </w:divBdr>
    </w:div>
    <w:div w:id="1987511563">
      <w:bodyDiv w:val="1"/>
      <w:marLeft w:val="0"/>
      <w:marRight w:val="0"/>
      <w:marTop w:val="0"/>
      <w:marBottom w:val="0"/>
      <w:divBdr>
        <w:top w:val="none" w:sz="0" w:space="0" w:color="auto"/>
        <w:left w:val="none" w:sz="0" w:space="0" w:color="auto"/>
        <w:bottom w:val="none" w:sz="0" w:space="0" w:color="auto"/>
        <w:right w:val="none" w:sz="0" w:space="0" w:color="auto"/>
      </w:divBdr>
    </w:div>
    <w:div w:id="2064480337">
      <w:bodyDiv w:val="1"/>
      <w:marLeft w:val="0"/>
      <w:marRight w:val="0"/>
      <w:marTop w:val="0"/>
      <w:marBottom w:val="0"/>
      <w:divBdr>
        <w:top w:val="none" w:sz="0" w:space="0" w:color="auto"/>
        <w:left w:val="none" w:sz="0" w:space="0" w:color="auto"/>
        <w:bottom w:val="none" w:sz="0" w:space="0" w:color="auto"/>
        <w:right w:val="none" w:sz="0" w:space="0" w:color="auto"/>
      </w:divBdr>
    </w:div>
    <w:div w:id="2068186705">
      <w:bodyDiv w:val="1"/>
      <w:marLeft w:val="0"/>
      <w:marRight w:val="0"/>
      <w:marTop w:val="0"/>
      <w:marBottom w:val="0"/>
      <w:divBdr>
        <w:top w:val="none" w:sz="0" w:space="0" w:color="auto"/>
        <w:left w:val="none" w:sz="0" w:space="0" w:color="auto"/>
        <w:bottom w:val="none" w:sz="0" w:space="0" w:color="auto"/>
        <w:right w:val="none" w:sz="0" w:space="0" w:color="auto"/>
      </w:divBdr>
    </w:div>
    <w:div w:id="2081245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5C7DC0A-03D6-4DD7-8A95-EBB215A7882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1337A7A-2E85-4D23-931B-88A341887293}">
  <ds:schemaRefs>
    <ds:schemaRef ds:uri="http://schemas.microsoft.com/sharepoint/v3/contenttype/forms"/>
  </ds:schemaRefs>
</ds:datastoreItem>
</file>

<file path=customXml/itemProps3.xml><?xml version="1.0" encoding="utf-8"?>
<ds:datastoreItem xmlns:ds="http://schemas.openxmlformats.org/officeDocument/2006/customXml" ds:itemID="{51852F29-3092-4A78-BDDC-CE0592F882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12</cp:revision>
  <dcterms:created xsi:type="dcterms:W3CDTF">2024-01-08T06:58:00Z</dcterms:created>
  <dcterms:modified xsi:type="dcterms:W3CDTF">2024-06-07T07:45:00Z</dcterms:modified>
</cp:coreProperties>
</file>