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Layout w:type="fixed"/>
        <w:tblLook w:val="04A0" w:firstRow="1" w:lastRow="0" w:firstColumn="1" w:lastColumn="0" w:noHBand="0" w:noVBand="1"/>
      </w:tblPr>
      <w:tblGrid>
        <w:gridCol w:w="3565"/>
        <w:gridCol w:w="5723"/>
      </w:tblGrid>
      <w:tr>
        <w:trPr>
          <w:trHeight w:val="521"/>
          <w:jc w:val="center"/>
        </w:trPr>
        <w:tc>
          <w:tcPr>
            <w:tcW w:w="1919" w:type="pct"/>
          </w:tcPr>
          <w:p>
            <w:pPr>
              <w:pStyle w:val="Heading1"/>
              <w:jc w:val="center"/>
              <w:rPr>
                <w:sz w:val="26"/>
                <w:szCs w:val="26"/>
              </w:rPr>
            </w:pPr>
            <w:r>
              <w:rPr>
                <w:sz w:val="26"/>
                <w:szCs w:val="26"/>
              </w:rPr>
              <w:t xml:space="preserve">HỘI ĐỒNG NHÂN DÂN </w:t>
            </w:r>
          </w:p>
          <w:p>
            <w:pPr>
              <w:pStyle w:val="Heading1"/>
              <w:jc w:val="center"/>
              <w:rPr>
                <w:sz w:val="26"/>
                <w:szCs w:val="26"/>
              </w:rPr>
            </w:pPr>
            <w:r>
              <w:rPr>
                <w:sz w:val="26"/>
                <w:szCs w:val="26"/>
              </w:rPr>
              <w:t>TỈNH HÀ TĨNH</w:t>
            </w:r>
          </w:p>
          <w:p>
            <w:pPr>
              <w:tabs>
                <w:tab w:val="left" w:pos="1276"/>
                <w:tab w:val="left" w:pos="2977"/>
              </w:tabs>
              <w:jc w:val="center"/>
              <w:rPr>
                <w:sz w:val="26"/>
                <w:szCs w:val="26"/>
              </w:rPr>
            </w:pPr>
            <w:r>
              <w:rPr>
                <w:noProof/>
                <w:sz w:val="26"/>
                <w:szCs w:val="26"/>
                <w:lang w:val="vi-VN" w:eastAsia="vi-VN"/>
              </w:rPr>
              <mc:AlternateContent>
                <mc:Choice Requires="wps">
                  <w:drawing>
                    <wp:anchor distT="0" distB="0" distL="114300" distR="114300" simplePos="0" relativeHeight="251659264" behindDoc="0" locked="0" layoutInCell="1" allowOverlap="1">
                      <wp:simplePos x="0" y="0"/>
                      <wp:positionH relativeFrom="column">
                        <wp:posOffset>697865</wp:posOffset>
                      </wp:positionH>
                      <wp:positionV relativeFrom="paragraph">
                        <wp:posOffset>25037</wp:posOffset>
                      </wp:positionV>
                      <wp:extent cx="783771" cy="0"/>
                      <wp:effectExtent l="0" t="0" r="16510"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3771" cy="0"/>
                              </a:xfrm>
                              <a:prstGeom prst="straightConnector1">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54.95pt;margin-top:1.95pt;width:61.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"/>
                  </w:pict>
                </mc:Fallback>
              </mc:AlternateContent>
            </w:r>
          </w:p>
        </w:tc>
        <w:tc>
          <w:tcPr>
            <w:tcW w:w="3081" w:type="pct"/>
          </w:tcPr>
          <w:p>
            <w:pPr>
              <w:pStyle w:val="Heading2"/>
              <w:ind w:right="-86"/>
              <w:rPr>
                <w:i w:val="0"/>
                <w:iCs w:val="0"/>
                <w:sz w:val="26"/>
                <w:szCs w:val="26"/>
              </w:rPr>
            </w:pPr>
            <w:r>
              <w:rPr>
                <w:i w:val="0"/>
                <w:iCs w:val="0"/>
                <w:sz w:val="26"/>
                <w:szCs w:val="26"/>
              </w:rPr>
              <w:t>CỘNG HÒA XÃ HỘI CHỦ NGHĨA VIỆT NAM</w:t>
            </w:r>
          </w:p>
          <w:p>
            <w:pPr>
              <w:pStyle w:val="Heading2"/>
              <w:ind w:right="-86"/>
              <w:rPr>
                <w:i w:val="0"/>
                <w:iCs w:val="0"/>
                <w:szCs w:val="26"/>
              </w:rPr>
            </w:pPr>
            <w:r>
              <w:rPr>
                <w:i w:val="0"/>
                <w:iCs w:val="0"/>
                <w:szCs w:val="26"/>
              </w:rPr>
              <w:t>Độc lập - Tự do - Hạnh phúc</w:t>
            </w:r>
          </w:p>
          <w:p>
            <w:pPr>
              <w:ind w:right="-86"/>
              <w:jc w:val="center"/>
              <w:rPr>
                <w:sz w:val="26"/>
                <w:szCs w:val="26"/>
              </w:rPr>
            </w:pPr>
            <w:r>
              <w:rPr>
                <w:bCs/>
                <w:noProof/>
                <w:sz w:val="28"/>
                <w:szCs w:val="28"/>
                <w:lang w:val="vi-VN" w:eastAsia="vi-VN"/>
              </w:rPr>
              <mc:AlternateContent>
                <mc:Choice Requires="wps">
                  <w:drawing>
                    <wp:anchor distT="0" distB="0" distL="114300" distR="114300" simplePos="0" relativeHeight="251658752" behindDoc="0" locked="0" layoutInCell="1" allowOverlap="1">
                      <wp:simplePos x="0" y="0"/>
                      <wp:positionH relativeFrom="column">
                        <wp:posOffset>712470</wp:posOffset>
                      </wp:positionH>
                      <wp:positionV relativeFrom="paragraph">
                        <wp:posOffset>23858</wp:posOffset>
                      </wp:positionV>
                      <wp:extent cx="2119086" cy="0"/>
                      <wp:effectExtent l="0" t="0" r="14605" b="1905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9086" cy="0"/>
                              </a:xfrm>
                              <a:prstGeom prst="straightConnector1">
                                <a:avLst/>
                              </a:prstGeom>
                              <a:noFill/>
                              <a:ln w="9525">
                                <a:solidFill>
                                  <a:srgbClr val="000000"/>
                                </a:solidFill>
                                <a:round/>
                              </a:ln>
                            </wps:spPr>
                            <wps:bodyPr/>
                          </wps:wsp>
                        </a:graphicData>
                      </a:graphic>
                      <wp14:sizeRelH relativeFrom="margin">
                        <wp14:pctWidth>0</wp14:pctWidth>
                      </wp14:sizeRelH>
                    </wp:anchor>
                  </w:drawing>
                </mc:Choice>
                <mc:Fallback>
                  <w:pict>
                    <v:shape id="AutoShape 4" o:spid="_x0000_s1026" type="#_x0000_t32" style="position:absolute;margin-left:56.1pt;margin-top:1.9pt;width:166.85pt;height:0;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"/>
                  </w:pict>
                </mc:Fallback>
              </mc:AlternateContent>
            </w:r>
          </w:p>
        </w:tc>
      </w:tr>
      <w:tr>
        <w:trPr>
          <w:trHeight w:val="417"/>
          <w:jc w:val="center"/>
        </w:trPr>
        <w:tc>
          <w:tcPr>
            <w:tcW w:w="1919" w:type="pct"/>
          </w:tcPr>
          <w:p>
            <w:pPr>
              <w:pStyle w:val="Heading4"/>
              <w:spacing w:before="120"/>
              <w:rPr>
                <w:szCs w:val="28"/>
              </w:rPr>
            </w:pPr>
            <w:r>
              <w:rPr>
                <w:szCs w:val="28"/>
              </w:rPr>
              <w:t>Số: 128/2024/NQ-HĐND</w:t>
            </w:r>
          </w:p>
        </w:tc>
        <w:tc>
          <w:tcPr>
            <w:tcW w:w="3081" w:type="pct"/>
          </w:tcPr>
          <w:p>
            <w:pPr>
              <w:pStyle w:val="Heading3"/>
              <w:spacing w:before="120"/>
              <w:ind w:right="-86"/>
              <w:jc w:val="center"/>
              <w:rPr>
                <w:sz w:val="28"/>
                <w:szCs w:val="28"/>
              </w:rPr>
            </w:pPr>
            <w:r>
              <w:rPr>
                <w:sz w:val="28"/>
                <w:szCs w:val="28"/>
              </w:rPr>
              <w:t>Hà Tĩnh, ngày 18 tháng 7 năm 2024</w:t>
            </w:r>
          </w:p>
        </w:tc>
      </w:tr>
    </w:tbl>
    <w:p>
      <w:pPr>
        <w:tabs>
          <w:tab w:val="left" w:pos="567"/>
        </w:tabs>
        <w:spacing w:before="480"/>
        <w:jc w:val="center"/>
        <w:rPr>
          <w:b/>
          <w:sz w:val="27"/>
          <w:szCs w:val="27"/>
        </w:rPr>
      </w:pPr>
      <w:r>
        <w:rPr>
          <w:b/>
          <w:sz w:val="27"/>
          <w:szCs w:val="27"/>
        </w:rPr>
        <w:t xml:space="preserve">NGHỊ </w:t>
      </w:r>
      <w:r>
        <w:rPr>
          <w:b/>
          <w:sz w:val="28"/>
          <w:szCs w:val="28"/>
        </w:rPr>
        <w:t>QUYẾT</w:t>
      </w:r>
    </w:p>
    <w:p>
      <w:pPr>
        <w:jc w:val="center"/>
        <w:rPr>
          <w:b/>
          <w:bCs/>
          <w:iCs/>
          <w:noProof/>
          <w:sz w:val="28"/>
          <w:szCs w:val="28"/>
          <w:lang w:bidi="lo-LA"/>
        </w:rPr>
      </w:pPr>
      <w:r>
        <w:rPr>
          <w:b/>
          <w:bCs/>
          <w:iCs/>
          <w:noProof/>
          <w:sz w:val="28"/>
          <w:szCs w:val="28"/>
          <w:lang w:bidi="lo-LA"/>
        </w:rPr>
        <w:t>Quy định thẩm quyền quyết định việc mua sắm tài sản của các nhiệm vụ khoa học và công nghệ sử dụng ngân sách nhà nước và mua sắm hàng hóa, dịch vụ đối với nguồn kinh phí khoa học và công nghệ</w:t>
      </w:r>
    </w:p>
    <w:p>
      <w:pPr>
        <w:spacing w:after="480"/>
        <w:jc w:val="center"/>
        <w:rPr>
          <w:b/>
          <w:bCs/>
          <w:iCs/>
          <w:sz w:val="28"/>
          <w:szCs w:val="28"/>
        </w:rPr>
      </w:pPr>
      <w:r>
        <w:rPr>
          <w:b/>
          <w:bCs/>
          <w:iCs/>
          <w:noProof/>
          <w:sz w:val="28"/>
          <w:szCs w:val="28"/>
          <w:lang w:val="vi-VN" w:eastAsia="vi-VN"/>
        </w:rPr>
        <mc:AlternateContent>
          <mc:Choice Requires="wps">
            <w:drawing>
              <wp:anchor distT="0" distB="0" distL="114300" distR="114300" simplePos="0" relativeHeight="251661312" behindDoc="0" locked="0" layoutInCell="1" allowOverlap="1">
                <wp:simplePos x="0" y="0"/>
                <wp:positionH relativeFrom="column">
                  <wp:posOffset>2225040</wp:posOffset>
                </wp:positionH>
                <wp:positionV relativeFrom="paragraph">
                  <wp:posOffset>231140</wp:posOffset>
                </wp:positionV>
                <wp:extent cx="1504950" cy="0"/>
                <wp:effectExtent l="0" t="0" r="1905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4950" cy="0"/>
                        </a:xfrm>
                        <a:prstGeom prst="straightConnector1">
                          <a:avLst/>
                        </a:prstGeom>
                        <a:noFill/>
                        <a:ln w="9525">
                          <a:solidFill>
                            <a:srgbClr val="000000"/>
                          </a:solidFill>
                          <a:round/>
                        </a:ln>
                      </wps:spPr>
                      <wps:bodyPr/>
                    </wps:wsp>
                  </a:graphicData>
                </a:graphic>
                <wp14:sizeRelH relativeFrom="margin">
                  <wp14:pctWidth>0</wp14:pctWidth>
                </wp14:sizeRelH>
              </wp:anchor>
            </w:drawing>
          </mc:Choice>
          <mc:Fallback xmlns:cx="http://schemas.microsoft.com/office/drawing/2014/chartex" xmlns:w15="http://schemas.microsoft.com/office/word/2012/wordml" xmlns:w16se="http://schemas.microsoft.com/office/word/2015/wordml/symex">
            <w:pict>
              <v:shape w14:anchorId="34EDFB21" id="AutoShape 4" o:spid="_x0000_s1026" type="#_x0000_t32" style="position:absolute;margin-left:175.2pt;margin-top:18.2pt;width:118.5pt;height:0;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"/>
            </w:pict>
          </mc:Fallback>
        </mc:AlternateContent>
      </w:r>
      <w:r>
        <w:rPr>
          <w:b/>
          <w:bCs/>
          <w:iCs/>
          <w:noProof/>
          <w:sz w:val="28"/>
          <w:szCs w:val="28"/>
          <w:lang w:bidi="lo-LA"/>
        </w:rPr>
        <w:t>thuộc phạm vi quản lý của tỉnh Hà Tĩnh</w:t>
      </w:r>
    </w:p>
    <w:p>
      <w:pPr>
        <w:pStyle w:val="BodyText"/>
        <w:spacing w:after="0" w:line="240" w:lineRule="auto"/>
        <w:ind w:firstLine="0"/>
        <w:jc w:val="center"/>
        <w:rPr>
          <w:b/>
          <w:i w:val="0"/>
          <w:sz w:val="28"/>
          <w:szCs w:val="28"/>
        </w:rPr>
      </w:pPr>
      <w:r>
        <w:rPr>
          <w:b/>
          <w:i w:val="0"/>
          <w:sz w:val="28"/>
          <w:szCs w:val="28"/>
        </w:rPr>
        <w:t>HỘI ĐỒNG NHÂN DÂN TỈNH HÀ TĨNH,</w:t>
      </w:r>
    </w:p>
    <w:p>
      <w:pPr>
        <w:pStyle w:val="BodyText"/>
        <w:spacing w:after="480" w:line="240" w:lineRule="auto"/>
        <w:ind w:firstLine="0"/>
        <w:jc w:val="center"/>
        <w:rPr>
          <w:b/>
          <w:i w:val="0"/>
          <w:sz w:val="28"/>
          <w:szCs w:val="28"/>
        </w:rPr>
      </w:pPr>
      <w:r>
        <w:rPr>
          <w:b/>
          <w:i w:val="0"/>
          <w:sz w:val="28"/>
          <w:szCs w:val="28"/>
        </w:rPr>
        <w:t>KHÓA XVIII, KỲ HỌP THỨ 20</w:t>
      </w:r>
    </w:p>
    <w:p>
      <w:pPr>
        <w:pStyle w:val="BodyText"/>
        <w:spacing w:before="120" w:after="120" w:line="288" w:lineRule="auto"/>
        <w:ind w:firstLine="540"/>
        <w:jc w:val="both"/>
        <w:rPr>
          <w:sz w:val="2"/>
          <w:szCs w:val="2"/>
        </w:rPr>
      </w:pPr>
    </w:p>
    <w:p>
      <w:pPr>
        <w:pStyle w:val="BodyText"/>
        <w:spacing w:before="120" w:after="0" w:line="264" w:lineRule="auto"/>
        <w:ind w:firstLine="539"/>
        <w:jc w:val="both"/>
        <w:rPr>
          <w:sz w:val="28"/>
          <w:szCs w:val="28"/>
        </w:rPr>
      </w:pPr>
      <w:r>
        <w:rPr>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pStyle w:val="BodyText"/>
        <w:spacing w:before="120" w:after="0" w:line="264" w:lineRule="auto"/>
        <w:ind w:firstLine="539"/>
        <w:jc w:val="both"/>
        <w:rPr>
          <w:sz w:val="28"/>
          <w:szCs w:val="28"/>
        </w:rPr>
      </w:pPr>
      <w:r>
        <w:rPr>
          <w:sz w:val="28"/>
          <w:szCs w:val="28"/>
        </w:rPr>
        <w:t>Căn cứ Luật Khoa học và Công nghệ ngày 18 tháng 6 năm 2013;</w:t>
      </w:r>
    </w:p>
    <w:p>
      <w:pPr>
        <w:pStyle w:val="BodyText"/>
        <w:spacing w:before="120" w:after="0" w:line="264" w:lineRule="auto"/>
        <w:ind w:firstLine="539"/>
        <w:jc w:val="both"/>
        <w:rPr>
          <w:sz w:val="28"/>
          <w:szCs w:val="28"/>
        </w:rPr>
      </w:pPr>
      <w:r>
        <w:rPr>
          <w:sz w:val="28"/>
          <w:szCs w:val="28"/>
        </w:rPr>
        <w:t>Căn cứ Luật Quản lý, sử dụng tài sản công ngày 21</w:t>
      </w:r>
      <w:bookmarkStart w:id="0" w:name="_GoBack"/>
      <w:bookmarkEnd w:id="0"/>
      <w:r>
        <w:rPr>
          <w:sz w:val="28"/>
          <w:szCs w:val="28"/>
        </w:rPr>
        <w:t xml:space="preserve"> tháng 6 năm 2017;</w:t>
      </w:r>
    </w:p>
    <w:p>
      <w:pPr>
        <w:pStyle w:val="BodyText"/>
        <w:spacing w:before="120" w:after="0" w:line="264" w:lineRule="auto"/>
        <w:ind w:firstLine="539"/>
        <w:rPr>
          <w:sz w:val="28"/>
          <w:szCs w:val="28"/>
        </w:rPr>
      </w:pPr>
      <w:r>
        <w:rPr>
          <w:sz w:val="28"/>
          <w:szCs w:val="28"/>
        </w:rPr>
        <w:t>Căn cứ Luật Đấu thầu ngày 23 tháng 6 năm 2023;</w:t>
      </w:r>
    </w:p>
    <w:p>
      <w:pPr>
        <w:pStyle w:val="BodyText"/>
        <w:spacing w:before="120" w:after="0" w:line="264" w:lineRule="auto"/>
        <w:ind w:firstLine="539"/>
        <w:jc w:val="both"/>
        <w:rPr>
          <w:rFonts w:ascii="Times New Roman Italic" w:hAnsi="Times New Roman Italic"/>
          <w:sz w:val="28"/>
          <w:szCs w:val="28"/>
        </w:rPr>
      </w:pPr>
      <w:r>
        <w:rPr>
          <w:rFonts w:ascii="Times New Roman Italic" w:hAnsi="Times New Roman Italic"/>
          <w:sz w:val="28"/>
          <w:szCs w:val="28"/>
        </w:rPr>
        <w:t>C</w:t>
      </w:r>
      <w:r>
        <w:rPr>
          <w:rFonts w:ascii="Times New Roman Italic" w:hAnsi="Times New Roman Italic" w:hint="eastAsia"/>
          <w:sz w:val="28"/>
          <w:szCs w:val="28"/>
        </w:rPr>
        <w:t>ă</w:t>
      </w:r>
      <w:r>
        <w:rPr>
          <w:rFonts w:ascii="Times New Roman Italic" w:hAnsi="Times New Roman Italic"/>
          <w:sz w:val="28"/>
          <w:szCs w:val="28"/>
        </w:rPr>
        <w:t xml:space="preserve">n cứ Nghị </w:t>
      </w:r>
      <w:r>
        <w:rPr>
          <w:rFonts w:ascii="Times New Roman Italic" w:hAnsi="Times New Roman Italic" w:hint="eastAsia"/>
          <w:sz w:val="28"/>
          <w:szCs w:val="28"/>
        </w:rPr>
        <w:t>đ</w:t>
      </w:r>
      <w:r>
        <w:rPr>
          <w:rFonts w:ascii="Times New Roman Italic" w:hAnsi="Times New Roman Italic"/>
          <w:sz w:val="28"/>
          <w:szCs w:val="28"/>
        </w:rPr>
        <w:t>ịnh số 24/2024/N</w:t>
      </w:r>
      <w:r>
        <w:rPr>
          <w:rFonts w:ascii="Times New Roman Italic" w:hAnsi="Times New Roman Italic" w:hint="eastAsia"/>
          <w:sz w:val="28"/>
          <w:szCs w:val="28"/>
        </w:rPr>
        <w:t>Đ</w:t>
      </w:r>
      <w:r>
        <w:rPr>
          <w:rFonts w:ascii="Times New Roman Italic" w:hAnsi="Times New Roman Italic"/>
          <w:sz w:val="28"/>
          <w:szCs w:val="28"/>
        </w:rPr>
        <w:t>-CP ng</w:t>
      </w:r>
      <w:r>
        <w:rPr>
          <w:rFonts w:ascii="Times New Roman Italic" w:hAnsi="Times New Roman Italic" w:hint="eastAsia"/>
          <w:sz w:val="28"/>
          <w:szCs w:val="28"/>
        </w:rPr>
        <w:t>à</w:t>
      </w:r>
      <w:r>
        <w:rPr>
          <w:rFonts w:ascii="Times New Roman Italic" w:hAnsi="Times New Roman Italic"/>
          <w:sz w:val="28"/>
          <w:szCs w:val="28"/>
        </w:rPr>
        <w:t>y 27 th</w:t>
      </w:r>
      <w:r>
        <w:rPr>
          <w:rFonts w:ascii="Times New Roman Italic" w:hAnsi="Times New Roman Italic" w:hint="eastAsia"/>
          <w:sz w:val="28"/>
          <w:szCs w:val="28"/>
        </w:rPr>
        <w:t>á</w:t>
      </w:r>
      <w:r>
        <w:rPr>
          <w:rFonts w:ascii="Times New Roman Italic" w:hAnsi="Times New Roman Italic"/>
          <w:sz w:val="28"/>
          <w:szCs w:val="28"/>
        </w:rPr>
        <w:t>ng 02 n</w:t>
      </w:r>
      <w:r>
        <w:rPr>
          <w:rFonts w:ascii="Times New Roman Italic" w:hAnsi="Times New Roman Italic" w:hint="eastAsia"/>
          <w:sz w:val="28"/>
          <w:szCs w:val="28"/>
        </w:rPr>
        <w:t>ă</w:t>
      </w:r>
      <w:r>
        <w:rPr>
          <w:rFonts w:ascii="Times New Roman Italic" w:hAnsi="Times New Roman Italic"/>
          <w:sz w:val="28"/>
          <w:szCs w:val="28"/>
        </w:rPr>
        <w:t>m 2024 của Ch</w:t>
      </w:r>
      <w:r>
        <w:rPr>
          <w:rFonts w:ascii="Times New Roman Italic" w:hAnsi="Times New Roman Italic" w:hint="eastAsia"/>
          <w:sz w:val="28"/>
          <w:szCs w:val="28"/>
        </w:rPr>
        <w:t>í</w:t>
      </w:r>
      <w:r>
        <w:rPr>
          <w:rFonts w:ascii="Times New Roman Italic" w:hAnsi="Times New Roman Italic"/>
          <w:sz w:val="28"/>
          <w:szCs w:val="28"/>
        </w:rPr>
        <w:t xml:space="preserve">nh phủ quy </w:t>
      </w:r>
      <w:r>
        <w:rPr>
          <w:rFonts w:ascii="Times New Roman Italic" w:hAnsi="Times New Roman Italic" w:hint="eastAsia"/>
          <w:sz w:val="28"/>
          <w:szCs w:val="28"/>
        </w:rPr>
        <w:t>đ</w:t>
      </w:r>
      <w:r>
        <w:rPr>
          <w:rFonts w:ascii="Times New Roman Italic" w:hAnsi="Times New Roman Italic"/>
          <w:sz w:val="28"/>
          <w:szCs w:val="28"/>
        </w:rPr>
        <w:t xml:space="preserve">ịnh chi tiết một số </w:t>
      </w:r>
      <w:r>
        <w:rPr>
          <w:rFonts w:ascii="Times New Roman Italic" w:hAnsi="Times New Roman Italic" w:hint="eastAsia"/>
          <w:sz w:val="28"/>
          <w:szCs w:val="28"/>
        </w:rPr>
        <w:t>đ</w:t>
      </w:r>
      <w:r>
        <w:rPr>
          <w:rFonts w:ascii="Times New Roman Italic" w:hAnsi="Times New Roman Italic"/>
          <w:sz w:val="28"/>
          <w:szCs w:val="28"/>
        </w:rPr>
        <w:t>iều v</w:t>
      </w:r>
      <w:r>
        <w:rPr>
          <w:rFonts w:ascii="Times New Roman Italic" w:hAnsi="Times New Roman Italic" w:hint="eastAsia"/>
          <w:sz w:val="28"/>
          <w:szCs w:val="28"/>
        </w:rPr>
        <w:t>à</w:t>
      </w:r>
      <w:r>
        <w:rPr>
          <w:rFonts w:ascii="Times New Roman Italic" w:hAnsi="Times New Roman Italic"/>
          <w:sz w:val="28"/>
          <w:szCs w:val="28"/>
        </w:rPr>
        <w:t xml:space="preserve"> biện ph</w:t>
      </w:r>
      <w:r>
        <w:rPr>
          <w:rFonts w:ascii="Times New Roman Italic" w:hAnsi="Times New Roman Italic" w:hint="eastAsia"/>
          <w:sz w:val="28"/>
          <w:szCs w:val="28"/>
        </w:rPr>
        <w:t>á</w:t>
      </w:r>
      <w:r>
        <w:rPr>
          <w:rFonts w:ascii="Times New Roman Italic" w:hAnsi="Times New Roman Italic"/>
          <w:sz w:val="28"/>
          <w:szCs w:val="28"/>
        </w:rPr>
        <w:t>p thi h</w:t>
      </w:r>
      <w:r>
        <w:rPr>
          <w:rFonts w:ascii="Times New Roman Italic" w:hAnsi="Times New Roman Italic" w:hint="eastAsia"/>
          <w:sz w:val="28"/>
          <w:szCs w:val="28"/>
        </w:rPr>
        <w:t>à</w:t>
      </w:r>
      <w:r>
        <w:rPr>
          <w:rFonts w:ascii="Times New Roman Italic" w:hAnsi="Times New Roman Italic"/>
          <w:sz w:val="28"/>
          <w:szCs w:val="28"/>
        </w:rPr>
        <w:t xml:space="preserve">nh Luật </w:t>
      </w:r>
      <w:r>
        <w:rPr>
          <w:rFonts w:ascii="Times New Roman Italic" w:hAnsi="Times New Roman Italic" w:hint="eastAsia"/>
          <w:sz w:val="28"/>
          <w:szCs w:val="28"/>
        </w:rPr>
        <w:t>Đ</w:t>
      </w:r>
      <w:r>
        <w:rPr>
          <w:rFonts w:ascii="Times New Roman Italic" w:hAnsi="Times New Roman Italic"/>
          <w:sz w:val="28"/>
          <w:szCs w:val="28"/>
        </w:rPr>
        <w:t>ấu thầu về lựa chọn nh</w:t>
      </w:r>
      <w:r>
        <w:rPr>
          <w:rFonts w:ascii="Times New Roman Italic" w:hAnsi="Times New Roman Italic" w:hint="eastAsia"/>
          <w:sz w:val="28"/>
          <w:szCs w:val="28"/>
        </w:rPr>
        <w:t>à</w:t>
      </w:r>
      <w:r>
        <w:rPr>
          <w:rFonts w:ascii="Times New Roman Italic" w:hAnsi="Times New Roman Italic"/>
          <w:sz w:val="28"/>
          <w:szCs w:val="28"/>
        </w:rPr>
        <w:t xml:space="preserve"> thầu;</w:t>
      </w:r>
    </w:p>
    <w:p>
      <w:pPr>
        <w:pStyle w:val="BodyText"/>
        <w:spacing w:before="120" w:after="0" w:line="264" w:lineRule="auto"/>
        <w:ind w:firstLine="539"/>
        <w:jc w:val="both"/>
        <w:rPr>
          <w:spacing w:val="-6"/>
          <w:sz w:val="28"/>
          <w:szCs w:val="28"/>
        </w:rPr>
      </w:pPr>
      <w:r>
        <w:rPr>
          <w:sz w:val="28"/>
          <w:szCs w:val="28"/>
        </w:rPr>
        <w:t xml:space="preserve">Xét Tờ trình số 316/TTr-UBND ngày 09 </w:t>
      </w:r>
      <w:r>
        <w:rPr>
          <w:sz w:val="28"/>
          <w:szCs w:val="28"/>
          <w:lang w:val="nl-NL"/>
        </w:rPr>
        <w:t>tháng 7</w:t>
      </w:r>
      <w:r>
        <w:rPr>
          <w:sz w:val="28"/>
          <w:szCs w:val="28"/>
        </w:rPr>
        <w:t xml:space="preserve"> năm 2024</w:t>
      </w:r>
      <w:r>
        <w:t xml:space="preserve"> </w:t>
      </w:r>
      <w:r>
        <w:rPr>
          <w:sz w:val="28"/>
          <w:szCs w:val="28"/>
        </w:rPr>
        <w:t>của Ủy ban nhân dân tỉnh về quy định thẩm quyền quyết định việc mua sắm tài sản của các nhiệm vụ khoa học và công nghệ sử dụng ngân sách nhà nước và thẩm quyền quyết định việc mua sắm hàng hóa, dịch vụ đối với nguồn kinh phí khoa học và công nghệ; Báo cáo thẩm tra số 338/BC-HĐND ngày 15 tháng 7 năm 2024 của Ban Kinh tế - Ngân sách Hội đồng nhân dân tỉnh và ý kiến thống nhất của đại biểu Hội đồng nhân dân tỉnh tại Kỳ họp.</w:t>
      </w:r>
    </w:p>
    <w:p>
      <w:pPr>
        <w:spacing w:before="400" w:after="400"/>
        <w:jc w:val="center"/>
        <w:rPr>
          <w:b/>
          <w:sz w:val="28"/>
          <w:szCs w:val="28"/>
        </w:rPr>
      </w:pPr>
      <w:r>
        <w:rPr>
          <w:b/>
          <w:sz w:val="28"/>
          <w:szCs w:val="28"/>
        </w:rPr>
        <w:t>QUYẾT NGHỊ:</w:t>
      </w:r>
    </w:p>
    <w:p>
      <w:pPr>
        <w:spacing w:after="120"/>
        <w:jc w:val="center"/>
        <w:rPr>
          <w:b/>
          <w:sz w:val="2"/>
          <w:szCs w:val="2"/>
        </w:rPr>
      </w:pPr>
    </w:p>
    <w:p>
      <w:pPr>
        <w:pStyle w:val="BodyText"/>
        <w:spacing w:after="120" w:line="240" w:lineRule="auto"/>
        <w:ind w:firstLine="578"/>
        <w:jc w:val="both"/>
        <w:rPr>
          <w:b/>
          <w:bCs/>
          <w:i w:val="0"/>
          <w:iCs w:val="0"/>
          <w:sz w:val="28"/>
          <w:szCs w:val="28"/>
          <w:lang w:val="nl-NL"/>
        </w:rPr>
      </w:pPr>
      <w:r>
        <w:rPr>
          <w:b/>
          <w:bCs/>
          <w:i w:val="0"/>
          <w:iCs w:val="0"/>
          <w:sz w:val="28"/>
          <w:szCs w:val="28"/>
        </w:rPr>
        <w:t xml:space="preserve">Điều 1. </w:t>
      </w:r>
      <w:r>
        <w:rPr>
          <w:b/>
          <w:bCs/>
          <w:i w:val="0"/>
          <w:iCs w:val="0"/>
          <w:sz w:val="28"/>
          <w:szCs w:val="28"/>
          <w:lang w:val="nl-NL"/>
        </w:rPr>
        <w:t>Phạm vi điều chỉnh</w:t>
      </w:r>
    </w:p>
    <w:p>
      <w:pPr>
        <w:pStyle w:val="BodyText"/>
        <w:spacing w:after="120" w:line="240" w:lineRule="auto"/>
        <w:ind w:firstLine="580"/>
        <w:jc w:val="both"/>
        <w:rPr>
          <w:i w:val="0"/>
          <w:iCs w:val="0"/>
          <w:sz w:val="28"/>
          <w:szCs w:val="28"/>
          <w:lang w:val="nl-NL"/>
        </w:rPr>
      </w:pPr>
      <w:r>
        <w:rPr>
          <w:i w:val="0"/>
          <w:iCs w:val="0"/>
          <w:sz w:val="28"/>
          <w:szCs w:val="28"/>
          <w:lang w:val="nl-NL"/>
        </w:rPr>
        <w:t>1. Nghị quyết này quy định thẩm quyền quyết định việc mua sắm tài sản của các nhiệm vụ khoa học và công nghệ sử dụng ngân sách nhà nước và thẩm quyền quyết định việc mua sắm hàng hóa, dịch vụ đối với nguồn kinh phí khoa học và công nghệ thuộc phạm vi quản lý của tỉnh Hà Tĩnh.</w:t>
      </w:r>
    </w:p>
    <w:p>
      <w:pPr>
        <w:widowControl w:val="0"/>
        <w:shd w:val="clear" w:color="auto" w:fill="FFFFFF"/>
        <w:spacing w:before="100" w:after="100" w:line="340" w:lineRule="exact"/>
        <w:ind w:firstLine="720"/>
        <w:jc w:val="both"/>
        <w:rPr>
          <w:sz w:val="28"/>
          <w:szCs w:val="28"/>
          <w:lang w:val="nl-NL"/>
        </w:rPr>
      </w:pPr>
      <w:r>
        <w:rPr>
          <w:sz w:val="28"/>
          <w:szCs w:val="28"/>
          <w:lang w:val="nl-NL"/>
        </w:rPr>
        <w:lastRenderedPageBreak/>
        <w:t>2. Các nội dung về thẩm quyền mua sắm tài sản, hàng hóa, dịch vụ từ nguồn khoa học và công nghệ sử dụng ngân sách nhà nước không quy định tại Nghị quyết này được thực hiện theo quy định pháp luật có liên quan.</w:t>
      </w:r>
    </w:p>
    <w:p>
      <w:pPr>
        <w:widowControl w:val="0"/>
        <w:shd w:val="clear" w:color="auto" w:fill="FFFFFF"/>
        <w:spacing w:before="100" w:after="100" w:line="340" w:lineRule="exact"/>
        <w:ind w:firstLine="720"/>
        <w:jc w:val="both"/>
        <w:rPr>
          <w:b/>
          <w:bCs/>
          <w:sz w:val="28"/>
          <w:szCs w:val="28"/>
          <w:lang w:val="nl-NL"/>
        </w:rPr>
      </w:pPr>
      <w:r>
        <w:rPr>
          <w:b/>
          <w:bCs/>
          <w:sz w:val="28"/>
          <w:szCs w:val="28"/>
          <w:lang w:val="nl-NL"/>
        </w:rPr>
        <w:t>Điều 2. Đối tượng áp dụng</w:t>
      </w:r>
    </w:p>
    <w:p>
      <w:pPr>
        <w:widowControl w:val="0"/>
        <w:shd w:val="clear" w:color="auto" w:fill="FFFFFF"/>
        <w:spacing w:before="100" w:after="100" w:line="340" w:lineRule="exact"/>
        <w:ind w:firstLine="720"/>
        <w:jc w:val="both"/>
        <w:rPr>
          <w:sz w:val="28"/>
          <w:szCs w:val="28"/>
          <w:lang w:val="nl-NL"/>
        </w:rPr>
      </w:pPr>
      <w:r>
        <w:rPr>
          <w:sz w:val="28"/>
          <w:szCs w:val="28"/>
          <w:lang w:val="nl-NL"/>
        </w:rPr>
        <w:t>1. Cơ quan nhà nước; đơn vị sự nghiệp công lập thuộc tỉnh Hà Tĩnh.</w:t>
      </w:r>
    </w:p>
    <w:p>
      <w:pPr>
        <w:widowControl w:val="0"/>
        <w:shd w:val="clear" w:color="auto" w:fill="FFFFFF"/>
        <w:spacing w:before="100" w:after="100" w:line="340" w:lineRule="exact"/>
        <w:ind w:firstLine="720"/>
        <w:jc w:val="both"/>
        <w:rPr>
          <w:sz w:val="28"/>
          <w:szCs w:val="28"/>
          <w:lang w:val="nl-NL"/>
        </w:rPr>
      </w:pPr>
      <w:r>
        <w:rPr>
          <w:sz w:val="28"/>
          <w:szCs w:val="28"/>
          <w:lang w:val="nl-NL"/>
        </w:rPr>
        <w:t>2. Cơ quan Đảng Cộng sản Việt Nam, Ủy ban Mặt trận Tổ quốc Việt Nam các cấp tỉnh Hà Tĩnh và các tổ chức chính trị - xã hội, tổ chức chính trị xã hội - nghề nghiệp, tổ chức xã hội, tổ chức xã hội - nghề nghiệp; tổ chức khác được thành lập theo quy định của pháp luật về hội.</w:t>
      </w:r>
    </w:p>
    <w:p>
      <w:pPr>
        <w:widowControl w:val="0"/>
        <w:shd w:val="clear" w:color="auto" w:fill="FFFFFF"/>
        <w:spacing w:before="100" w:after="100" w:line="340" w:lineRule="exact"/>
        <w:ind w:firstLine="720"/>
        <w:jc w:val="both"/>
        <w:rPr>
          <w:sz w:val="28"/>
          <w:szCs w:val="28"/>
          <w:lang w:val="nl-NL"/>
        </w:rPr>
      </w:pPr>
      <w:r>
        <w:rPr>
          <w:sz w:val="28"/>
          <w:szCs w:val="28"/>
          <w:lang w:val="nl-NL"/>
        </w:rPr>
        <w:t>3. Tổ chức chủ trì, cá nhân chủ nhiệm nhiệm vụ khoa học và công nghệ thuộc phạm vi quản lý của tỉnh Hà Tĩnh.</w:t>
      </w:r>
    </w:p>
    <w:p>
      <w:pPr>
        <w:widowControl w:val="0"/>
        <w:shd w:val="clear" w:color="auto" w:fill="FFFFFF"/>
        <w:spacing w:before="100" w:after="100" w:line="340" w:lineRule="exact"/>
        <w:ind w:firstLine="720"/>
        <w:jc w:val="both"/>
        <w:rPr>
          <w:sz w:val="28"/>
          <w:szCs w:val="28"/>
          <w:lang w:val="nl-NL"/>
        </w:rPr>
      </w:pPr>
      <w:r>
        <w:rPr>
          <w:sz w:val="28"/>
          <w:szCs w:val="28"/>
          <w:lang w:val="nl-NL"/>
        </w:rPr>
        <w:t>4. Doanh nghiệp, tổ chức, cá nhân khác có liên quan.</w:t>
      </w:r>
    </w:p>
    <w:p>
      <w:pPr>
        <w:widowControl w:val="0"/>
        <w:shd w:val="clear" w:color="auto" w:fill="FFFFFF"/>
        <w:spacing w:before="100" w:after="100" w:line="340" w:lineRule="exact"/>
        <w:ind w:firstLine="720"/>
        <w:jc w:val="both"/>
        <w:rPr>
          <w:b/>
          <w:bCs/>
          <w:sz w:val="28"/>
          <w:szCs w:val="28"/>
          <w:lang w:val="nl-NL"/>
        </w:rPr>
      </w:pPr>
      <w:r>
        <w:rPr>
          <w:b/>
          <w:bCs/>
          <w:sz w:val="28"/>
          <w:szCs w:val="28"/>
          <w:lang w:val="nl-NL"/>
        </w:rPr>
        <w:t>Điều 3. Thẩm quyền quyết định việc mua sắm tài sản của các nhiệm vụ khoa học và công nghệ sử dụng ngân sách nhà nước đối với nguồn kinh phí thuộc phạm vi quản lý của tỉnh Hà Tĩnh</w:t>
      </w:r>
    </w:p>
    <w:p>
      <w:pPr>
        <w:widowControl w:val="0"/>
        <w:shd w:val="clear" w:color="auto" w:fill="FFFFFF"/>
        <w:spacing w:before="100" w:after="100" w:line="340" w:lineRule="exact"/>
        <w:ind w:firstLine="720"/>
        <w:jc w:val="both"/>
        <w:rPr>
          <w:sz w:val="28"/>
          <w:szCs w:val="28"/>
          <w:lang w:val="nl-NL"/>
        </w:rPr>
      </w:pPr>
      <w:r>
        <w:rPr>
          <w:sz w:val="28"/>
          <w:szCs w:val="28"/>
          <w:lang w:val="nl-NL"/>
        </w:rPr>
        <w:t>1. Đối với các nhiệm vụ khoa học và công nghệ cấp tỉnh, Giám đốc Sở Khoa học và Công nghệ quyết định việc mua sắm các tài sản từ nguồn ngân sách nhà nước (bao gồm tài sản do ngân sách nhà nước hỗ trợ một phần kinh phí) giá trị từ 50 triệu đồng trở lên. Tổ chức chủ trì nhiệm vụ khoa học và công nghệ thực hiện trách nhiệm của chủ đầu tư trong việc thực hiện mua sắm và đấu thầu.</w:t>
      </w:r>
    </w:p>
    <w:p>
      <w:pPr>
        <w:widowControl w:val="0"/>
        <w:shd w:val="clear" w:color="auto" w:fill="FFFFFF"/>
        <w:spacing w:before="100" w:after="100" w:line="340" w:lineRule="exact"/>
        <w:ind w:firstLine="720"/>
        <w:jc w:val="both"/>
        <w:rPr>
          <w:sz w:val="28"/>
          <w:szCs w:val="28"/>
          <w:lang w:val="nl-NL"/>
        </w:rPr>
      </w:pPr>
      <w:r>
        <w:rPr>
          <w:sz w:val="28"/>
          <w:szCs w:val="28"/>
          <w:lang w:val="nl-NL"/>
        </w:rPr>
        <w:t>Đối với mua sắm các tài sản có giá trị không quá 50 triệu đồng, thủ trưởng đơn vị chủ trì nhiệm vụ chịu trách nhiệm quyết định mua sắm theo quy định tại Khoản 4 Điều 23 Luật Đấu thầu ngày 23 tháng 6 năm 2023.</w:t>
      </w:r>
    </w:p>
    <w:p>
      <w:pPr>
        <w:widowControl w:val="0"/>
        <w:shd w:val="clear" w:color="auto" w:fill="FFFFFF"/>
        <w:spacing w:before="100" w:after="100" w:line="340" w:lineRule="exact"/>
        <w:ind w:firstLine="720"/>
        <w:jc w:val="both"/>
        <w:rPr>
          <w:sz w:val="28"/>
          <w:szCs w:val="28"/>
          <w:lang w:val="nl-NL"/>
        </w:rPr>
      </w:pPr>
      <w:r>
        <w:rPr>
          <w:sz w:val="28"/>
          <w:szCs w:val="28"/>
          <w:lang w:val="nl-NL"/>
        </w:rPr>
        <w:t>2. Đối với các nhiệm vụ khoa học và công nghệ từ nguồn kinh phí do Trung ương giao Ủy ban nhân dân tỉnh quản lý, Thủ trưởng đơn vị dự toán cấp I được Ủy ban nhân dân tỉnh giao quản lý kinh phí quyết định việc mua sắm tài sản của nhiệm vụ từ nguồn ngân sách nhà nước (bao gồm tài sản do ngân sách nhà nước hỗ trợ một phần kinh phí) giá trị từ 50 triệu đồng trở lên. Tổ chức chủ trì nhiệm vụ khoa học và công nghệ thực hiện trách nhiệm của chủ đầu tư trong việc thực hiện mua sắm và đấu thầu.</w:t>
      </w:r>
    </w:p>
    <w:p>
      <w:pPr>
        <w:widowControl w:val="0"/>
        <w:shd w:val="clear" w:color="auto" w:fill="FFFFFF"/>
        <w:spacing w:before="100" w:after="100" w:line="340" w:lineRule="exact"/>
        <w:ind w:firstLine="720"/>
        <w:jc w:val="both"/>
        <w:rPr>
          <w:sz w:val="28"/>
          <w:szCs w:val="28"/>
          <w:lang w:val="nl-NL"/>
        </w:rPr>
      </w:pPr>
      <w:r>
        <w:rPr>
          <w:sz w:val="28"/>
          <w:szCs w:val="28"/>
          <w:lang w:val="nl-NL"/>
        </w:rPr>
        <w:t>Đối với mua sắm các tài sản có giá trị không quá 50 triệu đồng, thủ trưởng đơn vị chủ trì nhiệm vụ chịu trách nhiệm quyết định mua sắm theo quy định tại Khoản 4 Điều 23 Luật Đấu thầu ngày 23 tháng 6 năm 2023.</w:t>
      </w:r>
    </w:p>
    <w:p>
      <w:pPr>
        <w:widowControl w:val="0"/>
        <w:shd w:val="clear" w:color="auto" w:fill="FFFFFF"/>
        <w:spacing w:before="100" w:after="100" w:line="340" w:lineRule="exact"/>
        <w:ind w:firstLine="720"/>
        <w:jc w:val="both"/>
        <w:rPr>
          <w:b/>
          <w:bCs/>
          <w:sz w:val="28"/>
          <w:szCs w:val="28"/>
          <w:lang w:val="nl-NL"/>
        </w:rPr>
      </w:pPr>
      <w:bookmarkStart w:id="1" w:name="_Hlk169335147"/>
      <w:r>
        <w:rPr>
          <w:b/>
          <w:bCs/>
          <w:sz w:val="28"/>
          <w:szCs w:val="28"/>
          <w:lang w:val="nl-NL"/>
        </w:rPr>
        <w:t>Điều 4. Thẩm quyền quyết định việc mua sắm hàng hóa, dịch vụ đối với nguồn kinh phí khoa học và công nghệ thuộc phạm vi quản lý của tỉnh Hà Tĩnh không thuộc các trường hợp tại Điều 3</w:t>
      </w:r>
    </w:p>
    <w:p>
      <w:pPr>
        <w:widowControl w:val="0"/>
        <w:shd w:val="clear" w:color="auto" w:fill="FFFFFF"/>
        <w:spacing w:before="120" w:after="120" w:line="340" w:lineRule="exact"/>
        <w:ind w:firstLine="720"/>
        <w:jc w:val="both"/>
        <w:rPr>
          <w:sz w:val="28"/>
          <w:szCs w:val="28"/>
          <w:lang w:val="nl-NL"/>
        </w:rPr>
      </w:pPr>
      <w:r>
        <w:rPr>
          <w:sz w:val="28"/>
          <w:szCs w:val="28"/>
          <w:lang w:val="nl-NL"/>
        </w:rPr>
        <w:t>1. Thủ trưởng đơn vị sử dụng ngân sách nhà nước quyết định việc mua sắm hàng hóa, dịch vụ đối với nguồn kinh phí khoa học và công nghệ được giao trong dự toán ngân sách.</w:t>
      </w:r>
    </w:p>
    <w:p>
      <w:pPr>
        <w:widowControl w:val="0"/>
        <w:shd w:val="clear" w:color="auto" w:fill="FFFFFF"/>
        <w:spacing w:before="120" w:after="120" w:line="340" w:lineRule="exact"/>
        <w:ind w:firstLine="720"/>
        <w:jc w:val="both"/>
        <w:rPr>
          <w:sz w:val="28"/>
          <w:szCs w:val="28"/>
          <w:lang w:val="nl-NL"/>
        </w:rPr>
      </w:pPr>
      <w:r>
        <w:rPr>
          <w:sz w:val="28"/>
          <w:szCs w:val="28"/>
          <w:lang w:val="nl-NL"/>
        </w:rPr>
        <w:lastRenderedPageBreak/>
        <w:t>2. Trường hợp mua sắm hàng hóa, dịch vụ thực hiện nhiệm vụ khoa học và công nghệ, thẩm quyền quyết định việc mua sắm như đối với việc mua sắm tài sản quy định tại Điều 3 Nghị quyết này.</w:t>
      </w:r>
      <w:bookmarkStart w:id="2" w:name="bookmark6"/>
    </w:p>
    <w:p>
      <w:pPr>
        <w:widowControl w:val="0"/>
        <w:shd w:val="clear" w:color="auto" w:fill="FFFFFF"/>
        <w:spacing w:before="120" w:after="120" w:line="340" w:lineRule="exact"/>
        <w:ind w:firstLine="720"/>
        <w:jc w:val="both"/>
        <w:rPr>
          <w:b/>
          <w:sz w:val="28"/>
          <w:szCs w:val="28"/>
          <w:lang w:val="nl-NL"/>
        </w:rPr>
      </w:pPr>
      <w:r>
        <w:rPr>
          <w:b/>
          <w:sz w:val="28"/>
          <w:szCs w:val="28"/>
          <w:lang w:val="nl-NL"/>
        </w:rPr>
        <w:t>Điều 5. Điều khoản thi hành</w:t>
      </w:r>
    </w:p>
    <w:bookmarkEnd w:id="1"/>
    <w:p>
      <w:pPr>
        <w:spacing w:before="120" w:after="120" w:line="340" w:lineRule="exact"/>
        <w:ind w:firstLine="720"/>
        <w:jc w:val="both"/>
        <w:rPr>
          <w:sz w:val="28"/>
          <w:szCs w:val="28"/>
        </w:rPr>
      </w:pPr>
      <w:r>
        <w:rPr>
          <w:sz w:val="28"/>
          <w:szCs w:val="28"/>
        </w:rPr>
        <w:t>Trường hợp các văn bản quy phạm pháp luật quy định viện dẫn trong Nghị quyết này được sửa đổi, bổ sung hoặc thay thế thì áp dụng theo văn bản sửa đổi, bổ sung hoặc thay thế đó.</w:t>
      </w:r>
    </w:p>
    <w:p>
      <w:pPr>
        <w:widowControl w:val="0"/>
        <w:shd w:val="clear" w:color="auto" w:fill="FFFFFF"/>
        <w:spacing w:before="120" w:after="120" w:line="340" w:lineRule="exact"/>
        <w:ind w:firstLine="720"/>
        <w:jc w:val="both"/>
        <w:rPr>
          <w:b/>
          <w:bCs/>
          <w:sz w:val="28"/>
          <w:szCs w:val="28"/>
        </w:rPr>
      </w:pPr>
      <w:r>
        <w:rPr>
          <w:b/>
          <w:bCs/>
          <w:sz w:val="28"/>
          <w:szCs w:val="28"/>
        </w:rPr>
        <w:t>Điều 6. Tổ chức thực hiện</w:t>
      </w:r>
      <w:bookmarkEnd w:id="2"/>
    </w:p>
    <w:p>
      <w:pPr>
        <w:spacing w:before="120" w:after="120" w:line="340" w:lineRule="exact"/>
        <w:ind w:firstLine="720"/>
        <w:jc w:val="both"/>
        <w:rPr>
          <w:sz w:val="28"/>
          <w:szCs w:val="28"/>
        </w:rPr>
      </w:pPr>
      <w:r>
        <w:rPr>
          <w:sz w:val="28"/>
          <w:szCs w:val="28"/>
        </w:rPr>
        <w:t>1. Ủy ban nhân dân tỉnh tổ chức thực hiện Nghị quyết này.</w:t>
      </w:r>
    </w:p>
    <w:p>
      <w:pPr>
        <w:spacing w:before="120" w:after="120" w:line="340" w:lineRule="exact"/>
        <w:ind w:firstLine="720"/>
        <w:jc w:val="both"/>
        <w:rPr>
          <w:sz w:val="28"/>
          <w:szCs w:val="28"/>
        </w:rPr>
      </w:pPr>
      <w:r>
        <w:rPr>
          <w:sz w:val="28"/>
          <w:szCs w:val="28"/>
        </w:rPr>
        <w:t>2. Thường trực Hội đồng nhân dân, các Ban Hội đồng nhân dân, các Tổ đại biểu Hội đồng nhân dân và đại biểu Hội đồng nhân dân tỉnh giám sát việc thực hiện Nghị quyết.</w:t>
      </w:r>
    </w:p>
    <w:p>
      <w:pPr>
        <w:widowControl w:val="0"/>
        <w:shd w:val="clear" w:color="auto" w:fill="FFFFFF"/>
        <w:spacing w:before="120" w:after="120" w:line="340" w:lineRule="exact"/>
        <w:ind w:firstLine="720"/>
        <w:jc w:val="both"/>
        <w:rPr>
          <w:i/>
          <w:iCs/>
          <w:sz w:val="28"/>
          <w:szCs w:val="28"/>
        </w:rPr>
      </w:pPr>
      <w:r>
        <w:rPr>
          <w:sz w:val="28"/>
          <w:szCs w:val="28"/>
        </w:rPr>
        <w:t>Nghị quyết được Hội đồng nhân dân tỉnh Hà Tĩnh khoá XVIII, Kỳ họp thứ 20 thông qua ngày 18 tháng 7 năm 2024 và có hiệu lực từ ngày 29 tháng 7 năm 2024./.</w:t>
      </w:r>
    </w:p>
    <w:p>
      <w:pPr>
        <w:pStyle w:val="BodyText"/>
        <w:spacing w:after="120" w:line="240" w:lineRule="auto"/>
        <w:ind w:firstLine="560"/>
        <w:jc w:val="both"/>
        <w:rPr>
          <w:i w:val="0"/>
          <w:iCs w:val="0"/>
          <w:sz w:val="12"/>
          <w:szCs w:val="2"/>
        </w:rPr>
      </w:pP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46"/>
        <w:gridCol w:w="4552"/>
      </w:tblGrid>
      <w:tr>
        <w:trPr>
          <w:trHeight w:val="4575"/>
        </w:trPr>
        <w:tc>
          <w:tcPr>
            <w:tcW w:w="4946" w:type="dxa"/>
          </w:tcPr>
          <w:p>
            <w:pPr>
              <w:pStyle w:val="BodyText"/>
              <w:spacing w:after="60" w:line="240" w:lineRule="auto"/>
              <w:ind w:firstLine="0"/>
              <w:jc w:val="both"/>
              <w:rPr>
                <w:sz w:val="24"/>
                <w:szCs w:val="24"/>
              </w:rPr>
            </w:pPr>
            <w:r>
              <w:rPr>
                <w:b/>
                <w:bCs/>
                <w:sz w:val="24"/>
                <w:szCs w:val="24"/>
              </w:rPr>
              <w:t>Nơi nhận:</w:t>
            </w:r>
          </w:p>
          <w:p>
            <w:pPr>
              <w:pStyle w:val="Bodytext20"/>
              <w:numPr>
                <w:ilvl w:val="0"/>
                <w:numId w:val="2"/>
              </w:numPr>
              <w:tabs>
                <w:tab w:val="left" w:pos="258"/>
              </w:tabs>
              <w:rPr>
                <w:sz w:val="22"/>
                <w:szCs w:val="22"/>
              </w:rPr>
            </w:pPr>
            <w:r>
              <w:rPr>
                <w:sz w:val="22"/>
                <w:szCs w:val="22"/>
              </w:rPr>
              <w:t>Ủy ban Thường vụ Quốc hội;</w:t>
            </w:r>
          </w:p>
          <w:p>
            <w:pPr>
              <w:pStyle w:val="Bodytext20"/>
              <w:numPr>
                <w:ilvl w:val="0"/>
                <w:numId w:val="2"/>
              </w:numPr>
              <w:tabs>
                <w:tab w:val="left" w:pos="258"/>
              </w:tabs>
              <w:rPr>
                <w:sz w:val="22"/>
                <w:szCs w:val="22"/>
              </w:rPr>
            </w:pPr>
            <w:r>
              <w:rPr>
                <w:sz w:val="22"/>
                <w:szCs w:val="22"/>
              </w:rPr>
              <w:t>Văn phòng Chính phủ;</w:t>
            </w:r>
          </w:p>
          <w:p>
            <w:pPr>
              <w:pStyle w:val="Bodytext20"/>
              <w:numPr>
                <w:ilvl w:val="0"/>
                <w:numId w:val="2"/>
              </w:numPr>
              <w:tabs>
                <w:tab w:val="left" w:pos="258"/>
              </w:tabs>
              <w:rPr>
                <w:sz w:val="22"/>
                <w:szCs w:val="22"/>
              </w:rPr>
            </w:pPr>
            <w:r>
              <w:rPr>
                <w:sz w:val="22"/>
                <w:szCs w:val="22"/>
              </w:rPr>
              <w:t>Bộ Khoa học và Công nghệ;</w:t>
            </w:r>
          </w:p>
          <w:p>
            <w:pPr>
              <w:pStyle w:val="Bodytext20"/>
              <w:numPr>
                <w:ilvl w:val="0"/>
                <w:numId w:val="2"/>
              </w:numPr>
              <w:tabs>
                <w:tab w:val="left" w:pos="258"/>
              </w:tabs>
              <w:rPr>
                <w:sz w:val="22"/>
                <w:szCs w:val="22"/>
              </w:rPr>
            </w:pPr>
            <w:r>
              <w:rPr>
                <w:sz w:val="22"/>
                <w:szCs w:val="22"/>
              </w:rPr>
              <w:t>Kiểm toán nhà nước khu vực II;</w:t>
            </w:r>
          </w:p>
          <w:p>
            <w:pPr>
              <w:pStyle w:val="Bodytext20"/>
              <w:numPr>
                <w:ilvl w:val="0"/>
                <w:numId w:val="2"/>
              </w:numPr>
              <w:tabs>
                <w:tab w:val="left" w:pos="258"/>
              </w:tabs>
              <w:rPr>
                <w:sz w:val="22"/>
                <w:szCs w:val="22"/>
              </w:rPr>
            </w:pPr>
            <w:r>
              <w:rPr>
                <w:sz w:val="22"/>
                <w:szCs w:val="22"/>
              </w:rPr>
              <w:t>Bộ Tư lệnh Quân khu IV;</w:t>
            </w:r>
          </w:p>
          <w:p>
            <w:pPr>
              <w:pStyle w:val="Bodytext20"/>
              <w:numPr>
                <w:ilvl w:val="0"/>
                <w:numId w:val="2"/>
              </w:numPr>
              <w:tabs>
                <w:tab w:val="left" w:pos="258"/>
              </w:tabs>
              <w:rPr>
                <w:sz w:val="22"/>
                <w:szCs w:val="22"/>
              </w:rPr>
            </w:pPr>
            <w:r>
              <w:rPr>
                <w:sz w:val="22"/>
                <w:szCs w:val="22"/>
              </w:rPr>
              <w:t>Cục Kiểm tra văn bản QPPL - Bộ Tư pháp;</w:t>
            </w:r>
          </w:p>
          <w:p>
            <w:pPr>
              <w:pStyle w:val="Bodytext20"/>
              <w:numPr>
                <w:ilvl w:val="0"/>
                <w:numId w:val="2"/>
              </w:numPr>
              <w:tabs>
                <w:tab w:val="left" w:pos="258"/>
              </w:tabs>
              <w:rPr>
                <w:sz w:val="22"/>
                <w:szCs w:val="22"/>
              </w:rPr>
            </w:pPr>
            <w:r>
              <w:rPr>
                <w:sz w:val="22"/>
                <w:szCs w:val="22"/>
              </w:rPr>
              <w:t>TTr Tỉnh ủy, HĐND, UBND, UBMTTQ tỉnh;</w:t>
            </w:r>
          </w:p>
          <w:p>
            <w:pPr>
              <w:pStyle w:val="Bodytext20"/>
              <w:numPr>
                <w:ilvl w:val="0"/>
                <w:numId w:val="2"/>
              </w:numPr>
              <w:tabs>
                <w:tab w:val="left" w:pos="258"/>
              </w:tabs>
              <w:rPr>
                <w:sz w:val="22"/>
                <w:szCs w:val="22"/>
              </w:rPr>
            </w:pPr>
            <w:r>
              <w:rPr>
                <w:sz w:val="22"/>
                <w:szCs w:val="22"/>
              </w:rPr>
              <w:t>Đại biểu Quốc hội Đoàn Hà Tĩnh;</w:t>
            </w:r>
          </w:p>
          <w:p>
            <w:pPr>
              <w:pStyle w:val="Bodytext20"/>
              <w:numPr>
                <w:ilvl w:val="0"/>
                <w:numId w:val="2"/>
              </w:numPr>
              <w:tabs>
                <w:tab w:val="left" w:pos="258"/>
              </w:tabs>
              <w:rPr>
                <w:sz w:val="22"/>
                <w:szCs w:val="22"/>
              </w:rPr>
            </w:pPr>
            <w:r>
              <w:rPr>
                <w:sz w:val="22"/>
                <w:szCs w:val="22"/>
              </w:rPr>
              <w:t>Đại biểu HĐND tỉnh;</w:t>
            </w:r>
          </w:p>
          <w:p>
            <w:pPr>
              <w:pStyle w:val="Bodytext20"/>
              <w:numPr>
                <w:ilvl w:val="0"/>
                <w:numId w:val="2"/>
              </w:numPr>
              <w:tabs>
                <w:tab w:val="left" w:pos="258"/>
              </w:tabs>
              <w:rPr>
                <w:sz w:val="22"/>
                <w:szCs w:val="22"/>
              </w:rPr>
            </w:pPr>
            <w:r>
              <w:rPr>
                <w:sz w:val="22"/>
                <w:szCs w:val="22"/>
              </w:rPr>
              <w:t>Các VP: TU, Đoàn ĐBQH&amp; HĐND, UBND tỉnh;</w:t>
            </w:r>
          </w:p>
          <w:p>
            <w:pPr>
              <w:pStyle w:val="Bodytext20"/>
              <w:numPr>
                <w:ilvl w:val="0"/>
                <w:numId w:val="2"/>
              </w:numPr>
              <w:tabs>
                <w:tab w:val="left" w:pos="258"/>
              </w:tabs>
              <w:rPr>
                <w:sz w:val="22"/>
                <w:szCs w:val="22"/>
              </w:rPr>
            </w:pPr>
            <w:r>
              <w:rPr>
                <w:sz w:val="22"/>
                <w:szCs w:val="22"/>
              </w:rPr>
              <w:t>Các sở, ban, ngành, đoàn thể cấp tỉnh;</w:t>
            </w:r>
          </w:p>
          <w:p>
            <w:pPr>
              <w:pStyle w:val="Bodytext20"/>
              <w:tabs>
                <w:tab w:val="left" w:pos="258"/>
              </w:tabs>
              <w:rPr>
                <w:sz w:val="22"/>
                <w:szCs w:val="22"/>
              </w:rPr>
            </w:pPr>
            <w:r>
              <w:rPr>
                <w:sz w:val="22"/>
                <w:szCs w:val="22"/>
              </w:rPr>
              <w:t>- TTr HĐND, UBND các huyện, thành phố, thị xã;</w:t>
            </w:r>
          </w:p>
          <w:p>
            <w:pPr>
              <w:pStyle w:val="Bodytext20"/>
              <w:numPr>
                <w:ilvl w:val="0"/>
                <w:numId w:val="2"/>
              </w:numPr>
              <w:tabs>
                <w:tab w:val="left" w:pos="258"/>
              </w:tabs>
              <w:rPr>
                <w:sz w:val="22"/>
                <w:szCs w:val="22"/>
              </w:rPr>
            </w:pPr>
            <w:r>
              <w:rPr>
                <w:sz w:val="22"/>
                <w:szCs w:val="22"/>
              </w:rPr>
              <w:t>Trung tâm Công báo - Tin học tỉnh;</w:t>
            </w:r>
          </w:p>
          <w:p>
            <w:pPr>
              <w:pStyle w:val="Bodytext20"/>
              <w:numPr>
                <w:ilvl w:val="0"/>
                <w:numId w:val="2"/>
              </w:numPr>
              <w:tabs>
                <w:tab w:val="left" w:pos="258"/>
              </w:tabs>
              <w:jc w:val="both"/>
              <w:rPr>
                <w:sz w:val="22"/>
                <w:szCs w:val="22"/>
              </w:rPr>
            </w:pPr>
            <w:r>
              <w:rPr>
                <w:sz w:val="22"/>
                <w:szCs w:val="22"/>
              </w:rPr>
              <w:t>Cổng thông tin điện tử tỉnh;</w:t>
            </w:r>
          </w:p>
          <w:p>
            <w:pPr>
              <w:pStyle w:val="BodyText"/>
              <w:numPr>
                <w:ilvl w:val="0"/>
                <w:numId w:val="2"/>
              </w:numPr>
              <w:spacing w:after="120" w:line="240" w:lineRule="auto"/>
              <w:jc w:val="both"/>
              <w:rPr>
                <w:i w:val="0"/>
                <w:sz w:val="28"/>
                <w:szCs w:val="28"/>
              </w:rPr>
            </w:pPr>
            <w:r>
              <w:rPr>
                <w:i w:val="0"/>
              </w:rPr>
              <w:t>Lưu: HĐ</w:t>
            </w:r>
            <w:r>
              <w:rPr>
                <w:i w:val="0"/>
                <w:vertAlign w:val="subscript"/>
              </w:rPr>
              <w:t>3</w:t>
            </w:r>
            <w:r>
              <w:rPr>
                <w:i w:val="0"/>
              </w:rPr>
              <w:t>, TH</w:t>
            </w:r>
            <w:r>
              <w:rPr>
                <w:i w:val="0"/>
                <w:vertAlign w:val="subscript"/>
              </w:rPr>
              <w:t>3</w:t>
            </w:r>
            <w:r>
              <w:rPr>
                <w:i w:val="0"/>
              </w:rPr>
              <w:t>.</w:t>
            </w:r>
          </w:p>
        </w:tc>
        <w:tc>
          <w:tcPr>
            <w:tcW w:w="4552" w:type="dxa"/>
          </w:tcPr>
          <w:p>
            <w:pPr>
              <w:pStyle w:val="BodyText"/>
              <w:spacing w:after="120" w:line="240" w:lineRule="auto"/>
              <w:ind w:firstLine="0"/>
              <w:jc w:val="center"/>
              <w:rPr>
                <w:b/>
                <w:i w:val="0"/>
                <w:sz w:val="28"/>
                <w:szCs w:val="28"/>
              </w:rPr>
            </w:pPr>
            <w:r>
              <w:rPr>
                <w:b/>
                <w:i w:val="0"/>
                <w:sz w:val="28"/>
                <w:szCs w:val="28"/>
              </w:rPr>
              <w:t>CHỦ TỊCH</w:t>
            </w:r>
          </w:p>
          <w:p>
            <w:pPr>
              <w:pStyle w:val="BodyText"/>
              <w:spacing w:after="120" w:line="240" w:lineRule="auto"/>
              <w:ind w:firstLine="0"/>
              <w:jc w:val="center"/>
              <w:rPr>
                <w:b/>
                <w:i w:val="0"/>
                <w:sz w:val="28"/>
                <w:szCs w:val="28"/>
              </w:rPr>
            </w:pPr>
          </w:p>
          <w:p>
            <w:pPr>
              <w:pStyle w:val="BodyText"/>
              <w:spacing w:after="120" w:line="240" w:lineRule="auto"/>
              <w:ind w:firstLine="0"/>
              <w:jc w:val="center"/>
              <w:rPr>
                <w:b/>
                <w:i w:val="0"/>
                <w:sz w:val="28"/>
                <w:szCs w:val="28"/>
              </w:rPr>
            </w:pPr>
          </w:p>
          <w:p>
            <w:pPr>
              <w:pStyle w:val="BodyText"/>
              <w:spacing w:after="120" w:line="240" w:lineRule="auto"/>
              <w:ind w:firstLine="0"/>
              <w:jc w:val="center"/>
              <w:rPr>
                <w:b/>
                <w:i w:val="0"/>
                <w:sz w:val="28"/>
                <w:szCs w:val="28"/>
              </w:rPr>
            </w:pPr>
          </w:p>
          <w:p>
            <w:pPr>
              <w:pStyle w:val="BodyText"/>
              <w:spacing w:after="120" w:line="240" w:lineRule="auto"/>
              <w:ind w:firstLine="0"/>
              <w:jc w:val="center"/>
              <w:rPr>
                <w:b/>
                <w:i w:val="0"/>
                <w:sz w:val="28"/>
                <w:szCs w:val="28"/>
              </w:rPr>
            </w:pPr>
          </w:p>
          <w:p>
            <w:pPr>
              <w:pStyle w:val="BodyText"/>
              <w:spacing w:after="120" w:line="240" w:lineRule="auto"/>
              <w:ind w:firstLine="0"/>
              <w:jc w:val="center"/>
              <w:rPr>
                <w:b/>
                <w:i w:val="0"/>
                <w:sz w:val="28"/>
                <w:szCs w:val="28"/>
              </w:rPr>
            </w:pPr>
          </w:p>
          <w:p>
            <w:pPr>
              <w:pStyle w:val="BodyText"/>
              <w:spacing w:after="120" w:line="240" w:lineRule="auto"/>
              <w:ind w:firstLine="0"/>
              <w:jc w:val="center"/>
              <w:rPr>
                <w:b/>
                <w:i w:val="0"/>
                <w:sz w:val="28"/>
                <w:szCs w:val="28"/>
              </w:rPr>
            </w:pPr>
          </w:p>
          <w:p>
            <w:pPr>
              <w:pStyle w:val="BodyText"/>
              <w:spacing w:after="120" w:line="240" w:lineRule="auto"/>
              <w:ind w:firstLine="0"/>
              <w:jc w:val="center"/>
              <w:rPr>
                <w:b/>
                <w:i w:val="0"/>
                <w:sz w:val="28"/>
                <w:szCs w:val="28"/>
              </w:rPr>
            </w:pPr>
            <w:r>
              <w:rPr>
                <w:b/>
                <w:i w:val="0"/>
                <w:sz w:val="28"/>
                <w:szCs w:val="28"/>
              </w:rPr>
              <w:t>Hoàng Trung Dũng</w:t>
            </w:r>
          </w:p>
        </w:tc>
      </w:tr>
    </w:tbl>
    <w:p/>
    <w:sectPr>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okChampa">
    <w:panose1 w:val="020B0604020202020204"/>
    <w:charset w:val="00"/>
    <w:family w:val="swiss"/>
    <w:pitch w:val="variable"/>
    <w:sig w:usb0="03000003" w:usb1="00000000" w:usb2="00000000" w:usb3="00000000" w:csb0="0001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8731572"/>
    </w:sdtPr>
    <w:sdtEndPr>
      <w:rPr>
        <w:sz w:val="28"/>
        <w:szCs w:val="28"/>
      </w:rPr>
    </w:sdtEndPr>
    <w:sdtContent>
      <w:p>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noProof/>
            <w:sz w:val="28"/>
            <w:szCs w:val="28"/>
          </w:rPr>
          <w:t>3</w:t>
        </w:r>
        <w:r>
          <w:rPr>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CD09EF"/>
    <w:multiLevelType w:val="multilevel"/>
    <w:tmpl w:val="11CD09EF"/>
    <w:lvl w:ilvl="0">
      <w:start w:val="1"/>
      <w:numFmt w:val="decimal"/>
      <w:suff w:val="space"/>
      <w:lvlText w:val="%1."/>
      <w:lvlJc w:val="left"/>
      <w:pPr>
        <w:ind w:left="0" w:firstLine="0"/>
      </w:pPr>
      <w:rPr>
        <w:rFonts w:ascii="Times New Roman" w:eastAsia="Times New Roman" w:hAnsi="Times New Roman" w:cs="Times New Roman" w:hint="default"/>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
    <w:nsid w:val="231B688E"/>
    <w:multiLevelType w:val="multilevel"/>
    <w:tmpl w:val="231B688E"/>
    <w:lvl w:ilvl="0">
      <w:start w:val="1"/>
      <w:numFmt w:val="bullet"/>
      <w:suff w:val="space"/>
      <w:lvlText w:val="-"/>
      <w:lvlJc w:val="left"/>
      <w:pPr>
        <w:ind w:left="0" w:firstLine="0"/>
      </w:pPr>
      <w:rPr>
        <w:rFonts w:ascii="Times New Roman" w:hAnsi="Times New Roman" w:cs="Times New Roman" w:hint="default"/>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R Kien">
    <w15:presenceInfo w15:providerId="Windows Live" w15:userId="f1268ace1d5c34ab"/>
  </w15:person>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1"/>
  <w:revisionView w:markup="0"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eastAsia="Times New Roman" w:cs="Times New Roman"/>
      <w:sz w:val="24"/>
      <w:szCs w:val="24"/>
    </w:rPr>
  </w:style>
  <w:style w:type="paragraph" w:styleId="Heading1">
    <w:name w:val="heading 1"/>
    <w:basedOn w:val="Normal"/>
    <w:next w:val="Normal"/>
    <w:link w:val="Heading1Char"/>
    <w:qFormat/>
    <w:pPr>
      <w:keepNext/>
      <w:jc w:val="right"/>
      <w:outlineLvl w:val="0"/>
    </w:pPr>
    <w:rPr>
      <w:b/>
      <w:bCs/>
    </w:rPr>
  </w:style>
  <w:style w:type="paragraph" w:styleId="Heading2">
    <w:name w:val="heading 2"/>
    <w:basedOn w:val="Normal"/>
    <w:next w:val="Normal"/>
    <w:link w:val="Heading2Char"/>
    <w:qFormat/>
    <w:pPr>
      <w:keepNext/>
      <w:jc w:val="center"/>
      <w:outlineLvl w:val="1"/>
    </w:pPr>
    <w:rPr>
      <w:b/>
      <w:bCs/>
      <w:i/>
      <w:iCs/>
      <w:sz w:val="28"/>
    </w:rPr>
  </w:style>
  <w:style w:type="paragraph" w:styleId="Heading3">
    <w:name w:val="heading 3"/>
    <w:basedOn w:val="Normal"/>
    <w:next w:val="Normal"/>
    <w:link w:val="Heading3Char"/>
    <w:qFormat/>
    <w:pPr>
      <w:keepNext/>
      <w:jc w:val="right"/>
      <w:outlineLvl w:val="2"/>
    </w:pPr>
    <w:rPr>
      <w:i/>
      <w:iCs/>
    </w:rPr>
  </w:style>
  <w:style w:type="paragraph" w:styleId="Heading4">
    <w:name w:val="heading 4"/>
    <w:basedOn w:val="Normal"/>
    <w:next w:val="Normal"/>
    <w:link w:val="Heading4Char"/>
    <w:qFormat/>
    <w:pPr>
      <w:keepNext/>
      <w:jc w:val="center"/>
      <w:outlineLvl w:val="3"/>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eastAsia="Times New Roman" w:cs="Times New Roman"/>
      <w:b/>
      <w:bCs/>
      <w:sz w:val="24"/>
      <w:szCs w:val="24"/>
    </w:rPr>
  </w:style>
  <w:style w:type="character" w:customStyle="1" w:styleId="Heading2Char">
    <w:name w:val="Heading 2 Char"/>
    <w:basedOn w:val="DefaultParagraphFont"/>
    <w:link w:val="Heading2"/>
    <w:rPr>
      <w:rFonts w:eastAsia="Times New Roman" w:cs="Times New Roman"/>
      <w:b/>
      <w:bCs/>
      <w:i/>
      <w:iCs/>
      <w:szCs w:val="24"/>
    </w:rPr>
  </w:style>
  <w:style w:type="character" w:customStyle="1" w:styleId="Heading3Char">
    <w:name w:val="Heading 3 Char"/>
    <w:basedOn w:val="DefaultParagraphFont"/>
    <w:link w:val="Heading3"/>
    <w:rPr>
      <w:rFonts w:eastAsia="Times New Roman" w:cs="Times New Roman"/>
      <w:i/>
      <w:iCs/>
      <w:sz w:val="24"/>
      <w:szCs w:val="24"/>
    </w:rPr>
  </w:style>
  <w:style w:type="character" w:customStyle="1" w:styleId="Heading4Char">
    <w:name w:val="Heading 4 Char"/>
    <w:basedOn w:val="DefaultParagraphFont"/>
    <w:link w:val="Heading4"/>
    <w:rPr>
      <w:rFonts w:eastAsia="Times New Roman" w:cs="Times New Roman"/>
      <w:szCs w:val="24"/>
    </w:rPr>
  </w:style>
  <w:style w:type="paragraph" w:styleId="BodyText">
    <w:name w:val="Body Text"/>
    <w:basedOn w:val="Normal"/>
    <w:link w:val="BodyTextChar"/>
    <w:qFormat/>
    <w:pPr>
      <w:widowControl w:val="0"/>
      <w:spacing w:after="100" w:line="295" w:lineRule="auto"/>
      <w:ind w:firstLine="400"/>
    </w:pPr>
    <w:rPr>
      <w:i/>
      <w:iCs/>
      <w:sz w:val="22"/>
      <w:szCs w:val="22"/>
    </w:rPr>
  </w:style>
  <w:style w:type="character" w:customStyle="1" w:styleId="BodyTextChar">
    <w:name w:val="Body Text Char"/>
    <w:basedOn w:val="DefaultParagraphFont"/>
    <w:link w:val="BodyText"/>
    <w:rPr>
      <w:rFonts w:eastAsia="Times New Roman" w:cs="Times New Roman"/>
      <w:i/>
      <w:iCs/>
      <w:sz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 w:val="24"/>
      <w:szCs w:val="24"/>
    </w:rPr>
  </w:style>
  <w:style w:type="table" w:styleId="TableGrid">
    <w:name w:val="Table Grid"/>
    <w:basedOn w:val="TableNormal"/>
    <w:uiPriority w:val="59"/>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0">
    <w:name w:val="Heading #1_"/>
    <w:basedOn w:val="DefaultParagraphFont"/>
    <w:link w:val="Heading11"/>
    <w:rPr>
      <w:rFonts w:eastAsia="Times New Roman" w:cs="Times New Roman"/>
      <w:b/>
      <w:bCs/>
      <w:sz w:val="26"/>
      <w:szCs w:val="26"/>
    </w:rPr>
  </w:style>
  <w:style w:type="paragraph" w:customStyle="1" w:styleId="Heading11">
    <w:name w:val="Heading #1"/>
    <w:basedOn w:val="Normal"/>
    <w:link w:val="Heading10"/>
    <w:pPr>
      <w:widowControl w:val="0"/>
      <w:spacing w:after="140"/>
      <w:outlineLvl w:val="0"/>
    </w:pPr>
    <w:rPr>
      <w:b/>
      <w:bCs/>
      <w:sz w:val="26"/>
      <w:szCs w:val="26"/>
    </w:rPr>
  </w:style>
  <w:style w:type="character" w:customStyle="1" w:styleId="Bodytext2">
    <w:name w:val="Body text (2)_"/>
    <w:basedOn w:val="DefaultParagraphFont"/>
    <w:link w:val="Bodytext20"/>
    <w:rPr>
      <w:rFonts w:eastAsia="Times New Roman" w:cs="Times New Roman"/>
      <w:sz w:val="20"/>
      <w:szCs w:val="20"/>
    </w:rPr>
  </w:style>
  <w:style w:type="paragraph" w:customStyle="1" w:styleId="Bodytext20">
    <w:name w:val="Body text (2)"/>
    <w:basedOn w:val="Normal"/>
    <w:link w:val="Bodytext2"/>
    <w:pPr>
      <w:widowControl w:val="0"/>
    </w:pPr>
    <w:rPr>
      <w:sz w:val="20"/>
      <w:szCs w:val="20"/>
    </w:rPr>
  </w:style>
  <w:style w:type="paragraph" w:styleId="ListParagraph">
    <w:name w:val="List Paragraph"/>
    <w:basedOn w:val="Normal"/>
    <w:uiPriority w:val="34"/>
    <w:qFormat/>
    <w:pPr>
      <w:ind w:left="720"/>
      <w:contextualSpacing/>
    </w:p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imes New Roman" w:cs="Times New Roman"/>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eastAsia="Times New Roman" w:cs="Times New Roman"/>
      <w:sz w:val="24"/>
      <w:szCs w:val="24"/>
    </w:rPr>
  </w:style>
  <w:style w:type="paragraph" w:styleId="Heading1">
    <w:name w:val="heading 1"/>
    <w:basedOn w:val="Normal"/>
    <w:next w:val="Normal"/>
    <w:link w:val="Heading1Char"/>
    <w:qFormat/>
    <w:pPr>
      <w:keepNext/>
      <w:jc w:val="right"/>
      <w:outlineLvl w:val="0"/>
    </w:pPr>
    <w:rPr>
      <w:b/>
      <w:bCs/>
    </w:rPr>
  </w:style>
  <w:style w:type="paragraph" w:styleId="Heading2">
    <w:name w:val="heading 2"/>
    <w:basedOn w:val="Normal"/>
    <w:next w:val="Normal"/>
    <w:link w:val="Heading2Char"/>
    <w:qFormat/>
    <w:pPr>
      <w:keepNext/>
      <w:jc w:val="center"/>
      <w:outlineLvl w:val="1"/>
    </w:pPr>
    <w:rPr>
      <w:b/>
      <w:bCs/>
      <w:i/>
      <w:iCs/>
      <w:sz w:val="28"/>
    </w:rPr>
  </w:style>
  <w:style w:type="paragraph" w:styleId="Heading3">
    <w:name w:val="heading 3"/>
    <w:basedOn w:val="Normal"/>
    <w:next w:val="Normal"/>
    <w:link w:val="Heading3Char"/>
    <w:qFormat/>
    <w:pPr>
      <w:keepNext/>
      <w:jc w:val="right"/>
      <w:outlineLvl w:val="2"/>
    </w:pPr>
    <w:rPr>
      <w:i/>
      <w:iCs/>
    </w:rPr>
  </w:style>
  <w:style w:type="paragraph" w:styleId="Heading4">
    <w:name w:val="heading 4"/>
    <w:basedOn w:val="Normal"/>
    <w:next w:val="Normal"/>
    <w:link w:val="Heading4Char"/>
    <w:qFormat/>
    <w:pPr>
      <w:keepNext/>
      <w:jc w:val="center"/>
      <w:outlineLvl w:val="3"/>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eastAsia="Times New Roman" w:cs="Times New Roman"/>
      <w:b/>
      <w:bCs/>
      <w:sz w:val="24"/>
      <w:szCs w:val="24"/>
    </w:rPr>
  </w:style>
  <w:style w:type="character" w:customStyle="1" w:styleId="Heading2Char">
    <w:name w:val="Heading 2 Char"/>
    <w:basedOn w:val="DefaultParagraphFont"/>
    <w:link w:val="Heading2"/>
    <w:rPr>
      <w:rFonts w:eastAsia="Times New Roman" w:cs="Times New Roman"/>
      <w:b/>
      <w:bCs/>
      <w:i/>
      <w:iCs/>
      <w:szCs w:val="24"/>
    </w:rPr>
  </w:style>
  <w:style w:type="character" w:customStyle="1" w:styleId="Heading3Char">
    <w:name w:val="Heading 3 Char"/>
    <w:basedOn w:val="DefaultParagraphFont"/>
    <w:link w:val="Heading3"/>
    <w:rPr>
      <w:rFonts w:eastAsia="Times New Roman" w:cs="Times New Roman"/>
      <w:i/>
      <w:iCs/>
      <w:sz w:val="24"/>
      <w:szCs w:val="24"/>
    </w:rPr>
  </w:style>
  <w:style w:type="character" w:customStyle="1" w:styleId="Heading4Char">
    <w:name w:val="Heading 4 Char"/>
    <w:basedOn w:val="DefaultParagraphFont"/>
    <w:link w:val="Heading4"/>
    <w:rPr>
      <w:rFonts w:eastAsia="Times New Roman" w:cs="Times New Roman"/>
      <w:szCs w:val="24"/>
    </w:rPr>
  </w:style>
  <w:style w:type="paragraph" w:styleId="BodyText">
    <w:name w:val="Body Text"/>
    <w:basedOn w:val="Normal"/>
    <w:link w:val="BodyTextChar"/>
    <w:qFormat/>
    <w:pPr>
      <w:widowControl w:val="0"/>
      <w:spacing w:after="100" w:line="295" w:lineRule="auto"/>
      <w:ind w:firstLine="400"/>
    </w:pPr>
    <w:rPr>
      <w:i/>
      <w:iCs/>
      <w:sz w:val="22"/>
      <w:szCs w:val="22"/>
    </w:rPr>
  </w:style>
  <w:style w:type="character" w:customStyle="1" w:styleId="BodyTextChar">
    <w:name w:val="Body Text Char"/>
    <w:basedOn w:val="DefaultParagraphFont"/>
    <w:link w:val="BodyText"/>
    <w:rPr>
      <w:rFonts w:eastAsia="Times New Roman" w:cs="Times New Roman"/>
      <w:i/>
      <w:iCs/>
      <w:sz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 w:val="24"/>
      <w:szCs w:val="24"/>
    </w:rPr>
  </w:style>
  <w:style w:type="table" w:styleId="TableGrid">
    <w:name w:val="Table Grid"/>
    <w:basedOn w:val="TableNormal"/>
    <w:uiPriority w:val="59"/>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0">
    <w:name w:val="Heading #1_"/>
    <w:basedOn w:val="DefaultParagraphFont"/>
    <w:link w:val="Heading11"/>
    <w:rPr>
      <w:rFonts w:eastAsia="Times New Roman" w:cs="Times New Roman"/>
      <w:b/>
      <w:bCs/>
      <w:sz w:val="26"/>
      <w:szCs w:val="26"/>
    </w:rPr>
  </w:style>
  <w:style w:type="paragraph" w:customStyle="1" w:styleId="Heading11">
    <w:name w:val="Heading #1"/>
    <w:basedOn w:val="Normal"/>
    <w:link w:val="Heading10"/>
    <w:pPr>
      <w:widowControl w:val="0"/>
      <w:spacing w:after="140"/>
      <w:outlineLvl w:val="0"/>
    </w:pPr>
    <w:rPr>
      <w:b/>
      <w:bCs/>
      <w:sz w:val="26"/>
      <w:szCs w:val="26"/>
    </w:rPr>
  </w:style>
  <w:style w:type="character" w:customStyle="1" w:styleId="Bodytext2">
    <w:name w:val="Body text (2)_"/>
    <w:basedOn w:val="DefaultParagraphFont"/>
    <w:link w:val="Bodytext20"/>
    <w:rPr>
      <w:rFonts w:eastAsia="Times New Roman" w:cs="Times New Roman"/>
      <w:sz w:val="20"/>
      <w:szCs w:val="20"/>
    </w:rPr>
  </w:style>
  <w:style w:type="paragraph" w:customStyle="1" w:styleId="Bodytext20">
    <w:name w:val="Body text (2)"/>
    <w:basedOn w:val="Normal"/>
    <w:link w:val="Bodytext2"/>
    <w:pPr>
      <w:widowControl w:val="0"/>
    </w:pPr>
    <w:rPr>
      <w:sz w:val="20"/>
      <w:szCs w:val="20"/>
    </w:rPr>
  </w:style>
  <w:style w:type="paragraph" w:styleId="ListParagraph">
    <w:name w:val="List Paragraph"/>
    <w:basedOn w:val="Normal"/>
    <w:uiPriority w:val="34"/>
    <w:qFormat/>
    <w:pPr>
      <w:ind w:left="720"/>
      <w:contextualSpacing/>
    </w:p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imes New Roman" w:cs="Times New Roman"/>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00A133-0F5F-4E86-8016-A082573BD28F}"/>
</file>

<file path=customXml/itemProps2.xml><?xml version="1.0" encoding="utf-8"?>
<ds:datastoreItem xmlns:ds="http://schemas.openxmlformats.org/officeDocument/2006/customXml" ds:itemID="{B7E3B880-C4AB-4137-B1E9-2721109D41B2}"/>
</file>

<file path=customXml/itemProps3.xml><?xml version="1.0" encoding="utf-8"?>
<ds:datastoreItem xmlns:ds="http://schemas.openxmlformats.org/officeDocument/2006/customXml" ds:itemID="{CD798D14-F4C1-4D3A-AD3A-DA2C16D95CF9}"/>
</file>

<file path=docProps/app.xml><?xml version="1.0" encoding="utf-8"?>
<Properties xmlns="http://schemas.openxmlformats.org/officeDocument/2006/extended-properties" xmlns:vt="http://schemas.openxmlformats.org/officeDocument/2006/docPropsVTypes">
  <Template>Normal.dotm</Template>
  <TotalTime>13</TotalTime>
  <Pages>3</Pages>
  <Words>843</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9</cp:revision>
  <cp:lastPrinted>2024-07-03T07:20:00Z</cp:lastPrinted>
  <dcterms:created xsi:type="dcterms:W3CDTF">2024-07-19T00:28:00Z</dcterms:created>
  <dcterms:modified xsi:type="dcterms:W3CDTF">2024-07-24T00:33:00Z</dcterms:modified>
</cp:coreProperties>
</file>