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555"/>
        <w:gridCol w:w="5805"/>
      </w:tblGrid>
      <w:tr w:rsidR="009918F0" w14:paraId="1D83E7AE" w14:textId="77777777">
        <w:tc>
          <w:tcPr>
            <w:tcW w:w="1899" w:type="pct"/>
            <w:tcMar>
              <w:top w:w="0" w:type="dxa"/>
              <w:left w:w="0" w:type="dxa"/>
              <w:bottom w:w="0" w:type="dxa"/>
              <w:right w:w="0" w:type="dxa"/>
            </w:tcMar>
          </w:tcPr>
          <w:p w14:paraId="1BD8FB15" w14:textId="77777777" w:rsidR="009918F0" w:rsidRDefault="00000000">
            <w:pPr>
              <w:spacing w:before="120"/>
              <w:jc w:val="center"/>
            </w:pPr>
            <w:r>
              <w:rPr>
                <w:b/>
                <w:bCs/>
              </w:rPr>
              <w:t>HỘI ĐỒNG NHÂN DÂN</w:t>
            </w:r>
            <w:r>
              <w:rPr>
                <w:b/>
                <w:bCs/>
              </w:rPr>
              <w:br/>
              <w:t>TỈNH ĐẮK LẮK</w:t>
            </w:r>
            <w:r>
              <w:rPr>
                <w:b/>
                <w:bCs/>
              </w:rPr>
              <w:br/>
              <w:t>-------</w:t>
            </w:r>
          </w:p>
        </w:tc>
        <w:tc>
          <w:tcPr>
            <w:tcW w:w="3101" w:type="pct"/>
            <w:tcMar>
              <w:top w:w="0" w:type="dxa"/>
              <w:left w:w="0" w:type="dxa"/>
              <w:bottom w:w="0" w:type="dxa"/>
              <w:right w:w="0" w:type="dxa"/>
            </w:tcMar>
          </w:tcPr>
          <w:p w14:paraId="6E2506D4" w14:textId="77777777" w:rsidR="009918F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9918F0" w14:paraId="094AE65D" w14:textId="77777777">
        <w:tc>
          <w:tcPr>
            <w:tcW w:w="1899" w:type="pct"/>
            <w:tcMar>
              <w:top w:w="0" w:type="dxa"/>
              <w:left w:w="0" w:type="dxa"/>
              <w:bottom w:w="0" w:type="dxa"/>
              <w:right w:w="0" w:type="dxa"/>
            </w:tcMar>
          </w:tcPr>
          <w:p w14:paraId="685BD101" w14:textId="77777777" w:rsidR="009918F0" w:rsidRDefault="00000000">
            <w:pPr>
              <w:spacing w:before="120"/>
              <w:jc w:val="center"/>
            </w:pPr>
            <w:r>
              <w:t>Số: 15/2026/NQ-HĐND</w:t>
            </w:r>
          </w:p>
        </w:tc>
        <w:tc>
          <w:tcPr>
            <w:tcW w:w="3101" w:type="pct"/>
            <w:tcMar>
              <w:top w:w="0" w:type="dxa"/>
              <w:left w:w="0" w:type="dxa"/>
              <w:bottom w:w="0" w:type="dxa"/>
              <w:right w:w="0" w:type="dxa"/>
            </w:tcMar>
          </w:tcPr>
          <w:p w14:paraId="256E088E" w14:textId="77777777" w:rsidR="009918F0" w:rsidRDefault="00000000">
            <w:pPr>
              <w:spacing w:before="120"/>
              <w:jc w:val="right"/>
            </w:pPr>
            <w:r>
              <w:rPr>
                <w:i/>
                <w:iCs/>
              </w:rPr>
              <w:t>Đắk Lắk, ngày 02 tháng 7 năm 2026</w:t>
            </w:r>
          </w:p>
        </w:tc>
      </w:tr>
    </w:tbl>
    <w:p w14:paraId="197428CC" w14:textId="77777777" w:rsidR="009918F0" w:rsidRDefault="00000000">
      <w:pPr>
        <w:spacing w:before="120" w:after="280" w:afterAutospacing="1"/>
      </w:pPr>
      <w:r>
        <w:t> </w:t>
      </w:r>
    </w:p>
    <w:p w14:paraId="184DD7A1" w14:textId="77777777" w:rsidR="009918F0" w:rsidRDefault="00000000">
      <w:pPr>
        <w:spacing w:before="120" w:after="280" w:afterAutospacing="1"/>
        <w:jc w:val="center"/>
      </w:pPr>
      <w:r>
        <w:rPr>
          <w:b/>
          <w:bCs/>
          <w:color w:val="000000"/>
        </w:rPr>
        <w:t>NGHỊ QUYẾT</w:t>
      </w:r>
    </w:p>
    <w:p w14:paraId="7D55F3D5" w14:textId="77777777" w:rsidR="009918F0" w:rsidRPr="00F102DA" w:rsidRDefault="00000000">
      <w:pPr>
        <w:spacing w:before="120" w:after="280" w:afterAutospacing="1"/>
        <w:jc w:val="center"/>
        <w:rPr>
          <w:b/>
          <w:bCs/>
        </w:rPr>
      </w:pPr>
      <w:r w:rsidRPr="00F102DA">
        <w:rPr>
          <w:b/>
          <w:bCs/>
          <w:color w:val="000000"/>
        </w:rPr>
        <w:t>BAN HÀNH QUY ĐỊNH NỘI DUNG CHI VÀ MỨC CHI HỖ TRỢ CHO CÁC HOẠT ĐỘNG KHUYẾN NÔNG TRÊN ĐỊA BÀN TỈNH ĐẮK LẮK</w:t>
      </w:r>
    </w:p>
    <w:p w14:paraId="657822FF" w14:textId="77777777" w:rsidR="009918F0" w:rsidRDefault="00000000">
      <w:pPr>
        <w:spacing w:before="120" w:after="280" w:afterAutospacing="1"/>
      </w:pPr>
      <w:r>
        <w:rPr>
          <w:i/>
          <w:iCs/>
          <w:color w:val="000000"/>
        </w:rPr>
        <w:t>Căn cứ Luật Tổ chức chính quyền địa phương số 72/2025/QH15;</w:t>
      </w:r>
    </w:p>
    <w:p w14:paraId="4CE36AC6" w14:textId="77777777" w:rsidR="009918F0" w:rsidRDefault="00000000">
      <w:pPr>
        <w:spacing w:before="120" w:after="280" w:afterAutospacing="1"/>
      </w:pPr>
      <w:r>
        <w:rPr>
          <w:i/>
          <w:iCs/>
          <w:color w:val="000000"/>
        </w:rPr>
        <w:t>Căn cứ Nghị định số 83/2018/NĐ-CP ngày 24 tháng 5 năm 2018 của Chính phủ về khuyến nông;</w:t>
      </w:r>
    </w:p>
    <w:p w14:paraId="4B841B79" w14:textId="77777777" w:rsidR="009918F0" w:rsidRDefault="00000000">
      <w:pPr>
        <w:spacing w:before="120" w:after="280" w:afterAutospacing="1"/>
      </w:pPr>
      <w:r>
        <w:rPr>
          <w:i/>
          <w:iCs/>
          <w:color w:val="000000"/>
        </w:rPr>
        <w:t>Căn cứ Thông tư số 75/2019/TT-BTC ngày 04 tháng 11 năm 2019 của Bộ trưởng Bộ Tài chính quy định quản lý, sử dụng kinh phí sự nghiệp từ nguồn ngân sách nhà nước thực hiện hoạt động khuyến nông;</w:t>
      </w:r>
    </w:p>
    <w:p w14:paraId="261EE03A" w14:textId="77777777" w:rsidR="009918F0" w:rsidRDefault="00000000">
      <w:pPr>
        <w:spacing w:before="120" w:after="280" w:afterAutospacing="1"/>
      </w:pPr>
      <w:r>
        <w:rPr>
          <w:i/>
          <w:iCs/>
          <w:color w:val="000000"/>
        </w:rPr>
        <w:t>Căn cứ Thông tư số 84/2021/TT-BTC ngày 04 tháng 10 năm 2021 của Bộ trưởng Bộ Tài chính sửa đổi, bổ sung Thông tư số 75/2019/TT-BTC ngày 04 tháng 11 năm 2019 của Bộ trưởng Bộ Tài chính quy định quản lý, sử dụng kinh phí sự nghiệp từ nguồn ngân sách nhà nước thực hiện hoạt động khuyến nông;</w:t>
      </w:r>
    </w:p>
    <w:p w14:paraId="098CE0CC" w14:textId="77777777" w:rsidR="009918F0" w:rsidRDefault="00000000">
      <w:pPr>
        <w:spacing w:before="120" w:after="280" w:afterAutospacing="1"/>
      </w:pPr>
      <w:r>
        <w:rPr>
          <w:i/>
          <w:iCs/>
          <w:color w:val="000000"/>
        </w:rPr>
        <w:t>Xét Tờ trình số 234/TTr-UBND ngày 19 tháng 6 năm 2026 của Ủy ban nhân dân tỉnh dự thảo Nghị quyết ban hành Quy định nội dung chi và mức chi hỗ trợ cho các hoạt động khuyến nông từ nguồn kinh phí khuyến nông địa phương trên địa bàn tỉnh Đắk Lắk; Báo cáo thẩm tra số 161/BC-HĐND ngày 28 tháng 6 năm 2026 của Ban Kinh tế - Ngân sách Hội đồng nhân dân tỉnh; Công văn số 9612/UBND-NNMT ngày 29 tháng 6 năm 2026 của Ủy ban nhân dân tỉnh về việc tiếp thu ý kiến của Ban Kinh tế - Ngân sách Hội đồng nhân dân tỉnh về thẩm tra nội dung trình Kỳ họp thứ Hai, Hội đồng nhân dân tỉnh khóa XI, nhiệm kỳ 2026 - 2031; Báo cáo số 287/BC-UBND ngày 02 tháng 7 năm 2026 của Ủy ban nhân dân tỉnh giải trình, tiếp thu ý kiến thẩm tra của Ban Kinh tế - Ngân sách Hội đồng nhân dân tỉnh đối với dự thảo Nghị quyết ban hành Quy định nội dung chi và mức chi hỗ trợ cho các hoạt động khuyến nông trên địa bàn tỉnh Đắk Lắk và ý kiến thảo luận của đại biểu Hội đồng nhân dân tỉnh tại kỳ họp.</w:t>
      </w:r>
    </w:p>
    <w:p w14:paraId="7C98AFC6" w14:textId="77777777" w:rsidR="009918F0" w:rsidRDefault="00000000">
      <w:pPr>
        <w:spacing w:before="120" w:after="280" w:afterAutospacing="1"/>
      </w:pPr>
      <w:r>
        <w:rPr>
          <w:i/>
          <w:iCs/>
          <w:color w:val="000000"/>
        </w:rPr>
        <w:t>Hội đồng nhân dân ban hành Nghị quyết ban hành Quy định nội dung chi và mức chi hỗ trợ cho các hoạt động khuyến nông trên địa bàn tỉnh Đắk Lắk.</w:t>
      </w:r>
    </w:p>
    <w:p w14:paraId="089C2B94" w14:textId="77777777" w:rsidR="009918F0" w:rsidRDefault="00000000">
      <w:pPr>
        <w:spacing w:before="120" w:after="280" w:afterAutospacing="1"/>
      </w:pPr>
      <w:r>
        <w:rPr>
          <w:b/>
          <w:bCs/>
          <w:color w:val="000000"/>
        </w:rPr>
        <w:t xml:space="preserve">Điều 1. </w:t>
      </w:r>
      <w:r>
        <w:rPr>
          <w:color w:val="000000"/>
        </w:rPr>
        <w:t>Ban hành kèm theo Nghị quyết này quy định nội dung chi và mức chi hỗ trợ cho các hoạt động khuyến nông trên địa bàn tỉnh Đắk Lắk.</w:t>
      </w:r>
    </w:p>
    <w:p w14:paraId="6A408EED" w14:textId="77777777" w:rsidR="009918F0" w:rsidRDefault="00000000">
      <w:pPr>
        <w:spacing w:before="120" w:after="280" w:afterAutospacing="1"/>
      </w:pPr>
      <w:r>
        <w:rPr>
          <w:b/>
          <w:bCs/>
          <w:color w:val="000000"/>
        </w:rPr>
        <w:t>Điều 2. Tổ chức thực hiện</w:t>
      </w:r>
    </w:p>
    <w:p w14:paraId="49B802D9" w14:textId="77777777" w:rsidR="009918F0" w:rsidRDefault="00000000">
      <w:pPr>
        <w:spacing w:before="120" w:after="280" w:afterAutospacing="1"/>
      </w:pPr>
      <w:r>
        <w:rPr>
          <w:color w:val="000000"/>
        </w:rPr>
        <w:lastRenderedPageBreak/>
        <w:t>1. Giao Ủy ban nhân dân tỉnh tổ chức triển khai thực hiện Nghị quyết này đảm bảo đúng các quy định của pháp luật và báo cáo kết quả tại các kỳ họp Hội đồng nhân dân tỉnh.</w:t>
      </w:r>
    </w:p>
    <w:p w14:paraId="33521620" w14:textId="77777777" w:rsidR="009918F0" w:rsidRDefault="00000000">
      <w:pPr>
        <w:spacing w:before="120" w:after="280" w:afterAutospacing="1"/>
      </w:pPr>
      <w:r>
        <w:rPr>
          <w:color w:val="000000"/>
        </w:rPr>
        <w:t>2. Giao Thường trực Hội đồng nhân dân tỉnh, các Ban Hội đồng nhân dân tỉnh, Tổ đại biểu Hội đồng nhân dân tỉnh và đại biểu Hội đồng nhân dân tỉnh giám sát việc triển khai thực hiện Nghị quyết này.</w:t>
      </w:r>
    </w:p>
    <w:p w14:paraId="6F27948D" w14:textId="77777777" w:rsidR="009918F0" w:rsidRDefault="00000000">
      <w:pPr>
        <w:spacing w:before="120" w:after="280" w:afterAutospacing="1"/>
      </w:pPr>
      <w:r>
        <w:rPr>
          <w:b/>
          <w:bCs/>
          <w:color w:val="000000"/>
        </w:rPr>
        <w:t>Điều 3. Điều khoản thi hành</w:t>
      </w:r>
    </w:p>
    <w:p w14:paraId="5C7AD7A3" w14:textId="77777777" w:rsidR="009918F0" w:rsidRDefault="00000000">
      <w:pPr>
        <w:spacing w:before="120" w:after="280" w:afterAutospacing="1"/>
      </w:pPr>
      <w:r>
        <w:rPr>
          <w:color w:val="000000"/>
        </w:rPr>
        <w:t>1. Nghị quyết này có hiệu lực thi hành từ ngày 13 tháng 7 năm 2026.</w:t>
      </w:r>
    </w:p>
    <w:p w14:paraId="6FAF7023" w14:textId="77777777" w:rsidR="009918F0" w:rsidRDefault="00000000">
      <w:pPr>
        <w:spacing w:before="120" w:after="280" w:afterAutospacing="1"/>
      </w:pPr>
      <w:r>
        <w:rPr>
          <w:color w:val="000000"/>
        </w:rPr>
        <w:t>2. Bãi bỏ các Nghị quyết sau đây:</w:t>
      </w:r>
    </w:p>
    <w:p w14:paraId="386DEC72" w14:textId="77777777" w:rsidR="009918F0" w:rsidRDefault="00000000">
      <w:pPr>
        <w:spacing w:before="120" w:after="280" w:afterAutospacing="1"/>
      </w:pPr>
      <w:r>
        <w:rPr>
          <w:color w:val="000000"/>
        </w:rPr>
        <w:t>a) Nghị quyết số 19/2020/NQ-HĐND ngày 09 tháng 12 năm 2020 của Hội đồng nhân dân tỉnh Đắk Lắk (cũ) quy định nội dung chi và mức chi hỗ trợ cho các hoạt động khuyến nông từ nguồn kinh phí khuyến nông địa phương trên địa bàn tỉnh Đắk Lắk;</w:t>
      </w:r>
    </w:p>
    <w:p w14:paraId="6C14A375" w14:textId="77777777" w:rsidR="009918F0" w:rsidRDefault="00000000">
      <w:pPr>
        <w:spacing w:before="120" w:after="280" w:afterAutospacing="1"/>
      </w:pPr>
      <w:r>
        <w:rPr>
          <w:color w:val="000000"/>
        </w:rPr>
        <w:t>b) Nghị quyết số 22/2024/NQ-HĐND ngày 06 tháng 12 năm 2024 của Hội đồng nhân dân tỉnh Đắk Lắk (cũ) sửa đổi, bổ sung một số điều của Nghị quyết số 19/2020/NQ-HĐND ngày 09 tháng 12 năm 2020 của Hội đồng nhân dân tỉnh quy định nội dung chi và mức chi hỗ trợ cho các hoạt động khuyến nông từ nguồn kinh phí khuyến nông địa phương trên địa bàn tỉnh Đắk Lắk;</w:t>
      </w:r>
    </w:p>
    <w:p w14:paraId="6ECFBBBC" w14:textId="77777777" w:rsidR="009918F0" w:rsidRDefault="00000000">
      <w:pPr>
        <w:spacing w:before="120" w:after="280" w:afterAutospacing="1"/>
      </w:pPr>
      <w:r>
        <w:rPr>
          <w:color w:val="000000"/>
        </w:rPr>
        <w:t>c) Nghị quyết số 08/2020/NQ-HĐND ngày 10 tháng 7 năm 2020 của Hội đồng nhân dân tỉnh Phú Yên (trước đây) ban hành quy định nội dung chi, mức hỗ trợ cho các hoạt động khuyến nông trên địa bàn tỉnh Phú Yên;</w:t>
      </w:r>
    </w:p>
    <w:p w14:paraId="3261FB6E" w14:textId="77777777" w:rsidR="009918F0" w:rsidRDefault="00000000">
      <w:pPr>
        <w:spacing w:before="120" w:after="280" w:afterAutospacing="1"/>
      </w:pPr>
      <w:r>
        <w:rPr>
          <w:color w:val="000000"/>
        </w:rPr>
        <w:t>d) Nghị quyết số 26/2022/NQ-HĐND ngày 20 tháng 7 năm 2022 của Hội đồng nhân dân tỉnh Phú Yên (trước đây) sửa đổi, bổ sung một số điều của quy định nội dung chi, mức hỗ trợ cho các hoạt động khuyến nông trên địa bàn tỉnh Phú Yên ban hành kèm theo Nghị quyết số 08/2020/NQ-HĐND ngày 10 tháng 7 năm 2020 của Hội đồng nhân dân tỉnh.</w:t>
      </w:r>
    </w:p>
    <w:p w14:paraId="73F78698" w14:textId="77777777" w:rsidR="009918F0" w:rsidRDefault="00000000">
      <w:pPr>
        <w:spacing w:before="120" w:after="280" w:afterAutospacing="1"/>
      </w:pPr>
      <w:r>
        <w:rPr>
          <w:color w:val="000000"/>
        </w:rPr>
        <w:t>3. Trường hợp các văn bản được viện dẫn tại Nghị quyết này được sửa đổi, bổ sung hoặc thay thế thì áp dụng theo các văn bản sửa đổi, bổ sung hoặc thay thế đó.</w:t>
      </w:r>
    </w:p>
    <w:p w14:paraId="79F37B0A" w14:textId="77777777" w:rsidR="009918F0" w:rsidRDefault="00000000">
      <w:pPr>
        <w:spacing w:before="120" w:after="280" w:afterAutospacing="1"/>
      </w:pPr>
      <w:r>
        <w:rPr>
          <w:b/>
          <w:bCs/>
          <w:color w:val="000000"/>
        </w:rPr>
        <w:t>Điều 4. Điều khoản chuyển tiếp</w:t>
      </w:r>
    </w:p>
    <w:p w14:paraId="0CC4185C" w14:textId="77777777" w:rsidR="009918F0" w:rsidRDefault="00000000">
      <w:pPr>
        <w:spacing w:before="120" w:after="280" w:afterAutospacing="1"/>
      </w:pPr>
      <w:r>
        <w:rPr>
          <w:color w:val="000000"/>
        </w:rPr>
        <w:t>1. Đối với các chương trình, dự án, kế hoạch khuyến nông được cơ quan có thẩm quyền phê duyệt dự toán trước ngày Nghị quyết này có hiệu lực và đang thực hiện thì được tiếp tục thực hiện theo dự toán đã phê duyệt. Trường hợp đề xuất thực hiện theo quy định tại Nghị quyết này thì đơn vị chủ trì chương trình, dự án, kế hoạch khuyến nông trình cấp có thẩm quyền phê duyệt điều chỉnh chương trình, dự án, kế hoạch và dự toán theo quy định tại Nghị quyết này và trong phạm vi dự toán được giao.</w:t>
      </w:r>
    </w:p>
    <w:p w14:paraId="59E74049" w14:textId="77777777" w:rsidR="009918F0" w:rsidRDefault="00000000">
      <w:pPr>
        <w:spacing w:before="120" w:after="280" w:afterAutospacing="1"/>
      </w:pPr>
      <w:r>
        <w:rPr>
          <w:color w:val="000000"/>
        </w:rPr>
        <w:t>2. Đối với các chương trình, dự án, kế hoạch khuyến nông chưa được cơ quan có thẩm quyền phê duyệt dự toán, đơn vị chủ trì chương trình, dự án, kế hoạch khuyến nông trình cấp có thẩm quyền phê duyệt dự toán theo quy định tại Nghị quyết này.</w:t>
      </w:r>
    </w:p>
    <w:p w14:paraId="179A1992" w14:textId="77777777" w:rsidR="009918F0" w:rsidRDefault="00000000">
      <w:pPr>
        <w:spacing w:before="120" w:after="280" w:afterAutospacing="1"/>
      </w:pPr>
      <w:r>
        <w:rPr>
          <w:i/>
          <w:iCs/>
          <w:color w:val="000000"/>
        </w:rPr>
        <w:lastRenderedPageBreak/>
        <w:t>Nghị quyết này đã được Hội đồng nhân dân tỉnh Đắk Lắk khóa XI, Kỳ họp thứ Hai thông qua ngày 02 tháng 7 năm 2026./.</w:t>
      </w:r>
    </w:p>
    <w:p w14:paraId="0DD3C2D8" w14:textId="77777777" w:rsidR="009918F0" w:rsidRDefault="00000000">
      <w:pPr>
        <w:spacing w:before="120" w:after="280" w:afterAutospacing="1"/>
      </w:pPr>
      <w:r>
        <w:rPr>
          <w:color w:val="000000"/>
        </w:rPr>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9918F0" w14:paraId="3A4C8FB7" w14:textId="77777777">
        <w:tc>
          <w:tcPr>
            <w:tcW w:w="2500" w:type="pct"/>
            <w:tcMar>
              <w:top w:w="0" w:type="dxa"/>
              <w:left w:w="108" w:type="dxa"/>
              <w:bottom w:w="0" w:type="dxa"/>
              <w:right w:w="108" w:type="dxa"/>
            </w:tcMar>
          </w:tcPr>
          <w:p w14:paraId="3EFA0963" w14:textId="77777777" w:rsidR="009918F0" w:rsidRDefault="00000000">
            <w:pPr>
              <w:spacing w:before="120"/>
              <w:rPr>
                <w:sz w:val="16"/>
              </w:rPr>
            </w:pPr>
            <w:r>
              <w:rPr>
                <w:b/>
                <w:bCs/>
                <w:i/>
                <w:iCs/>
              </w:rPr>
              <w:br/>
              <w:t>Nơi nhận:</w:t>
            </w:r>
            <w:r>
              <w:rPr>
                <w:b/>
                <w:bCs/>
                <w:i/>
                <w:iCs/>
              </w:rPr>
              <w:br/>
            </w:r>
            <w:r>
              <w:rPr>
                <w:sz w:val="16"/>
              </w:rPr>
              <w:t>- Ủy ban Thường vụ Quốc hội;</w:t>
            </w:r>
            <w:r>
              <w:rPr>
                <w:sz w:val="16"/>
              </w:rPr>
              <w:br/>
              <w:t>- Chính phủ;</w:t>
            </w:r>
            <w:r>
              <w:rPr>
                <w:sz w:val="16"/>
              </w:rPr>
              <w:br/>
              <w:t>- Ủy ban Công tác đại biểu của Quốc hội;</w:t>
            </w:r>
            <w:r>
              <w:rPr>
                <w:sz w:val="16"/>
              </w:rPr>
              <w:br/>
              <w:t>- Bộ Nông nghiệp và Môi trường;</w:t>
            </w:r>
            <w:r>
              <w:rPr>
                <w:sz w:val="16"/>
              </w:rPr>
              <w:br/>
              <w:t>- Thường trực Tỉnh ủy;</w:t>
            </w:r>
            <w:r>
              <w:rPr>
                <w:sz w:val="16"/>
              </w:rPr>
              <w:br/>
              <w:t>- Đảng ủy HĐND tỉnh;</w:t>
            </w:r>
            <w:r>
              <w:rPr>
                <w:sz w:val="16"/>
              </w:rPr>
              <w:br/>
              <w:t>- Thường trực HĐND tỉnh;</w:t>
            </w:r>
            <w:r>
              <w:rPr>
                <w:sz w:val="16"/>
              </w:rPr>
              <w:br/>
              <w:t>- Đoàn đại biểu Quốc hội tỉnh;</w:t>
            </w:r>
            <w:r>
              <w:rPr>
                <w:sz w:val="16"/>
              </w:rPr>
              <w:br/>
              <w:t>- UBND tỉnh, UBMTTQVN tỉnh;</w:t>
            </w:r>
            <w:r>
              <w:rPr>
                <w:sz w:val="16"/>
              </w:rPr>
              <w:br/>
              <w:t>- Các Ban của HĐND tỉnh;</w:t>
            </w:r>
            <w:r>
              <w:rPr>
                <w:sz w:val="16"/>
              </w:rPr>
              <w:br/>
              <w:t>- Tổ đại biểu HĐND tỉnh;</w:t>
            </w:r>
            <w:r>
              <w:rPr>
                <w:sz w:val="16"/>
              </w:rPr>
              <w:br/>
              <w:t>- Đại biểu HĐND tỉnh;</w:t>
            </w:r>
            <w:r>
              <w:rPr>
                <w:sz w:val="16"/>
              </w:rPr>
              <w:br/>
              <w:t>- Viện KSND, TAND tỉnh, THADS tỉnh;</w:t>
            </w:r>
            <w:r>
              <w:rPr>
                <w:sz w:val="16"/>
              </w:rPr>
              <w:br/>
              <w:t>- Văn phòng: Tỉnh ủy, UBND tỉnh;</w:t>
            </w:r>
            <w:r>
              <w:rPr>
                <w:sz w:val="16"/>
              </w:rPr>
              <w:br/>
              <w:t>- Văn phòng Đoàn ĐBQH và HĐND tỉnh;</w:t>
            </w:r>
            <w:r>
              <w:rPr>
                <w:sz w:val="16"/>
              </w:rPr>
              <w:br/>
              <w:t>- Các sở, ban, ngành, đoàn thể cấp tỉnh;</w:t>
            </w:r>
            <w:r>
              <w:rPr>
                <w:sz w:val="16"/>
              </w:rPr>
              <w:br/>
              <w:t>- Thường trực HĐND, UBND cấp xã;</w:t>
            </w:r>
            <w:r>
              <w:rPr>
                <w:sz w:val="16"/>
              </w:rPr>
              <w:br/>
              <w:t>- Báo và Phát thanh, Truyền hình Đắk Lắk;</w:t>
            </w:r>
            <w:r>
              <w:rPr>
                <w:sz w:val="16"/>
              </w:rPr>
              <w:br/>
              <w:t>- Trung tâm Công nghệ và Cổng TTĐT tỉnh;</w:t>
            </w:r>
            <w:r>
              <w:rPr>
                <w:sz w:val="16"/>
              </w:rPr>
              <w:br/>
              <w:t>- Công báo tỉnh;</w:t>
            </w:r>
            <w:r>
              <w:rPr>
                <w:sz w:val="16"/>
              </w:rPr>
              <w:br/>
              <w:t>- Lưu: VT, CT HĐND.</w:t>
            </w:r>
          </w:p>
          <w:p w14:paraId="52BCEDE9" w14:textId="77777777" w:rsidR="00F102DA" w:rsidRDefault="00F102DA">
            <w:pPr>
              <w:spacing w:before="120"/>
              <w:rPr>
                <w:sz w:val="16"/>
              </w:rPr>
            </w:pPr>
          </w:p>
          <w:p w14:paraId="0FE692EB" w14:textId="77777777" w:rsidR="00F102DA" w:rsidRDefault="00F102DA">
            <w:pPr>
              <w:spacing w:before="120"/>
            </w:pPr>
          </w:p>
        </w:tc>
        <w:tc>
          <w:tcPr>
            <w:tcW w:w="2500" w:type="pct"/>
            <w:tcMar>
              <w:top w:w="0" w:type="dxa"/>
              <w:left w:w="108" w:type="dxa"/>
              <w:bottom w:w="0" w:type="dxa"/>
              <w:right w:w="108" w:type="dxa"/>
            </w:tcMar>
          </w:tcPr>
          <w:p w14:paraId="1B9EE890" w14:textId="5BEA730F" w:rsidR="009918F0" w:rsidRDefault="00000000">
            <w:pPr>
              <w:spacing w:before="120"/>
              <w:jc w:val="center"/>
            </w:pPr>
            <w:r>
              <w:rPr>
                <w:b/>
                <w:bCs/>
              </w:rPr>
              <w:t>CHỦ TỊCH</w:t>
            </w:r>
            <w:r>
              <w:rPr>
                <w:b/>
                <w:bCs/>
              </w:rPr>
              <w:br/>
            </w:r>
            <w:r>
              <w:rPr>
                <w:b/>
                <w:bCs/>
              </w:rPr>
              <w:br/>
            </w:r>
            <w:r>
              <w:rPr>
                <w:b/>
                <w:bCs/>
              </w:rPr>
              <w:br/>
            </w:r>
            <w:r w:rsidR="00F102DA">
              <w:rPr>
                <w:b/>
                <w:bCs/>
              </w:rPr>
              <w:t>(đã ký)</w:t>
            </w:r>
            <w:r>
              <w:rPr>
                <w:b/>
                <w:bCs/>
              </w:rPr>
              <w:br/>
            </w:r>
            <w:r>
              <w:rPr>
                <w:b/>
                <w:bCs/>
              </w:rPr>
              <w:br/>
              <w:t>Cao Thị Hòa An</w:t>
            </w:r>
          </w:p>
        </w:tc>
      </w:tr>
    </w:tbl>
    <w:p w14:paraId="26322A30" w14:textId="77777777" w:rsidR="009918F0" w:rsidRDefault="00000000">
      <w:pPr>
        <w:spacing w:before="120" w:after="280" w:afterAutospacing="1"/>
      </w:pPr>
      <w:r>
        <w:t> </w:t>
      </w:r>
    </w:p>
    <w:p w14:paraId="6D892A95" w14:textId="77777777" w:rsidR="009918F0" w:rsidRDefault="00000000">
      <w:pPr>
        <w:spacing w:before="120" w:after="280" w:afterAutospacing="1"/>
        <w:jc w:val="center"/>
      </w:pPr>
      <w:r>
        <w:rPr>
          <w:b/>
          <w:bCs/>
          <w:color w:val="000000"/>
        </w:rPr>
        <w:t>QUY ĐỊNH</w:t>
      </w:r>
    </w:p>
    <w:p w14:paraId="42338A58" w14:textId="77777777" w:rsidR="009918F0" w:rsidRPr="00F102DA" w:rsidRDefault="00000000">
      <w:pPr>
        <w:spacing w:before="120" w:after="280" w:afterAutospacing="1"/>
        <w:jc w:val="center"/>
        <w:rPr>
          <w:b/>
          <w:bCs/>
        </w:rPr>
      </w:pPr>
      <w:r w:rsidRPr="00F102DA">
        <w:rPr>
          <w:b/>
          <w:bCs/>
          <w:color w:val="000000"/>
        </w:rPr>
        <w:t>NỘI DUNG CHI VÀ MỨC CHI HỖ TRỢ CHO CÁC HOẠT ĐỘNG KHUYẾN NÔNG TRÊN ĐỊA BÀN TỈNH ĐẮK LẮK</w:t>
      </w:r>
      <w:r w:rsidRPr="00F102DA">
        <w:rPr>
          <w:b/>
          <w:bCs/>
          <w:color w:val="000000"/>
        </w:rPr>
        <w:br/>
      </w:r>
      <w:r w:rsidRPr="00F102DA">
        <w:rPr>
          <w:b/>
          <w:bCs/>
          <w:i/>
          <w:iCs/>
          <w:color w:val="000000"/>
        </w:rPr>
        <w:t>(Ban hành kèm theo Nghị quyết số 15/2026/NQ-HĐND)</w:t>
      </w:r>
    </w:p>
    <w:p w14:paraId="4E4F2151" w14:textId="77777777" w:rsidR="009918F0" w:rsidRDefault="00000000">
      <w:pPr>
        <w:spacing w:before="120" w:after="280" w:afterAutospacing="1"/>
      </w:pPr>
      <w:r>
        <w:rPr>
          <w:b/>
          <w:bCs/>
          <w:color w:val="000000"/>
        </w:rPr>
        <w:t>Chương I</w:t>
      </w:r>
    </w:p>
    <w:p w14:paraId="4CBE07FA" w14:textId="77777777" w:rsidR="009918F0" w:rsidRDefault="00000000">
      <w:pPr>
        <w:spacing w:before="120" w:after="280" w:afterAutospacing="1"/>
        <w:jc w:val="center"/>
      </w:pPr>
      <w:r>
        <w:rPr>
          <w:b/>
          <w:bCs/>
          <w:color w:val="000000"/>
        </w:rPr>
        <w:t>QUY ĐỊNH CHUNG</w:t>
      </w:r>
    </w:p>
    <w:p w14:paraId="3144DCB6" w14:textId="77777777" w:rsidR="009918F0" w:rsidRDefault="00000000">
      <w:pPr>
        <w:spacing w:before="120" w:after="280" w:afterAutospacing="1"/>
      </w:pPr>
      <w:r>
        <w:rPr>
          <w:b/>
          <w:bCs/>
          <w:color w:val="000000"/>
        </w:rPr>
        <w:t>Điều 1. Phạm vi điều chỉnh</w:t>
      </w:r>
    </w:p>
    <w:p w14:paraId="39D3F242" w14:textId="77777777" w:rsidR="009918F0" w:rsidRDefault="00000000">
      <w:pPr>
        <w:spacing w:before="120" w:after="280" w:afterAutospacing="1"/>
      </w:pPr>
      <w:r>
        <w:rPr>
          <w:color w:val="000000"/>
        </w:rPr>
        <w:t>1. Nghị quyết này quy định nội dung chi và mức chi hỗ trợ cho các hoạt động khuyến nông trên địa bàn tỉnh Đắk Lắk.</w:t>
      </w:r>
    </w:p>
    <w:p w14:paraId="1301940A" w14:textId="77777777" w:rsidR="009918F0" w:rsidRDefault="00000000">
      <w:pPr>
        <w:spacing w:before="120" w:after="280" w:afterAutospacing="1"/>
      </w:pPr>
      <w:r>
        <w:rPr>
          <w:color w:val="000000"/>
        </w:rPr>
        <w:t>2. Các nội dung chi và mức chi không quy định tại Nghị quyết này thì thực hiện theo quy định tại Nghị định số 83/2018/NĐ-CP về khuyến nông, Thông tư số 75/2019/TT-BTC quy định quản lý, sử dụng kinh phí sự nghiệp từ nguồn ngân sách nhà nước thực hiện hoạt động khuyến nông được sửa đổi, bổ sung bởi Thông tư số 84/2021/TT-BTC và quy định pháp luật hiện hành có liên quan.</w:t>
      </w:r>
    </w:p>
    <w:p w14:paraId="3E98F0BD" w14:textId="77777777" w:rsidR="009918F0" w:rsidRDefault="00000000">
      <w:pPr>
        <w:spacing w:before="120" w:after="280" w:afterAutospacing="1"/>
      </w:pPr>
      <w:r>
        <w:rPr>
          <w:b/>
          <w:bCs/>
          <w:color w:val="000000"/>
        </w:rPr>
        <w:lastRenderedPageBreak/>
        <w:t>Điều 2. Đối tượng áp dụng</w:t>
      </w:r>
    </w:p>
    <w:p w14:paraId="0C5869D7" w14:textId="77777777" w:rsidR="009918F0" w:rsidRDefault="00000000">
      <w:pPr>
        <w:spacing w:before="120" w:after="280" w:afterAutospacing="1"/>
      </w:pPr>
      <w:r>
        <w:rPr>
          <w:color w:val="000000"/>
        </w:rPr>
        <w:t>Các cơ quan quản lý nhà nước về khuyến nông và các tổ chức, cá nhân tham gia vào hoạt động khuyến nông trên địa bàn tỉnh Đắk Lắk.</w:t>
      </w:r>
    </w:p>
    <w:p w14:paraId="36E11527" w14:textId="77777777" w:rsidR="009918F0" w:rsidRDefault="00000000">
      <w:pPr>
        <w:spacing w:before="120" w:after="280" w:afterAutospacing="1"/>
      </w:pPr>
      <w:r>
        <w:rPr>
          <w:b/>
          <w:bCs/>
          <w:color w:val="000000"/>
        </w:rPr>
        <w:t>Chương II</w:t>
      </w:r>
    </w:p>
    <w:p w14:paraId="73F54DE9" w14:textId="77777777" w:rsidR="009918F0" w:rsidRDefault="00000000">
      <w:pPr>
        <w:spacing w:before="120" w:after="280" w:afterAutospacing="1"/>
        <w:jc w:val="center"/>
      </w:pPr>
      <w:r>
        <w:rPr>
          <w:b/>
          <w:bCs/>
          <w:color w:val="000000"/>
        </w:rPr>
        <w:t>NỘI DUNG CHI, MỨC CHI HỖ TRỢ CHO CÁC HOẠT ĐỘNG KHUYẾN NÔNG</w:t>
      </w:r>
    </w:p>
    <w:p w14:paraId="24BACE32" w14:textId="77777777" w:rsidR="009918F0" w:rsidRDefault="00000000">
      <w:pPr>
        <w:spacing w:before="120" w:after="280" w:afterAutospacing="1"/>
      </w:pPr>
      <w:r>
        <w:rPr>
          <w:b/>
          <w:bCs/>
          <w:color w:val="000000"/>
        </w:rPr>
        <w:t>Điều 3. Bồi dưỡng, tập huấn và đào tạo</w:t>
      </w:r>
    </w:p>
    <w:p w14:paraId="2D851308" w14:textId="77777777" w:rsidR="009918F0" w:rsidRDefault="00000000">
      <w:pPr>
        <w:spacing w:before="120" w:after="280" w:afterAutospacing="1"/>
      </w:pPr>
      <w:r>
        <w:rPr>
          <w:color w:val="000000"/>
        </w:rPr>
        <w:t>1. Chi biên soạn chương trình, giáo trình, tài liệu bồi dưỡng, đào tạo, tập huấn: Áp dụng mức chi theo quy định tại khoản 2, khoản 4 Điều 4 Thông tư số 100/2025/TT-BTC hướng dẫn việc lập dự toán, quản lý, sử dụng và quyết toán kinh phí dành cho công tác đào tạo, bồi dưỡng công chức, viên chức.</w:t>
      </w:r>
    </w:p>
    <w:p w14:paraId="6537DC97" w14:textId="77777777" w:rsidR="009918F0" w:rsidRDefault="00000000">
      <w:pPr>
        <w:spacing w:before="120" w:after="280" w:afterAutospacing="1"/>
      </w:pPr>
      <w:r>
        <w:rPr>
          <w:color w:val="000000"/>
        </w:rPr>
        <w:t>2. Chi thù lao giảng viên, trợ giảng (bao gồm cả thù lao soạn giáo án bài giảng); chi phí đưa, đón, bố trí nơi ở cho giảng viên, trợ giảng: Áp dụng mức chi theo quy định tại khoản 2, khoản 4 Điều 4 Thông tư số 100/2025/TT-BTC.</w:t>
      </w:r>
    </w:p>
    <w:p w14:paraId="2B168006" w14:textId="77777777" w:rsidR="009918F0" w:rsidRDefault="00000000">
      <w:pPr>
        <w:spacing w:before="120" w:after="280" w:afterAutospacing="1"/>
      </w:pPr>
      <w:r>
        <w:rPr>
          <w:color w:val="000000"/>
        </w:rPr>
        <w:t>3. Phụ cấp tiền ăn giảng viên, trợ giảng: Áp dụng mức chi theo quy định tại khoản 2 Điều 3 Nghị quyết số 12/2025/NQ-HĐND quy định mức chi chế độ công tác phí, chế độ chi hội nghị trên địa bàn tỉnh Đắk Lắk.</w:t>
      </w:r>
    </w:p>
    <w:p w14:paraId="193A20A0" w14:textId="77777777" w:rsidR="009918F0" w:rsidRDefault="00000000">
      <w:pPr>
        <w:spacing w:before="120" w:after="280" w:afterAutospacing="1"/>
      </w:pPr>
      <w:r>
        <w:rPr>
          <w:color w:val="000000"/>
        </w:rPr>
        <w:t>4.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Áp dụng mức chi theo quy định tại khoản 2, khoản 4 Điều 4 Thông tư số 100/2025/TT-BTC.</w:t>
      </w:r>
    </w:p>
    <w:p w14:paraId="660267AC" w14:textId="77777777" w:rsidR="009918F0" w:rsidRDefault="00000000">
      <w:pPr>
        <w:spacing w:before="120" w:after="280" w:afterAutospacing="1"/>
      </w:pPr>
      <w:r>
        <w:rPr>
          <w:color w:val="000000"/>
        </w:rPr>
        <w:t>5. Chi hỗ trợ tiền ăn, tiền đi lại, nơi ở, tài liệu học trong thời gian tham dự đào tạo, tập huấn, bồi dưỡng, khảo sát, học tập khuyến nông cho đối tượng chuyển giao công nghệ theo quy định tại khoản 1 Điều 5 Nghị định số 83/2018/NĐ-CP:</w:t>
      </w:r>
    </w:p>
    <w:p w14:paraId="0550319E" w14:textId="77777777" w:rsidR="009918F0" w:rsidRDefault="00000000">
      <w:pPr>
        <w:spacing w:before="120" w:after="280" w:afterAutospacing="1"/>
      </w:pPr>
      <w:r>
        <w:rPr>
          <w:color w:val="000000"/>
        </w:rPr>
        <w:t>a) Đối tượng chuyển giao công nghệ hưởng lương từ ngân sách nhà nước được hỗ trợ 100% chi phí tài liệu học (không bao gồm tài liệu tham khảo). Đối với chỗ ở cho người học: trường hợp đơn vị tổ chức đào tạo bố trí chỗ ở cho các học viên thì đơn vị được hỗ trợ chi phí dịch vụ, gồm chi phí điện, nước, chi phí khác (nếu có), trường hợp đơn vị tổ chức đào tạo thuê chỗ ở cho học viên thì đơn vị được hỗ trợ 100% chi phí theo quy định tại khoản 2 Điều 2 Nghị quyết số 12/2025/NQ-HĐND.</w:t>
      </w:r>
    </w:p>
    <w:p w14:paraId="708C1EBC" w14:textId="77777777" w:rsidR="009918F0" w:rsidRDefault="00000000">
      <w:pPr>
        <w:spacing w:before="120" w:after="280" w:afterAutospacing="1"/>
      </w:pPr>
      <w:r>
        <w:rPr>
          <w:color w:val="000000"/>
        </w:rPr>
        <w:t xml:space="preserve">b) Đối tượng chuyển giao công nghệ không hưởng lương từ ngân sách nhà nước được hỗ trợ 100% chi phí tài liệu học (không bao gồm tài liệu tham khảo); hỗ trợ 100% chi phí tiền ăn, ở, chi phí khác (nếu có) thực hiện theo quy định tại Nghị quyết số 12/2025/NQ-HĐND; hỗ trợ tiền đi </w:t>
      </w:r>
      <w:r>
        <w:rPr>
          <w:color w:val="000000"/>
        </w:rPr>
        <w:lastRenderedPageBreak/>
        <w:t>lại 200.000 đồng/người/khóa học nếu địa điểm đào tạo ở xa nơi cư trú từ 15 km trở lên. Riêng đối với người khuyết tật, người học cư trú ở xã, thôn, buôn thuộc vùng khó khăn hoặc xã đặc biệt khó khăn theo quy định của cấp có thẩm quyền, mức hỗ trợ 300.000 đồng/người/khóa học nếu địa điểm đào tạo ở xa nơi cư trú từ 5 km trở lên.</w:t>
      </w:r>
    </w:p>
    <w:p w14:paraId="4A84162C" w14:textId="77777777" w:rsidR="009918F0" w:rsidRDefault="00000000">
      <w:pPr>
        <w:spacing w:before="120" w:after="280" w:afterAutospacing="1"/>
      </w:pPr>
      <w:r>
        <w:rPr>
          <w:color w:val="000000"/>
        </w:rPr>
        <w:t>6. Chi hỗ trợ tiền ăn, tiền đi lại, nơi ở, tài liệu học trong thời gian tham dự đào tạo, tập huấn, bồi dưỡng, khảo sát, học tập khuyến nông cho đối tượng nhận chuyển giao công nghệ theo quy định tại khoản 2 Điều 5 Nghị định số 83/2018/NĐ-CP:</w:t>
      </w:r>
    </w:p>
    <w:p w14:paraId="485363D6" w14:textId="77777777" w:rsidR="009918F0" w:rsidRDefault="00000000">
      <w:pPr>
        <w:spacing w:before="120" w:after="280" w:afterAutospacing="1"/>
      </w:pPr>
      <w:r>
        <w:rPr>
          <w:color w:val="000000"/>
        </w:rPr>
        <w:t>a) Người nông dân sản xuất nhỏ, nông dân thuộc diện hộ nghèo được hỗ trợ 100% chi phí tài liệu học (không bao gồm tài liệu tham khảo); hỗ trợ 100% chi phí tiền ăn, ở, chi phí khác (nếu có) thực hiện theo quy định tại Nghị quyết số 12/2025/NQ-HĐND; hỗ trợ tiền đi lại 200.000 đồng/người/khóa học nếu địa điểm đào tạo ở xa nơi cư trú từ 15 km trở lên. Riêng đối với người khuyết tật, người học cư trú ở xã, thôn, buôn thuộc vùng khó khăn hoặc xã đặc biệt khó khăn theo quy định của cấp có thẩm quyền, mức hỗ trợ 300.000 đồng/người/khóa học nếu địa điểm đào tạo ở xa nơi cư trú từ 5 km trở lên.</w:t>
      </w:r>
    </w:p>
    <w:p w14:paraId="4229D804" w14:textId="77777777" w:rsidR="009918F0" w:rsidRDefault="00000000">
      <w:pPr>
        <w:spacing w:before="120" w:after="280" w:afterAutospacing="1"/>
      </w:pPr>
      <w:r>
        <w:rPr>
          <w:color w:val="000000"/>
        </w:rPr>
        <w:t>b) Người nông dân sản xuất hàng hóa, chủ trang trại, tổ viên tổ hợp tác, thành viên hợp tác xã, tổ viên tổ liên kết, tổ khuyến nông cộng đồng và các cá nhân khác hoạt động sản xuất, kinh doanh trong lĩnh vực nông nghiệp được hỗ trợ 100% chi phí tài liệu học (không bao gồm tài liệu tham khảo); hỗ trợ tiền ăn, tiền đi lại, chỗ ở và các chi phí khác (nếu có) không quá 50% mức quy định đối với đối tượng nhận chuyển giao công nghệ là người nông dân sản xuất nhỏ, nông dân thuộc diện hộ nghèo nêu trên.</w:t>
      </w:r>
    </w:p>
    <w:p w14:paraId="5A50F209" w14:textId="77777777" w:rsidR="009918F0" w:rsidRDefault="00000000">
      <w:pPr>
        <w:spacing w:before="120" w:after="280" w:afterAutospacing="1"/>
      </w:pPr>
      <w:r>
        <w:rPr>
          <w:color w:val="000000"/>
        </w:rPr>
        <w:t>7. Chi khảo sát, học tập trong và ngoài nước:</w:t>
      </w:r>
    </w:p>
    <w:p w14:paraId="6E622247" w14:textId="77777777" w:rsidR="009918F0" w:rsidRDefault="00000000">
      <w:pPr>
        <w:spacing w:before="120" w:after="280" w:afterAutospacing="1"/>
      </w:pPr>
      <w:r>
        <w:rPr>
          <w:color w:val="000000"/>
        </w:rPr>
        <w:t>a) Đối với khảo sát, học tập trong nước: Áp dụng mức chi theo quy định tại Nghị quyết số 12/2025/NQ-HĐND.</w:t>
      </w:r>
    </w:p>
    <w:p w14:paraId="45C9E3EC" w14:textId="77777777" w:rsidR="009918F0" w:rsidRDefault="00000000">
      <w:pPr>
        <w:spacing w:before="120" w:after="280" w:afterAutospacing="1"/>
      </w:pPr>
      <w:r>
        <w:rPr>
          <w:color w:val="000000"/>
        </w:rPr>
        <w:t>b) Đối với khảo sát, học tập ngoài nước: mức chi thực hiện theo quy định tại Thông tư số 140/2025/TT-BTC quy định chế độ công tác phí đi công tác ngắn hạn ở nước ngoài do ngân sách nhà nước bảo đảm kinh phí.</w:t>
      </w:r>
    </w:p>
    <w:p w14:paraId="6D399E63" w14:textId="77777777" w:rsidR="009918F0" w:rsidRDefault="00000000">
      <w:pPr>
        <w:spacing w:before="120" w:after="280" w:afterAutospacing="1"/>
      </w:pPr>
      <w:r>
        <w:rPr>
          <w:b/>
          <w:bCs/>
          <w:color w:val="000000"/>
        </w:rPr>
        <w:t>Điều 4. Thông tin tuyên truyền</w:t>
      </w:r>
    </w:p>
    <w:p w14:paraId="567E2B02" w14:textId="77777777" w:rsidR="009918F0" w:rsidRDefault="00000000">
      <w:pPr>
        <w:spacing w:before="120" w:after="280" w:afterAutospacing="1"/>
      </w:pPr>
      <w:r>
        <w:rPr>
          <w:color w:val="000000"/>
        </w:rPr>
        <w:t>1. Tuyên truyền qua hệ thống truyền thông đại chúng; xuất bản tạp chí, tài liệu và các loại ấn phẩm khuyến nông; bản tin, trang thông tin điện tử khuyến nông:</w:t>
      </w:r>
    </w:p>
    <w:p w14:paraId="4144CD0F" w14:textId="77777777" w:rsidR="009918F0" w:rsidRDefault="00000000">
      <w:pPr>
        <w:spacing w:before="120" w:after="280" w:afterAutospacing="1"/>
      </w:pPr>
      <w:r>
        <w:rPr>
          <w:color w:val="000000"/>
        </w:rPr>
        <w:t>a) Hằng năm, căn cứ nhu cầu và khả năng kinh phí khuyến nông dành cho hoạt động thông tin tuyên truyền, cơ quan khuyến nông xây dựng nhiệm vụ thông tin tuyên truyền khuyến nông trình cấp có thẩm quyền phê duyệt.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14:paraId="077B906B" w14:textId="77777777" w:rsidR="009918F0" w:rsidRDefault="00000000">
      <w:pPr>
        <w:spacing w:before="120" w:after="280" w:afterAutospacing="1"/>
      </w:pPr>
      <w:r>
        <w:rPr>
          <w:color w:val="000000"/>
        </w:rPr>
        <w:t xml:space="preserve">b) Chi nhuận bút cho tác phẩm (tin, bài, ảnh, thơ, clip...) đăng trên Bản tin khuyến nông, trang thông tin điện tử khuyến nông, tài liệu tuyên truyền khuyến nông và tuyên truyền trên các </w:t>
      </w:r>
      <w:r>
        <w:rPr>
          <w:color w:val="000000"/>
        </w:rPr>
        <w:lastRenderedPageBreak/>
        <w:t>phương tiện thông tin đại chúng: mức chi thực hiện theo Quyết định số 16/2014/QĐ-UBND về việc ban hành Quy định mức chi trả nhuận bút, thù lao đối với tác phẩm được đăng tải trên Cổng/Trang thông tin điện tử; Bản tin của các cơ quan nhà nước và tổ chức chính trị - xã hội; Đài Truyền thanh - Truyền hình huyện, thị xã, thành phố; Đài Truyền thanh xã, phường, thị trấn trên địa bàn tỉnh Đắk Lắk được sửa đổi, bổ sung bởi Quyết định số 40/2021/QĐ-UBND.</w:t>
      </w:r>
    </w:p>
    <w:p w14:paraId="2A6015CA" w14:textId="77777777" w:rsidR="009918F0" w:rsidRDefault="00000000">
      <w:pPr>
        <w:spacing w:before="120" w:after="280" w:afterAutospacing="1"/>
      </w:pPr>
      <w:r>
        <w:rPr>
          <w:color w:val="000000"/>
        </w:rPr>
        <w:t>2. Tổ chức diễn đàn, tọa đàm, hội thảo, tham quan học tập: Nội dung chi, mức chi thực hiện theo quy định tại Nghị quyết số 12/2025/NQ-HĐND. Riêng mức chi chủ tọa và ban cố vấn, báo cáo viên, bồi dưỡng viết báo cáo diễn đàn, tọa đàm, hội thảo áp dụng mức chi theo quy định tại Nghị quyết số 30/2023/NQ-HĐND quy định mức lập dự toán thực hiện nhiệm vụ khoa học và công nghệ cấp tỉnh, cấp cơ sở sử dụng ngân sách nhà nước trên địa bàn tỉnh Đắk Lắk.</w:t>
      </w:r>
    </w:p>
    <w:p w14:paraId="4330B3B5" w14:textId="77777777" w:rsidR="009918F0" w:rsidRDefault="00000000">
      <w:pPr>
        <w:spacing w:before="120" w:after="280" w:afterAutospacing="1"/>
      </w:pPr>
      <w:r>
        <w:rPr>
          <w:color w:val="000000"/>
        </w:rPr>
        <w:t>3. Tổ chức hội nghị sơ kết, tổng kết khuyến nông, hội nghị giao ban khuyến nông: Áp dụng mức chi theo quy định tại Nghị quyết số 12/2025/NQ-HĐND.</w:t>
      </w:r>
    </w:p>
    <w:p w14:paraId="3E6B11FA" w14:textId="77777777" w:rsidR="009918F0" w:rsidRDefault="00000000">
      <w:pPr>
        <w:spacing w:before="120" w:after="280" w:afterAutospacing="1"/>
      </w:pPr>
      <w:r>
        <w:rPr>
          <w:color w:val="000000"/>
        </w:rPr>
        <w:t>4. Tổ chức hội chợ, triển lãm hàng nông nghiệp Việt Nam cấp khu vực, cấp quốc gia: hỗ trợ tối đa 100% chi phí thuê gian hàng (trên cơ sở giá đấu thầu, trường hợp không đủ điều kiện đấu thầu thì theo giá được cấp có thẩm quyền phê duyệt); chi thông tin tuyên truyền hội chợ theo quy định tại khoản 1 Điều này, chi hoạt động của Ban tổ chức theo quy định tại khoản 2 Điều này.</w:t>
      </w:r>
    </w:p>
    <w:p w14:paraId="2C9D7AE3" w14:textId="77777777" w:rsidR="009918F0" w:rsidRDefault="00000000">
      <w:pPr>
        <w:spacing w:before="120" w:after="280" w:afterAutospacing="1"/>
      </w:pPr>
      <w:r>
        <w:rPr>
          <w:color w:val="000000"/>
        </w:rPr>
        <w:t>5. Tổ chức hội thi, tuyên truyền, vận động về các hoạt động khuyến nông: Thực hiện theo quy định tại Thông tư số 63/2026/TT-BTC quy định nội dung và mức chi hoạt động thi kỹ năng nghề.</w:t>
      </w:r>
    </w:p>
    <w:p w14:paraId="308032DA" w14:textId="77777777" w:rsidR="009918F0" w:rsidRDefault="00000000">
      <w:pPr>
        <w:spacing w:before="120" w:after="280" w:afterAutospacing="1"/>
      </w:pPr>
      <w:r>
        <w:rPr>
          <w:color w:val="000000"/>
        </w:rPr>
        <w:t>6. Chi ứng dụng công nghệ thông tin phục vụ xây dựng và quản lý cơ sở dữ liệu thông tin khuyến nông: Thực hiện theo quy định tại Nghị định số 224/2026/NĐ-CP quy định chi tiết một số điều và biện pháp thi hành Luật Chuyển đổi số.</w:t>
      </w:r>
    </w:p>
    <w:p w14:paraId="412BAD9C" w14:textId="77777777" w:rsidR="009918F0" w:rsidRDefault="00000000">
      <w:pPr>
        <w:spacing w:before="120" w:after="280" w:afterAutospacing="1"/>
      </w:pPr>
      <w:r>
        <w:rPr>
          <w:b/>
          <w:bCs/>
          <w:color w:val="000000"/>
        </w:rPr>
        <w:t>Điều 5. Xây dựng và nhân rộng mô hình</w:t>
      </w:r>
    </w:p>
    <w:p w14:paraId="43B02066" w14:textId="77777777" w:rsidR="009918F0" w:rsidRDefault="00000000">
      <w:pPr>
        <w:spacing w:before="120" w:after="280" w:afterAutospacing="1"/>
      </w:pPr>
      <w:r>
        <w:rPr>
          <w:color w:val="000000"/>
        </w:rPr>
        <w:t>1. Mức hỗ trợ giống, thiết bị, vật tư thiết yếu: Áp dụng mức hỗ trợ theo quy định tại điểm a, điểm b, điểm c khoản 1 Điều 29 Nghị định số 83/2018/NĐ-CP.</w:t>
      </w:r>
    </w:p>
    <w:p w14:paraId="56D7C404" w14:textId="77777777" w:rsidR="009918F0" w:rsidRDefault="00000000">
      <w:pPr>
        <w:spacing w:before="120" w:after="280" w:afterAutospacing="1"/>
      </w:pPr>
      <w:r>
        <w:rPr>
          <w:color w:val="000000"/>
        </w:rPr>
        <w:t>2. Mức hỗ trợ kinh phí thực hiện mô hình ứng dụng công nghệ cao: Áp dụng mức hỗ trợ theo quy định tại điểm d khoản 1 Điều 29 Nghị định số 83/2018/NĐ-CP.</w:t>
      </w:r>
    </w:p>
    <w:p w14:paraId="2E87BAED" w14:textId="77777777" w:rsidR="009918F0" w:rsidRDefault="00000000">
      <w:pPr>
        <w:spacing w:before="120" w:after="280" w:afterAutospacing="1"/>
      </w:pPr>
      <w:r>
        <w:rPr>
          <w:color w:val="000000"/>
        </w:rPr>
        <w:t>3. Mức hỗ trợ kinh phí thực hiện mô hình tổ chức quản lý sản xuất kinh doanh nông nghiệp: Áp dụng mức hỗ trợ theo quy định tại điểm đ khoản 1 Điều 29 Nghị định số 83/2018/NĐ-CP.</w:t>
      </w:r>
    </w:p>
    <w:p w14:paraId="281AD809" w14:textId="77777777" w:rsidR="009918F0" w:rsidRDefault="00000000">
      <w:pPr>
        <w:spacing w:before="120" w:after="280" w:afterAutospacing="1"/>
      </w:pPr>
      <w:r>
        <w:rPr>
          <w:color w:val="000000"/>
        </w:rPr>
        <w:t>4. Mức hỗ trợ phí chứng nhận cơ sở sản xuất thực phẩm an toàn, cơ sở an toàn dịch bệnh khi tham gia xây dựng mô hình: Áp dụng mức hỗ trợ được quy định tại điểm e khoản 1 Điều 29 Nghị định số 83/2018/NĐ-CP.</w:t>
      </w:r>
    </w:p>
    <w:p w14:paraId="28DEA51E" w14:textId="77777777" w:rsidR="009918F0" w:rsidRDefault="00000000">
      <w:pPr>
        <w:spacing w:before="120" w:after="280" w:afterAutospacing="1"/>
      </w:pPr>
      <w:r>
        <w:rPr>
          <w:color w:val="000000"/>
        </w:rPr>
        <w:t>5. Chi tập huấn kỹ thuật, sơ kết, tổng kết mô hình:</w:t>
      </w:r>
    </w:p>
    <w:p w14:paraId="00712D32" w14:textId="77777777" w:rsidR="009918F0" w:rsidRDefault="00000000">
      <w:pPr>
        <w:spacing w:before="120" w:after="280" w:afterAutospacing="1"/>
      </w:pPr>
      <w:r>
        <w:rPr>
          <w:color w:val="000000"/>
        </w:rPr>
        <w:lastRenderedPageBreak/>
        <w:t>a) Chi tài liệu, văn phòng phẩm, vật tư thực hành, thuê hội trường, trang thiết bị, phục vụ, xăng xe, thuê xe: mức chi thực hiện theo quy định hiện hành và hợp đồng với nhà cung cấp được lựa chọn.</w:t>
      </w:r>
    </w:p>
    <w:p w14:paraId="10DF7A9C" w14:textId="77777777" w:rsidR="009918F0" w:rsidRDefault="00000000">
      <w:pPr>
        <w:spacing w:before="120" w:after="280" w:afterAutospacing="1"/>
      </w:pPr>
      <w:r>
        <w:rPr>
          <w:color w:val="000000"/>
        </w:rPr>
        <w:t>b) Chi hỗ trợ tiền ăn: Mức hỗ trợ thực hiện theo quy định tại khoản 6 Điều 3 Quy định này.</w:t>
      </w:r>
    </w:p>
    <w:p w14:paraId="686F62ED" w14:textId="77777777" w:rsidR="009918F0" w:rsidRDefault="00000000">
      <w:pPr>
        <w:spacing w:before="120" w:after="280" w:afterAutospacing="1"/>
      </w:pPr>
      <w:r>
        <w:rPr>
          <w:color w:val="000000"/>
        </w:rPr>
        <w:t>c) Chi giải khát giữa giờ: mức chi thực hiện theo quy định tại khoản 1 Điều 3 Nghị quyết số 12/2025/NQ-HĐND.</w:t>
      </w:r>
    </w:p>
    <w:p w14:paraId="1433028B" w14:textId="77777777" w:rsidR="009918F0" w:rsidRDefault="00000000">
      <w:pPr>
        <w:spacing w:before="120" w:after="280" w:afterAutospacing="1"/>
      </w:pPr>
      <w:r>
        <w:rPr>
          <w:color w:val="000000"/>
        </w:rPr>
        <w:t>d) Chi bồi dưỡng giảng viên, báo cáo viên (đã bao gồm biên soạn tài liệu): mức chi thực hiện theo quy định tại khoản 2 Điều 3 Quy định này.</w:t>
      </w:r>
    </w:p>
    <w:p w14:paraId="03F5419A" w14:textId="77777777" w:rsidR="009918F0" w:rsidRDefault="00000000">
      <w:pPr>
        <w:spacing w:before="120" w:after="280" w:afterAutospacing="1"/>
      </w:pPr>
      <w:r>
        <w:rPr>
          <w:color w:val="000000"/>
        </w:rPr>
        <w:t>6. Chi thông tin tuyên truyền, hội nghị, hội thảo, tham quan học tập nhân rộng mô hình: mức chi thực hiện theo quy định tại Điều 3 và khoản 2 Điều 4 Quy định này.</w:t>
      </w:r>
    </w:p>
    <w:p w14:paraId="72E25FC6" w14:textId="77777777" w:rsidR="009918F0" w:rsidRDefault="00000000">
      <w:pPr>
        <w:spacing w:before="120" w:after="280" w:afterAutospacing="1"/>
      </w:pPr>
      <w:r>
        <w:rPr>
          <w:color w:val="000000"/>
        </w:rPr>
        <w:t>7. Chi thuê cán bộ kỹ thuật chỉ đạo mô hình trình diễn tính bằng mức lương cơ sở/22 ngày nhân (x) số ngày thực tế thuê.</w:t>
      </w:r>
    </w:p>
    <w:p w14:paraId="71811CEC" w14:textId="77777777" w:rsidR="009918F0" w:rsidRDefault="00000000">
      <w:pPr>
        <w:spacing w:before="120" w:after="280" w:afterAutospacing="1"/>
      </w:pPr>
      <w:r>
        <w:rPr>
          <w:b/>
          <w:bCs/>
          <w:color w:val="000000"/>
        </w:rPr>
        <w:t>Điều 6. Tư vấn và dịch vụ khuyến nông</w:t>
      </w:r>
    </w:p>
    <w:p w14:paraId="013F7C74" w14:textId="77777777" w:rsidR="009918F0" w:rsidRDefault="00000000">
      <w:pPr>
        <w:spacing w:before="120" w:after="280" w:afterAutospacing="1"/>
      </w:pPr>
      <w:r>
        <w:rPr>
          <w:color w:val="000000"/>
        </w:rPr>
        <w:t>1. Đối với tư vấn thông qua đào tạo, tập huấn: Mức chi thực hiện theo quy định tại Điều 3 Quy định này.</w:t>
      </w:r>
    </w:p>
    <w:p w14:paraId="7B962536" w14:textId="77777777" w:rsidR="009918F0" w:rsidRDefault="00000000">
      <w:pPr>
        <w:spacing w:before="120" w:after="280" w:afterAutospacing="1"/>
      </w:pPr>
      <w:r>
        <w:rPr>
          <w:color w:val="000000"/>
        </w:rPr>
        <w:t>2. Đối với tư vấn thông qua các phương tiện truyền thông, diễn đàn, tọa đàm: Mức chi thực hiện theo quy định tại Điều 4 Quy định này.</w:t>
      </w:r>
    </w:p>
    <w:p w14:paraId="4A1E75DD" w14:textId="77777777" w:rsidR="009918F0" w:rsidRDefault="00000000">
      <w:pPr>
        <w:spacing w:before="120" w:after="280" w:afterAutospacing="1"/>
      </w:pPr>
      <w:r>
        <w:rPr>
          <w:color w:val="000000"/>
        </w:rPr>
        <w:t>3. Đối với tư vấn trực tiếp, tư vấn và dịch vụ thông qua thỏa thuận, hợp đồng: Mức chi thực hiện theo thỏa thuận, hợp đồng căn cứ quy định pháp luật liên quan.</w:t>
      </w:r>
    </w:p>
    <w:p w14:paraId="0D9C7E39" w14:textId="77777777" w:rsidR="009918F0" w:rsidRDefault="00000000">
      <w:pPr>
        <w:spacing w:before="120" w:after="280" w:afterAutospacing="1"/>
      </w:pPr>
      <w:r>
        <w:rPr>
          <w:b/>
          <w:bCs/>
          <w:color w:val="000000"/>
        </w:rPr>
        <w:t>Điều 7. Hợp tác quốc tế về khuyến nông</w:t>
      </w:r>
    </w:p>
    <w:p w14:paraId="47A30981" w14:textId="77777777" w:rsidR="009918F0" w:rsidRDefault="00000000">
      <w:pPr>
        <w:spacing w:before="120" w:after="280" w:afterAutospacing="1"/>
      </w:pPr>
      <w:r>
        <w:rPr>
          <w:color w:val="000000"/>
        </w:rPr>
        <w:t>1. Mức chi thực hiện theo quy định hiện hành, theo các hiệp định, nghị định thư hoặc thỏa thuận, hợp đồng chuyển giao công nghệ giữa các tổ chức, cá nhân trong nước với các tổ chức, cá nhân nước ngoài.</w:t>
      </w:r>
    </w:p>
    <w:p w14:paraId="54B06790" w14:textId="77777777" w:rsidR="009918F0" w:rsidRDefault="00000000">
      <w:pPr>
        <w:spacing w:before="120" w:after="280" w:afterAutospacing="1"/>
      </w:pPr>
      <w:r>
        <w:rPr>
          <w:color w:val="000000"/>
        </w:rPr>
        <w:t>2. Đón tiếp các đoàn khách nước ngoài vào làm việc: Áp dụng mức chi theo quy định tại Thông tư số 35/2026/TT-BTC quy định chế độ tiếp khách nước ngoài vào làm việc tại Việt Nam, chế độ chi tổ chức hội nghị, hội thảo quốc tế tại Việt Nam và chế độ tiếp khách trong nước.</w:t>
      </w:r>
    </w:p>
    <w:p w14:paraId="0E81E704" w14:textId="77777777" w:rsidR="009918F0" w:rsidRDefault="00000000">
      <w:pPr>
        <w:spacing w:before="120" w:after="280" w:afterAutospacing="1"/>
      </w:pPr>
      <w:r>
        <w:rPr>
          <w:b/>
          <w:bCs/>
          <w:color w:val="000000"/>
        </w:rPr>
        <w:t>Điều 8. Nội dung chi khác</w:t>
      </w:r>
    </w:p>
    <w:p w14:paraId="288846EB" w14:textId="77777777" w:rsidR="009918F0" w:rsidRDefault="00000000">
      <w:pPr>
        <w:spacing w:before="120" w:after="280" w:afterAutospacing="1"/>
      </w:pPr>
      <w:r>
        <w:rPr>
          <w:color w:val="000000"/>
        </w:rPr>
        <w:t>1. Thuê chuyên gia trong và ngoài nước phục vụ hoạt động khuyến nông, đánh giá hiệu quả hoạt động khuyến nông: Áp dụng mức chi được quy định tại Thông tư số 004/2025/TT-BNV quy định mức lương của chuyên gia tư vấn trong nước làm cơ sở cho việc xác định giá gói thầu.</w:t>
      </w:r>
    </w:p>
    <w:p w14:paraId="0F155D45" w14:textId="77777777" w:rsidR="009918F0" w:rsidRDefault="00000000">
      <w:pPr>
        <w:spacing w:before="120" w:after="280" w:afterAutospacing="1"/>
      </w:pPr>
      <w:r>
        <w:rPr>
          <w:color w:val="000000"/>
        </w:rPr>
        <w:lastRenderedPageBreak/>
        <w:t>2. Mua bản quyền tác giả, công nghệ mới phù hợp để chuyển giao gắn với chương trình, dự án được cấp có thẩm quyền phê duyệt: mức chi theo hợp đồng hoặc thỏa thuận giữa các bên liên quan theo quy định pháp luật.</w:t>
      </w:r>
    </w:p>
    <w:p w14:paraId="41A7E6E0" w14:textId="77777777" w:rsidR="009918F0" w:rsidRDefault="00000000">
      <w:pPr>
        <w:spacing w:before="120" w:after="280" w:afterAutospacing="1"/>
      </w:pPr>
      <w:r>
        <w:rPr>
          <w:color w:val="000000"/>
        </w:rPr>
        <w:t>3. Mua sắm, sửa chữa, nâng cấp trang thiết bị phục vụ cho hoạt động khuyến nông: Thực hiện theo chế độ, tiêu chuẩn, định mức và dự toán được cấp có thẩm quyền phê duyệt.</w:t>
      </w:r>
    </w:p>
    <w:p w14:paraId="6150EBCD" w14:textId="77777777" w:rsidR="009918F0" w:rsidRDefault="00000000">
      <w:pPr>
        <w:spacing w:before="120" w:after="280" w:afterAutospacing="1"/>
      </w:pPr>
      <w:r>
        <w:rPr>
          <w:color w:val="000000"/>
        </w:rPr>
        <w:t>4. Quản lý nhiệm vụ khuyến nông</w:t>
      </w:r>
    </w:p>
    <w:p w14:paraId="7872FBCC" w14:textId="77777777" w:rsidR="009918F0" w:rsidRDefault="00000000">
      <w:pPr>
        <w:spacing w:before="120" w:after="280" w:afterAutospacing="1"/>
      </w:pPr>
      <w:r>
        <w:rPr>
          <w:color w:val="000000"/>
        </w:rPr>
        <w:t>a) Cơ quan quản lý khuyến nông được trích tối đa 3% nguồn kinh phí khuyến nông được cấp có thẩm quyền giao dự toán trong năm để phục vụ công tác quản lý khuyến nông, báo cáo cơ quan có thẩm quyền phê duyệt nội dung và kinh phí trước khi thực hiện. Một số nội dung chi được quy định như sau:</w:t>
      </w:r>
    </w:p>
    <w:p w14:paraId="6E32C9A0" w14:textId="77777777" w:rsidR="009918F0" w:rsidRDefault="00000000">
      <w:pPr>
        <w:spacing w:before="120" w:after="280" w:afterAutospacing="1"/>
      </w:pPr>
      <w:r>
        <w:rPr>
          <w:color w:val="000000"/>
        </w:rPr>
        <w:t>Xây dựng văn bản quy phạm pháp luật, cơ chế, chính sách, chiến lược phát triển khuyến nông, định mức kinh tế kỹ thuật khuyến nông; hướng dẫn chuyên môn, nghiệp vụ khuyến nông; xây dựng, khảo sát đánh giá, kiểm tra giám sát, nghiệm thu, quyết toán, tổng kết, báo cáo và quản lý các chương trình, dự án, nhiệm vụ khuyến nông gồm chi thuê chuyên gia, lao động (nếu có); chi làm thêm giờ theo chế độ quy định; văn phòng phẩm, điện thoại, bưu chính, điện nước; chi công tác phí, xăng dầu, thuê phương tiện, vé máy bay và chi khác (nếu có): mức chi thực hiện theo chế độ tài chính hiện hành.</w:t>
      </w:r>
    </w:p>
    <w:p w14:paraId="2D6DFD88" w14:textId="77777777" w:rsidR="009918F0" w:rsidRDefault="00000000">
      <w:pPr>
        <w:spacing w:before="120" w:after="280" w:afterAutospacing="1"/>
      </w:pPr>
      <w:r>
        <w:rPr>
          <w:color w:val="000000"/>
        </w:rPr>
        <w:t>Chi hội đồng tư vấn, thẩm định, xác định, đánh giá, nghiệm thu chương trình, dự án, nhiệm vụ khuyến nông: Thực hiện theo quy định tại khoản 1 Điều 8 và khoản 1 Điều 9 Thông tư liên tịch số 55/2015/TTLT-BTC-BKHCN hướng dẫn định mức xây dựng, phân bổ dự toán và quyết toán kinh phí đối với nhiệm vụ khoa học và công nghệ có sử dụng ngân sách nhà nước được sửa đổi, bổ sung bởi Thông tư số 03/2023/TT-BTC.</w:t>
      </w:r>
    </w:p>
    <w:p w14:paraId="6FA40E5D" w14:textId="77777777" w:rsidR="009918F0" w:rsidRDefault="00000000">
      <w:pPr>
        <w:spacing w:before="120" w:after="280" w:afterAutospacing="1"/>
      </w:pPr>
      <w:r>
        <w:rPr>
          <w:color w:val="000000"/>
        </w:rPr>
        <w:t>b) Tổ chức chủ trì và đơn vị triển khai thực hiện dự án, nhiệm vụ khuyến nông được trích tối đa 5% nguồn kinh phí khuyến nông được cấp có thẩm quyền giao dự toán trong năm để chi cho công tác tổ chức thực hiện, quản lý, chỉ đạo, kiểm tra, giám sát, nghiệm thu, quyết toán và chi khác. Mức chi thực hiện theo quy định hiện hành.</w:t>
      </w:r>
    </w:p>
    <w:p w14:paraId="03C7FC53" w14:textId="77777777" w:rsidR="009918F0" w:rsidRDefault="00000000">
      <w:pPr>
        <w:spacing w:before="120" w:after="280" w:afterAutospacing="1"/>
      </w:pPr>
      <w:r>
        <w:t>5. Các khoản chi khác phục vụ hoạt động khuyến nông theo quyết định phê duyệt của cấp có thẩm quyền./.</w:t>
      </w:r>
    </w:p>
    <w:sectPr w:rsidR="009918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918F0"/>
    <w:rsid w:val="009918F0"/>
    <w:rsid w:val="00D64A5D"/>
    <w:rsid w:val="00F1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170D"/>
  <w15:docId w15:val="{16229784-3F71-4224-82D4-A91C78D3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2754</Words>
  <Characters>15698</Characters>
  <Application>Microsoft Office Word</Application>
  <DocSecurity>0</DocSecurity>
  <Lines>130</Lines>
  <Paragraphs>36</Paragraphs>
  <ScaleCrop>false</ScaleCrop>
  <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cp:revision>
  <dcterms:created xsi:type="dcterms:W3CDTF">2026-07-15T08:55:00Z</dcterms:created>
  <dcterms:modified xsi:type="dcterms:W3CDTF">2026-07-15T08:56:00Z</dcterms:modified>
</cp:coreProperties>
</file>