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ook w:val="01E0" w:firstRow="1" w:lastRow="1" w:firstColumn="1" w:lastColumn="1" w:noHBand="0" w:noVBand="0"/>
      </w:tblPr>
      <w:tblGrid>
        <w:gridCol w:w="3294"/>
        <w:gridCol w:w="5670"/>
      </w:tblGrid>
      <w:tr>
        <w:trPr>
          <w:trHeight w:val="1276"/>
        </w:trPr>
        <w:tc>
          <w:tcPr>
            <w:tcW w:w="3294" w:type="dxa"/>
          </w:tcPr>
          <w:p>
            <w:pPr>
              <w:jc w:val="center"/>
              <w:rPr>
                <w:b/>
                <w:bCs/>
                <w:spacing w:val="-8"/>
                <w:sz w:val="27"/>
                <w:szCs w:val="27"/>
              </w:rPr>
            </w:pPr>
            <w:r>
              <w:rPr>
                <w:b/>
                <w:bCs/>
                <w:spacing w:val="-8"/>
                <w:sz w:val="27"/>
                <w:szCs w:val="27"/>
              </w:rPr>
              <w:t>ỦY BAN NHÂN DÂN</w:t>
            </w:r>
          </w:p>
          <w:p>
            <w:pPr>
              <w:jc w:val="center"/>
              <w:rPr>
                <w:b/>
                <w:sz w:val="27"/>
                <w:szCs w:val="27"/>
              </w:rPr>
            </w:pPr>
            <w:r>
              <w:rPr>
                <w:b/>
                <w:spacing w:val="-8"/>
                <w:sz w:val="27"/>
                <w:szCs w:val="27"/>
              </w:rPr>
              <w:t>TỈNH QUẢNG NINH</w:t>
            </w:r>
          </w:p>
          <w:p>
            <w:pPr>
              <w:spacing w:before="360"/>
              <w:jc w:val="center"/>
              <w:rPr>
                <w:noProof/>
                <w:sz w:val="26"/>
                <w14:ligatures w14:val="standardContextual"/>
              </w:rPr>
            </w:pPr>
            <w:r>
              <w:rPr>
                <w:noProof/>
                <w:sz w:val="26"/>
                <w14:ligatures w14:val="standardContextual"/>
              </w:rPr>
              <mc:AlternateContent>
                <mc:Choice Requires="wps">
                  <w:drawing>
                    <wp:anchor distT="0" distB="0" distL="114300" distR="114300" simplePos="0" relativeHeight="251666432" behindDoc="0" locked="0" layoutInCell="1" allowOverlap="1">
                      <wp:simplePos x="0" y="0"/>
                      <wp:positionH relativeFrom="column">
                        <wp:posOffset>626135</wp:posOffset>
                      </wp:positionH>
                      <wp:positionV relativeFrom="paragraph">
                        <wp:posOffset>4775</wp:posOffset>
                      </wp:positionV>
                      <wp:extent cx="71689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7168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9.3pt,.4pt" to="105.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" strokecolor="black [3213]" strokeweight=".5pt">
                      <v:stroke joinstyle="miter"/>
                    </v:line>
                  </w:pict>
                </mc:Fallback>
              </mc:AlternateContent>
            </w:r>
            <w:r>
              <w:rPr>
                <w:noProof/>
                <w:sz w:val="26"/>
                <w14:ligatures w14:val="standardContextual"/>
              </w:rPr>
              <w:t>Số:           /2026/QĐ-UBND</w:t>
            </w:r>
          </w:p>
        </w:tc>
        <w:tc>
          <w:tcPr>
            <w:tcW w:w="5670" w:type="dxa"/>
          </w:tcPr>
          <w:p>
            <w:pPr>
              <w:jc w:val="center"/>
              <w:rPr>
                <w:b/>
                <w:spacing w:val="-8"/>
                <w:sz w:val="27"/>
                <w:szCs w:val="27"/>
                <w:lang w:val="vi-VN"/>
              </w:rPr>
            </w:pPr>
            <w:r>
              <w:rPr>
                <w:b/>
                <w:spacing w:val="-8"/>
                <w:sz w:val="27"/>
                <w:szCs w:val="27"/>
                <w:lang w:val="vi-VN"/>
              </w:rPr>
              <w:t>CỘNG HOÀ XÃ HỘI CHỦ NGHĨA VIỆT NAM</w:t>
            </w:r>
          </w:p>
          <w:p>
            <w:pPr>
              <w:ind w:left="-247" w:firstLine="142"/>
              <w:jc w:val="center"/>
              <w:rPr>
                <w:b/>
                <w:spacing w:val="-8"/>
                <w:lang w:val="vi-VN"/>
              </w:rPr>
            </w:pPr>
            <w:r>
              <w:rPr>
                <w:b/>
                <w:spacing w:val="-8"/>
                <w:lang w:val="vi-VN"/>
              </w:rPr>
              <w:t>Độc lập - Tự do - Hạnh phúc</w:t>
            </w:r>
          </w:p>
          <w:p>
            <w:pPr>
              <w:ind w:firstLine="567"/>
              <w:jc w:val="center"/>
              <w:rPr>
                <w:b/>
                <w:sz w:val="6"/>
                <w:szCs w:val="16"/>
                <w:lang w:val="es-ES"/>
              </w:rPr>
            </w:pPr>
            <w:r>
              <w:rPr>
                <w:b/>
                <w:noProof/>
                <w:spacing w:val="-8"/>
                <w14:ligatures w14:val="standardContextual"/>
              </w:rPr>
              <mc:AlternateContent>
                <mc:Choice Requires="wps">
                  <w:drawing>
                    <wp:anchor distT="0" distB="0" distL="114300" distR="114300" simplePos="0" relativeHeight="251667456" behindDoc="0" locked="0" layoutInCell="1" allowOverlap="1">
                      <wp:simplePos x="0" y="0"/>
                      <wp:positionH relativeFrom="column">
                        <wp:posOffset>698830</wp:posOffset>
                      </wp:positionH>
                      <wp:positionV relativeFrom="paragraph">
                        <wp:posOffset>10795</wp:posOffset>
                      </wp:positionV>
                      <wp:extent cx="20116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20116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5.05pt,.85pt" to="213.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" strokecolor="black [3213]" strokeweight=".5pt">
                      <v:stroke joinstyle="miter"/>
                    </v:line>
                  </w:pict>
                </mc:Fallback>
              </mc:AlternateContent>
            </w:r>
          </w:p>
          <w:p>
            <w:pPr>
              <w:spacing w:before="240"/>
              <w:jc w:val="center"/>
              <w:rPr>
                <w:i/>
                <w:szCs w:val="16"/>
                <w:lang w:val="vi-VN"/>
              </w:rPr>
            </w:pPr>
            <w:r>
              <w:rPr>
                <w:i/>
                <w:lang w:val="es-ES"/>
              </w:rPr>
              <w:t xml:space="preserve">Quảng Ninh, ngày    </w:t>
            </w:r>
            <w:bookmarkStart w:id="0" w:name="_GoBack"/>
            <w:bookmarkEnd w:id="0"/>
            <w:r>
              <w:rPr>
                <w:i/>
                <w:lang w:val="es-ES"/>
              </w:rPr>
              <w:t xml:space="preserve">    tháng      năm 2026</w:t>
            </w:r>
          </w:p>
        </w:tc>
      </w:tr>
    </w:tbl>
    <w:p>
      <w:pPr>
        <w:spacing w:before="120"/>
        <w:jc w:val="both"/>
        <w:rPr>
          <w:b/>
          <w:lang w:val="es-ES"/>
        </w:rPr>
      </w:pPr>
      <w:r>
        <w:rPr>
          <w:b/>
          <w:bCs/>
          <w:lang w:val="fr-FR"/>
        </w:rPr>
        <w:t xml:space="preserve">              </w:t>
      </w:r>
    </w:p>
    <w:p>
      <w:pPr>
        <w:widowControl w:val="0"/>
        <w:spacing w:before="120"/>
        <w:jc w:val="center"/>
        <w:rPr>
          <w:b/>
          <w:bCs/>
          <w:lang w:val="fr-FR"/>
        </w:rPr>
      </w:pPr>
      <w:bookmarkStart w:id="1" w:name="OLE_LINK26"/>
      <w:r>
        <w:rPr>
          <w:b/>
          <w:bCs/>
          <w:lang w:val="fr-FR"/>
        </w:rPr>
        <w:t>QUYẾT ĐỊNH</w:t>
      </w:r>
    </w:p>
    <w:bookmarkEnd w:id="1"/>
    <w:p>
      <w:pPr>
        <w:widowControl w:val="0"/>
        <w:pBdr>
          <w:top w:val="dotted" w:sz="4" w:space="0" w:color="FFFFFF"/>
          <w:left w:val="dotted" w:sz="4" w:space="0" w:color="FFFFFF"/>
          <w:bottom w:val="dotted" w:sz="4" w:space="11" w:color="FFFFFF"/>
          <w:right w:val="dotted" w:sz="4" w:space="0" w:color="FFFFFF"/>
          <w:between w:val="none" w:sz="4" w:space="0" w:color="000000"/>
        </w:pBdr>
        <w:ind w:firstLine="142"/>
        <w:jc w:val="center"/>
        <w:rPr>
          <w:rFonts w:ascii="Times New Roman Bold" w:hAnsi="Times New Roman Bold"/>
          <w:b/>
          <w:spacing w:val="-2"/>
          <w:lang w:val="fr-FR"/>
        </w:rPr>
      </w:pPr>
      <w:r>
        <w:rPr>
          <w:rFonts w:ascii="Times New Roman Bold" w:hAnsi="Times New Roman Bold"/>
          <w:b/>
          <w:spacing w:val="-2"/>
          <w:lang w:val="fr-FR"/>
        </w:rPr>
        <w:t xml:space="preserve">Phân cấp </w:t>
      </w:r>
      <w:bookmarkStart w:id="2" w:name="_Hlk226032538"/>
      <w:r>
        <w:rPr>
          <w:rFonts w:ascii="Times New Roman Bold" w:hAnsi="Times New Roman Bold"/>
          <w:b/>
          <w:spacing w:val="-2"/>
          <w:lang w:val="fr-FR"/>
        </w:rPr>
        <w:t>thực hiện quản lý nhà nước về kinh doanh</w:t>
      </w:r>
    </w:p>
    <w:p>
      <w:pPr>
        <w:widowControl w:val="0"/>
        <w:pBdr>
          <w:top w:val="dotted" w:sz="4" w:space="0" w:color="FFFFFF"/>
          <w:left w:val="dotted" w:sz="4" w:space="0" w:color="FFFFFF"/>
          <w:bottom w:val="dotted" w:sz="4" w:space="11" w:color="FFFFFF"/>
          <w:right w:val="dotted" w:sz="4" w:space="0" w:color="FFFFFF"/>
          <w:between w:val="none" w:sz="4" w:space="0" w:color="000000"/>
        </w:pBdr>
        <w:ind w:firstLine="142"/>
        <w:jc w:val="center"/>
        <w:rPr>
          <w:rFonts w:ascii="Times New Roman Bold" w:hAnsi="Times New Roman Bold"/>
          <w:b/>
          <w:spacing w:val="-2"/>
          <w:lang w:val="fr-FR"/>
        </w:rPr>
      </w:pPr>
      <w:r>
        <w:rPr>
          <w:rFonts w:ascii="Times New Roman Bold" w:hAnsi="Times New Roman Bold"/>
          <w:b/>
          <w:noProof/>
          <w:spacing w:val="-2"/>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2158441</wp:posOffset>
                </wp:positionH>
                <wp:positionV relativeFrom="paragraph">
                  <wp:posOffset>209525</wp:posOffset>
                </wp:positionV>
                <wp:extent cx="1536192"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15361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9.95pt,16.5pt" to="290.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" strokecolor="black [3213]" strokeweight=".5pt">
                <v:stroke joinstyle="miter"/>
              </v:line>
            </w:pict>
          </mc:Fallback>
        </mc:AlternateContent>
      </w:r>
      <w:r>
        <w:rPr>
          <w:rFonts w:ascii="Times New Roman Bold" w:hAnsi="Times New Roman Bold"/>
          <w:b/>
          <w:spacing w:val="-2"/>
          <w:lang w:val="fr-FR"/>
        </w:rPr>
        <w:t>theo phương thức đa cấp trên địa bàn tỉnh Quảng Ninh</w:t>
      </w:r>
      <w:bookmarkEnd w:id="2"/>
    </w:p>
    <w:p>
      <w:pPr>
        <w:tabs>
          <w:tab w:val="left" w:pos="7275"/>
        </w:tabs>
        <w:spacing w:before="240" w:after="120"/>
        <w:ind w:firstLine="709"/>
        <w:jc w:val="both"/>
        <w:rPr>
          <w:i/>
          <w:lang w:val="fr-FR"/>
        </w:rPr>
      </w:pPr>
      <w:bookmarkStart w:id="3" w:name="OLE_LINK4"/>
      <w:bookmarkStart w:id="4" w:name="OLE_LINK6"/>
      <w:r>
        <w:rPr>
          <w:i/>
          <w:lang w:val="nl-NL"/>
        </w:rPr>
        <w:t xml:space="preserve">Căn cứ </w:t>
      </w:r>
      <w:bookmarkStart w:id="5" w:name="_Hlk230347567"/>
      <w:r>
        <w:rPr>
          <w:i/>
          <w:lang w:val="nl-NL"/>
        </w:rPr>
        <w:t>Luật Tổ chức chính quyền địa phương số 72/2025/QH15</w:t>
      </w:r>
      <w:bookmarkEnd w:id="5"/>
      <w:r>
        <w:rPr>
          <w:i/>
          <w:lang w:val="nl-NL"/>
        </w:rPr>
        <w:t>;</w:t>
      </w:r>
    </w:p>
    <w:p>
      <w:pPr>
        <w:widowControl w:val="0"/>
        <w:spacing w:before="120" w:after="120"/>
        <w:ind w:firstLine="720"/>
        <w:jc w:val="both"/>
        <w:rPr>
          <w:i/>
          <w:lang w:val="fr-FR"/>
        </w:rPr>
      </w:pPr>
      <w:r>
        <w:rPr>
          <w:i/>
          <w:lang w:val="fr-FR"/>
        </w:rPr>
        <w:t>Căn cứ Luật Ban hành văn bản quy phạm pháp luật số 64/2025/QH15 được sửa đổi, bổ sung bởi Luật số 87/2025/QH15;</w:t>
      </w:r>
    </w:p>
    <w:p>
      <w:pPr>
        <w:tabs>
          <w:tab w:val="left" w:pos="7275"/>
        </w:tabs>
        <w:spacing w:before="120" w:after="120"/>
        <w:ind w:firstLine="709"/>
        <w:jc w:val="both"/>
        <w:rPr>
          <w:i/>
          <w:iCs/>
          <w:shd w:val="clear" w:color="auto" w:fill="FFFFFF"/>
          <w:lang w:val="fr-FR"/>
        </w:rPr>
      </w:pPr>
      <w:r>
        <w:rPr>
          <w:i/>
          <w:lang w:val="nl-NL"/>
        </w:rPr>
        <w:t xml:space="preserve">Căn cứ Nghị định số 78/2025/NĐ-CP của Chính phủ quy định chi tiết một số điều và biện pháp để tổ chức, hướng dẫn thi hành Luật Ban hành văn bản quy phạm pháp luật được sửa đổi, bổ sung bởi </w:t>
      </w:r>
      <w:r>
        <w:rPr>
          <w:i/>
          <w:iCs/>
          <w:shd w:val="clear" w:color="auto" w:fill="FFFFFF"/>
          <w:lang w:val="fr-FR"/>
        </w:rPr>
        <w:t>Nghị định số 187/2025/NĐ-CP;</w:t>
      </w:r>
    </w:p>
    <w:p>
      <w:pPr>
        <w:pStyle w:val="FootnoteText"/>
        <w:spacing w:before="120" w:after="120"/>
        <w:jc w:val="both"/>
        <w:rPr>
          <w:i/>
          <w:iCs/>
          <w:sz w:val="28"/>
          <w:szCs w:val="28"/>
          <w:lang w:val="fr-FR"/>
        </w:rPr>
      </w:pPr>
      <w:r>
        <w:rPr>
          <w:lang w:val="fr-FR"/>
        </w:rPr>
        <w:tab/>
      </w:r>
      <w:r>
        <w:rPr>
          <w:i/>
          <w:sz w:val="28"/>
          <w:szCs w:val="28"/>
          <w:lang w:val="nl-NL"/>
        </w:rPr>
        <w:t xml:space="preserve">Căn cứ </w:t>
      </w:r>
      <w:bookmarkStart w:id="6" w:name="_Hlk230293982"/>
      <w:r>
        <w:rPr>
          <w:i/>
          <w:sz w:val="28"/>
          <w:szCs w:val="28"/>
          <w:lang w:val="nl-NL"/>
        </w:rPr>
        <w:t>Nghị định số 137/2026/NĐ-CP của Chính phủ về quản lý hoạt động kinh doanh theo phương thức đa cấp</w:t>
      </w:r>
      <w:bookmarkEnd w:id="6"/>
      <w:r>
        <w:rPr>
          <w:i/>
          <w:sz w:val="28"/>
          <w:szCs w:val="28"/>
          <w:lang w:val="nl-NL"/>
        </w:rPr>
        <w:t>;</w:t>
      </w:r>
    </w:p>
    <w:bookmarkEnd w:id="3"/>
    <w:bookmarkEnd w:id="4"/>
    <w:p>
      <w:pPr>
        <w:widowControl w:val="0"/>
        <w:spacing w:before="120" w:after="120"/>
        <w:ind w:firstLine="709"/>
        <w:jc w:val="both"/>
        <w:rPr>
          <w:bCs/>
          <w:i/>
          <w:lang w:val="fr-FR"/>
        </w:rPr>
      </w:pPr>
      <w:r>
        <w:rPr>
          <w:bCs/>
          <w:i/>
          <w:lang w:val="fr-FR"/>
        </w:rPr>
        <w:t>Theo đề nghị của Sở Công Thương tại Tờ trình số 3303/TTr-SCT ngày 23     tháng 6 năm 2026; Báo cáo thẩm định số 253/BC-STP ngày 18 tháng 6 năm 2026 của Sở Tư pháp;</w:t>
      </w:r>
    </w:p>
    <w:p>
      <w:pPr>
        <w:pBdr>
          <w:top w:val="none" w:sz="4" w:space="0" w:color="000000"/>
          <w:left w:val="none" w:sz="4" w:space="0" w:color="000000"/>
          <w:bottom w:val="none" w:sz="4" w:space="0" w:color="000000"/>
          <w:right w:val="none" w:sz="4" w:space="0" w:color="000000"/>
          <w:between w:val="none" w:sz="4" w:space="0" w:color="000000"/>
        </w:pBdr>
        <w:spacing w:before="120" w:after="120"/>
        <w:jc w:val="both"/>
        <w:rPr>
          <w:bCs/>
          <w:i/>
          <w:lang w:val="fr-FR"/>
        </w:rPr>
      </w:pPr>
      <w:r>
        <w:rPr>
          <w:bCs/>
          <w:i/>
          <w:lang w:val="fr-FR"/>
        </w:rPr>
        <w:tab/>
      </w:r>
      <w:r>
        <w:rPr>
          <w:bCs/>
          <w:i/>
          <w:spacing w:val="-2"/>
          <w:lang w:val="fr-FR"/>
        </w:rPr>
        <w:t xml:space="preserve">Ủy ban nhân dân tỉnh ban hành Quyết định </w:t>
      </w:r>
      <w:bookmarkStart w:id="7" w:name="OLE_LINK1"/>
      <w:bookmarkStart w:id="8" w:name="OLE_LINK5"/>
      <w:r>
        <w:rPr>
          <w:bCs/>
          <w:i/>
          <w:spacing w:val="-2"/>
          <w:lang w:val="fr-FR"/>
        </w:rPr>
        <w:t xml:space="preserve">phân cấp </w:t>
      </w:r>
      <w:bookmarkStart w:id="9" w:name="OLE_LINK20"/>
      <w:bookmarkStart w:id="10" w:name="OLE_LINK21"/>
      <w:bookmarkStart w:id="11" w:name="OLE_LINK7"/>
      <w:bookmarkEnd w:id="7"/>
      <w:bookmarkEnd w:id="8"/>
      <w:r>
        <w:rPr>
          <w:bCs/>
          <w:i/>
          <w:spacing w:val="-2"/>
          <w:lang w:val="fr-FR"/>
        </w:rPr>
        <w:t>cho Sở Công Thương</w:t>
      </w:r>
      <w:r>
        <w:rPr>
          <w:bCs/>
          <w:i/>
          <w:spacing w:val="4"/>
          <w:lang w:val="fr-FR"/>
        </w:rPr>
        <w:t xml:space="preserve"> thực</w:t>
      </w:r>
      <w:r>
        <w:rPr>
          <w:bCs/>
          <w:i/>
          <w:lang w:val="fr-FR"/>
        </w:rPr>
        <w:t xml:space="preserve"> hiện quản lý nhà nước về kinh doanh theo phương thức đa cấp trên địa bàn tỉnh Quảng Ninh.</w:t>
      </w:r>
    </w:p>
    <w:p>
      <w:pPr>
        <w:widowControl w:val="0"/>
        <w:spacing w:before="140" w:after="140"/>
        <w:ind w:firstLine="709"/>
        <w:jc w:val="both"/>
        <w:rPr>
          <w:b/>
          <w:bCs/>
          <w:lang w:val="fr-FR"/>
        </w:rPr>
      </w:pPr>
      <w:r>
        <w:rPr>
          <w:b/>
          <w:bCs/>
          <w:lang w:val="fr-FR"/>
        </w:rPr>
        <w:t>Điều 1. Phạm vi điều chỉnh, đối tượng áp dụng</w:t>
      </w:r>
    </w:p>
    <w:p>
      <w:pPr>
        <w:autoSpaceDE w:val="0"/>
        <w:autoSpaceDN w:val="0"/>
        <w:adjustRightInd w:val="0"/>
        <w:spacing w:before="140" w:after="140"/>
        <w:ind w:firstLine="720"/>
        <w:jc w:val="both"/>
        <w:rPr>
          <w:rFonts w:eastAsia="TimesNewRomanPSMT"/>
          <w:lang w:val="vi-VN"/>
        </w:rPr>
      </w:pPr>
      <w:bookmarkStart w:id="12" w:name="_Hlk226037718"/>
      <w:bookmarkStart w:id="13" w:name="_Hlk230275696"/>
      <w:bookmarkStart w:id="14" w:name="OLE_LINK22"/>
      <w:bookmarkEnd w:id="9"/>
      <w:bookmarkEnd w:id="10"/>
      <w:bookmarkEnd w:id="11"/>
      <w:r>
        <w:rPr>
          <w:spacing w:val="-4"/>
          <w:lang w:val="fr-FR"/>
        </w:rPr>
        <w:t xml:space="preserve">1. Phạm vi điều chỉnh: </w:t>
      </w:r>
      <w:r>
        <w:rPr>
          <w:rFonts w:eastAsia="TimesNewRomanPSMT"/>
          <w:lang w:val="vi-VN"/>
        </w:rPr>
        <w:t xml:space="preserve">Quyết định này quy định phân cấp thực hiện một số </w:t>
      </w:r>
      <w:r>
        <w:rPr>
          <w:rFonts w:eastAsia="TimesNewRomanPSMT"/>
          <w:spacing w:val="6"/>
          <w:lang w:val="vi-VN"/>
        </w:rPr>
        <w:t xml:space="preserve">nội dung quản lý nhà nước thuộc thẩm quyền của </w:t>
      </w:r>
      <w:r>
        <w:rPr>
          <w:rFonts w:eastAsia="TimesNewRomanPSMT"/>
          <w:spacing w:val="6"/>
        </w:rPr>
        <w:t>Ủy ban nhân dân</w:t>
      </w:r>
      <w:r>
        <w:rPr>
          <w:rFonts w:eastAsia="TimesNewRomanPSMT"/>
          <w:spacing w:val="6"/>
          <w:lang w:val="vi-VN"/>
        </w:rPr>
        <w:t xml:space="preserve"> tỉnh về hoạt</w:t>
      </w:r>
      <w:r>
        <w:rPr>
          <w:rFonts w:eastAsia="TimesNewRomanPSMT"/>
          <w:lang w:val="vi-VN"/>
        </w:rPr>
        <w:t xml:space="preserve"> động kinh doanh theo phương thức đa cấp trên địa bàn tỉnh Quảng Ninh.</w:t>
      </w:r>
    </w:p>
    <w:bookmarkEnd w:id="12"/>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spacing w:val="-4"/>
          <w:lang w:val="fr-FR"/>
        </w:rPr>
      </w:pPr>
      <w:r>
        <w:rPr>
          <w:spacing w:val="-4"/>
          <w:lang w:val="fr-FR"/>
        </w:rPr>
        <w:t>2. Đối tượng áp dụng</w:t>
      </w:r>
      <w:bookmarkStart w:id="15" w:name="_Hlk229522750"/>
      <w:r>
        <w:rPr>
          <w:spacing w:val="-4"/>
          <w:lang w:val="fr-FR"/>
        </w:rPr>
        <w:t xml:space="preserve">: </w:t>
      </w:r>
      <w:r>
        <w:rPr>
          <w:rFonts w:eastAsia="Calibri"/>
          <w:spacing w:val="-4"/>
          <w:lang w:val="nl-NL"/>
        </w:rPr>
        <w:t xml:space="preserve">Sở Công Thương; </w:t>
      </w:r>
      <w:bookmarkStart w:id="16" w:name="_Hlk229522909"/>
      <w:r>
        <w:rPr>
          <w:rFonts w:eastAsia="Calibri"/>
          <w:spacing w:val="-4"/>
          <w:lang w:val="nl-NL"/>
        </w:rPr>
        <w:t>doanh nghiệp bán hàng đa cấp; người tham gia bán hàng đa cấp</w:t>
      </w:r>
      <w:bookmarkEnd w:id="16"/>
      <w:r>
        <w:rPr>
          <w:rFonts w:eastAsia="Calibri"/>
          <w:spacing w:val="-4"/>
          <w:lang w:val="nl-NL"/>
        </w:rPr>
        <w:t>; các cơ quan, tổ chức, cá nhân có liên quan đến nội dung phân cấp.</w:t>
      </w:r>
      <w:bookmarkEnd w:id="15"/>
    </w:p>
    <w:bookmarkEnd w:id="13"/>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r>
        <w:rPr>
          <w:b/>
          <w:lang w:val="fr-FR" w:eastAsia="vi-VN"/>
        </w:rPr>
        <w:t xml:space="preserve">Điều 2. </w:t>
      </w:r>
      <w:bookmarkStart w:id="17" w:name="_Hlk230275714"/>
      <w:r>
        <w:rPr>
          <w:b/>
          <w:lang w:val="fr-FR" w:eastAsia="vi-VN"/>
        </w:rPr>
        <w:t xml:space="preserve">Nội dung phân cấp </w:t>
      </w:r>
      <w:bookmarkEnd w:id="17"/>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rPr>
        <w:t xml:space="preserve">Ủy ban nhân dân tỉnh </w:t>
      </w:r>
      <w:bookmarkStart w:id="18" w:name="_Hlk230276053"/>
      <w:r>
        <w:rPr>
          <w:lang w:val="fr-FR"/>
        </w:rPr>
        <w:t xml:space="preserve">phân cấp cho Sở Công Thương thực hiện quản lý nhà nước về kinh doanh theo phương thức đa cấp trên địa bàn tỉnh Quảng Ninh </w:t>
      </w:r>
      <w:bookmarkEnd w:id="18"/>
      <w:r>
        <w:rPr>
          <w:lang w:val="fr-FR"/>
        </w:rPr>
        <w:t>được quy định tại k</w:t>
      </w:r>
      <w:r>
        <w:rPr>
          <w:rFonts w:eastAsia="Calibri"/>
          <w:lang w:val="fr-FR"/>
        </w:rPr>
        <w:t>hoản 1 Điều 56 (</w:t>
      </w:r>
      <w:r>
        <w:rPr>
          <w:lang w:val="fr-FR"/>
        </w:rPr>
        <w:t xml:space="preserve">trừ điểm a </w:t>
      </w:r>
      <w:r>
        <w:rPr>
          <w:rFonts w:eastAsia="Calibri"/>
          <w:lang w:val="fr-FR"/>
        </w:rPr>
        <w:t xml:space="preserve">khoản 1 Điều 56 và trừ các nhiệm vụ về thanh tra) </w:t>
      </w:r>
      <w:r>
        <w:rPr>
          <w:lang w:val="fr-FR" w:eastAsia="vi-VN"/>
        </w:rPr>
        <w:t xml:space="preserve">Nghị định số 137/2026/NĐ-CP ngày 07/4/2026 </w:t>
      </w:r>
      <w:r>
        <w:rPr>
          <w:shd w:val="clear" w:color="auto" w:fill="FFFFFF"/>
          <w:lang w:val="fr-FR"/>
        </w:rPr>
        <w:t>về quản lý hoạt động kinh doanh theo phương thức đa cấp</w:t>
      </w:r>
      <w:r>
        <w:rPr>
          <w:lang w:val="fr-FR" w:eastAsia="vi-VN"/>
        </w:rPr>
        <w:t>, bao gồm các nội dung sau:</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spacing w:val="4"/>
          <w:lang w:val="fr-FR" w:eastAsia="vi-VN"/>
        </w:rPr>
        <w:t>1. Cấp, sửa đổi, bổ sung, thu hồi xác nhận đăng ký hoạt động bán hàng đa</w:t>
      </w:r>
      <w:r>
        <w:rPr>
          <w:lang w:val="fr-FR" w:eastAsia="vi-VN"/>
        </w:rPr>
        <w:t xml:space="preserve"> cấp tại địa phương, xác nhận tiếp nhận thông báo chấm dứt hoạt động bán hàng </w:t>
      </w:r>
      <w:r>
        <w:rPr>
          <w:lang w:val="fr-FR" w:eastAsia="vi-VN"/>
        </w:rPr>
        <w:lastRenderedPageBreak/>
        <w:t xml:space="preserve">đa cấp tại địa phương; xác nhận tiếp nhận thông báo chấm dứt hoạt động bán hàng đa cấp; công nhận chương trình đào tạo kiến thức pháp luật về bán hàng đa cấp; </w:t>
      </w:r>
      <w:r>
        <w:rPr>
          <w:spacing w:val="-4"/>
          <w:lang w:val="fr-FR" w:eastAsia="vi-VN"/>
        </w:rPr>
        <w:t>tiếp nhận, giải quyết hồ sơ thông báo hội nghị, hội thảo, đào tạo; kiểm tra kiến</w:t>
      </w:r>
      <w:r>
        <w:rPr>
          <w:lang w:val="fr-FR" w:eastAsia="vi-VN"/>
        </w:rPr>
        <w:t xml:space="preserve"> thức pháp luật về bán hàng đa cấp; kiểm tra kiến thức cho đầu mối tại địa phương.</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spacing w:val="4"/>
          <w:lang w:val="fr-FR" w:eastAsia="vi-VN"/>
        </w:rPr>
        <w:t>2. Kiểm tra, giám sát hoạt động kinh doanh theo phương thức đa cấp, hoạt</w:t>
      </w:r>
      <w:r>
        <w:rPr>
          <w:lang w:val="fr-FR" w:eastAsia="vi-VN"/>
        </w:rPr>
        <w:t xml:space="preserve"> động của cơ sở đào tạo kiến thức pháp luật về bán hàng đa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eastAsia="vi-VN"/>
        </w:rPr>
        <w:t>3. Xử lý theo thẩm quyền hoặc báo cáo cấp có thẩm quyền xử lý vi phạm pháp luật về quản lý hoạt động kinh doanh theo phương thức đa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eastAsia="vi-VN"/>
        </w:rPr>
        <w:t>4. Thông báo, chuyển cơ quan có thẩm quyền xử lý các hành vi vi phạm quy định của pháp luật về quản lý hoạt động kinh doanh theo phương thức đa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eastAsia="vi-VN"/>
        </w:rPr>
        <w:t xml:space="preserve">5. Tổ chức đào tạo, tập huấn chuyên môn cho cán bộ, công chức trực tiếp thực hiện công tác quản lý nhà nước về bán hàng đa cấp; phổ biến, tuyên truyền </w:t>
      </w:r>
      <w:r>
        <w:rPr>
          <w:spacing w:val="-6"/>
          <w:lang w:val="fr-FR" w:eastAsia="vi-VN"/>
        </w:rPr>
        <w:t>pháp luật về quản lý hoạt động bán hàng đa cấp cho các doanh nghiệp, người tham</w:t>
      </w:r>
      <w:r>
        <w:rPr>
          <w:lang w:val="fr-FR" w:eastAsia="vi-VN"/>
        </w:rPr>
        <w:t xml:space="preserve"> gia bán hàng đa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eastAsia="vi-VN"/>
        </w:rPr>
        <w:t xml:space="preserve">6. Báo cáo định kỳ hằng năm trước ngày 15 tháng 02 của năm tiếp theo theo Mẫu số 23 tại Phụ lục I ban hành kèm theo </w:t>
      </w:r>
      <w:r>
        <w:rPr>
          <w:lang w:val="nl-NL"/>
        </w:rPr>
        <w:t xml:space="preserve">Nghị định số 137/2026/NĐ-CP </w:t>
      </w:r>
      <w:r>
        <w:rPr>
          <w:spacing w:val="4"/>
          <w:lang w:val="nl-NL"/>
        </w:rPr>
        <w:t xml:space="preserve">ngày </w:t>
      </w:r>
      <w:r>
        <w:rPr>
          <w:lang w:val="nl-NL"/>
        </w:rPr>
        <w:t xml:space="preserve">07/4/2026 </w:t>
      </w:r>
      <w:r>
        <w:rPr>
          <w:lang w:val="fr-FR" w:eastAsia="vi-VN"/>
        </w:rPr>
        <w:t>hoặc báo cáo đột xuất theo yêu cầu của Bộ Công Thương về công tác quản lý hoạt động bán hàng đa cấp trên địa bàn.</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eastAsia="vi-VN"/>
        </w:rPr>
      </w:pPr>
      <w:r>
        <w:rPr>
          <w:lang w:val="fr-FR" w:eastAsia="vi-VN"/>
        </w:rPr>
        <w:t xml:space="preserve">7. </w:t>
      </w:r>
      <w:r>
        <w:rPr>
          <w:rFonts w:eastAsia="TimesNewRomanPSMT"/>
          <w:lang w:val="it-IT"/>
        </w:rPr>
        <w:t xml:space="preserve">Thực hiện các trách nhiệm khác </w:t>
      </w:r>
      <w:r>
        <w:rPr>
          <w:rFonts w:eastAsia="TimesNewRomanPSMT"/>
          <w:lang w:val="vi-VN"/>
        </w:rPr>
        <w:t xml:space="preserve">của Ủy ban nhân dân tỉnh </w:t>
      </w:r>
      <w:r>
        <w:rPr>
          <w:rFonts w:eastAsia="TimesNewRomanPSMT"/>
          <w:lang w:val="it-IT"/>
        </w:rPr>
        <w:t>theo quy định của Nghị định số</w:t>
      </w:r>
      <w:r>
        <w:rPr>
          <w:rFonts w:eastAsia="TimesNewRomanPSMT"/>
          <w:lang w:val="vi-VN"/>
        </w:rPr>
        <w:t xml:space="preserve"> </w:t>
      </w:r>
      <w:r>
        <w:rPr>
          <w:rFonts w:eastAsia="TimesNewRomanPSMT"/>
          <w:lang w:val="it-IT"/>
        </w:rPr>
        <w:t xml:space="preserve">137/2026/NĐ-CP </w:t>
      </w:r>
      <w:r>
        <w:rPr>
          <w:rFonts w:eastAsia="TimesNewRomanPSMT"/>
          <w:lang w:val="vi-VN"/>
        </w:rPr>
        <w:t>về quản lý hoạt động kinh doanh theo phương thức đa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r>
        <w:rPr>
          <w:b/>
          <w:lang w:val="fr-FR"/>
        </w:rPr>
        <w:t>Điều 3. Trách nhiệm thi hành</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bookmarkStart w:id="19" w:name="_Hlk230275942"/>
      <w:r>
        <w:rPr>
          <w:bCs/>
          <w:lang w:val="fr-FR"/>
        </w:rPr>
        <w:t>1. Sở Công Thương</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r>
        <w:rPr>
          <w:bCs/>
          <w:spacing w:val="4"/>
          <w:lang w:val="fr-FR"/>
        </w:rPr>
        <w:t xml:space="preserve">a) </w:t>
      </w:r>
      <w:r>
        <w:rPr>
          <w:spacing w:val="4"/>
          <w:lang w:val="fr-FR"/>
        </w:rPr>
        <w:t xml:space="preserve">Chịu trách nhiệm trước pháp luật và trước Ủy ban nhân dân tỉnh về kết </w:t>
      </w:r>
      <w:r>
        <w:rPr>
          <w:lang w:val="fr-FR"/>
        </w:rPr>
        <w:t>quả thực hiện nhiệm vụ, quyền hạn được phân cấp.</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rPr>
      </w:pPr>
      <w:r>
        <w:rPr>
          <w:lang w:val="fr-FR"/>
        </w:rPr>
        <w:t>b) Định kỳ hằng năm (hoặc đột xuất) báo cáo việc thực hiện nhiệm vụ, quyền hạn được phân cấp về Ủy ban nhân dân tỉnh theo quy định.</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r>
        <w:rPr>
          <w:bCs/>
          <w:iCs/>
          <w:lang w:val="fr-FR"/>
        </w:rPr>
        <w:t xml:space="preserve">2. Các cơ quan, đơn vị, tổ chức, cá nhân có liên quan phối hợp chặt chẽ với </w:t>
      </w:r>
      <w:r>
        <w:rPr>
          <w:bCs/>
          <w:iCs/>
          <w:spacing w:val="-4"/>
          <w:lang w:val="fr-FR"/>
        </w:rPr>
        <w:t>Sở Công Thương trong quá trình thực hiện nhiệm vụ được phân cấp theo chức</w:t>
      </w:r>
      <w:r>
        <w:rPr>
          <w:bCs/>
          <w:iCs/>
          <w:lang w:val="fr-FR"/>
        </w:rPr>
        <w:t xml:space="preserve"> năng, </w:t>
      </w:r>
      <w:r>
        <w:rPr>
          <w:bCs/>
          <w:iCs/>
          <w:spacing w:val="4"/>
          <w:lang w:val="fr-FR"/>
        </w:rPr>
        <w:t>nhiệm vụ, thẩm quyền được giao.</w:t>
      </w:r>
      <w:bookmarkStart w:id="20" w:name="OLE_LINK23"/>
      <w:bookmarkStart w:id="21" w:name="OLE_LINK24"/>
      <w:bookmarkEnd w:id="14"/>
      <w:r>
        <w:rPr>
          <w:bCs/>
          <w:iCs/>
          <w:spacing w:val="4"/>
          <w:lang w:val="fr-FR"/>
        </w:rPr>
        <w:t xml:space="preserve"> Quá trình thực hiện Quyết định này, nếu có </w:t>
      </w:r>
      <w:r>
        <w:rPr>
          <w:bCs/>
          <w:iCs/>
          <w:spacing w:val="-12"/>
          <w:lang w:val="fr-FR"/>
        </w:rPr>
        <w:t>khó khăn, vướng mắc kịp thời phản ánh về Ủy ban nhân dân tỉnh (qua Sở Công</w:t>
      </w:r>
      <w:r>
        <w:rPr>
          <w:bCs/>
          <w:iCs/>
          <w:lang w:val="fr-FR"/>
        </w:rPr>
        <w:t xml:space="preserve"> Thương) để xem xét, giải quyết theo quy định.</w:t>
      </w:r>
    </w:p>
    <w:bookmarkEnd w:id="19"/>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b/>
          <w:spacing w:val="-4"/>
          <w:lang w:val="fr-FR"/>
        </w:rPr>
      </w:pPr>
      <w:r>
        <w:rPr>
          <w:b/>
          <w:lang w:val="fr-FR"/>
        </w:rPr>
        <w:t>Điều 4. Tổ chức thực hiện</w:t>
      </w:r>
      <w:bookmarkEnd w:id="20"/>
      <w:bookmarkEnd w:id="21"/>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40" w:after="140"/>
        <w:ind w:firstLine="709"/>
        <w:jc w:val="both"/>
        <w:rPr>
          <w:lang w:val="fr-FR"/>
        </w:rPr>
      </w:pPr>
      <w:r>
        <w:rPr>
          <w:lang w:val="fr-FR"/>
        </w:rPr>
        <w:t>1. Quyết định này có hiệu lực thi hành kể từ ngày 12 tháng 7 năm 2026.</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60" w:after="160"/>
        <w:ind w:firstLine="709"/>
        <w:jc w:val="both"/>
        <w:rPr>
          <w:bCs/>
          <w:spacing w:val="-4"/>
          <w:lang w:val="fr-FR"/>
        </w:rPr>
      </w:pPr>
      <w:r>
        <w:rPr>
          <w:bCs/>
          <w:spacing w:val="-4"/>
          <w:lang w:val="fr-FR"/>
        </w:rPr>
        <w:t xml:space="preserve">2. Kể từ ngày Quyết định này có hiệu lực, các nội dung được ủy quyền tại số </w:t>
      </w:r>
      <w:r>
        <w:rPr>
          <w:bCs/>
          <w:spacing w:val="12"/>
          <w:lang w:val="fr-FR"/>
        </w:rPr>
        <w:t>thứ tự 40, 41, 42, 43, 44 Phụ lục 02 ban hành kèm theo Quyết định số 1229/QĐ-</w:t>
      </w:r>
      <w:r>
        <w:rPr>
          <w:bCs/>
          <w:spacing w:val="-4"/>
          <w:lang w:val="fr-FR"/>
        </w:rPr>
        <w:t xml:space="preserve">UBND ngày 10/4/2026 của Ủy ban nhân dân tỉnh sẽ hết hiệu lực. </w:t>
      </w:r>
    </w:p>
    <w:p>
      <w:pPr>
        <w:widowControl w:val="0"/>
        <w:pBdr>
          <w:top w:val="dotted" w:sz="4" w:space="0" w:color="FFFFFF"/>
          <w:left w:val="dotted" w:sz="4" w:space="0" w:color="FFFFFF"/>
          <w:bottom w:val="dotted" w:sz="4" w:space="11" w:color="FFFFFF"/>
          <w:right w:val="dotted" w:sz="4" w:space="0" w:color="FFFFFF"/>
          <w:between w:val="none" w:sz="4" w:space="0" w:color="000000"/>
        </w:pBdr>
        <w:spacing w:before="160" w:after="160"/>
        <w:ind w:firstLine="709"/>
        <w:jc w:val="both"/>
        <w:rPr>
          <w:bCs/>
          <w:spacing w:val="-4"/>
          <w:lang w:val="fr-FR"/>
        </w:rPr>
      </w:pPr>
      <w:r>
        <w:rPr>
          <w:bCs/>
          <w:iCs/>
          <w:spacing w:val="6"/>
          <w:lang w:val="fr-FR"/>
        </w:rPr>
        <w:lastRenderedPageBreak/>
        <w:t xml:space="preserve">3. </w:t>
      </w:r>
      <w:r>
        <w:rPr>
          <w:bCs/>
          <w:spacing w:val="6"/>
        </w:rPr>
        <w:t>Các ông (bà)</w:t>
      </w:r>
      <w:r>
        <w:rPr>
          <w:b/>
          <w:bCs/>
          <w:spacing w:val="6"/>
        </w:rPr>
        <w:t xml:space="preserve"> </w:t>
      </w:r>
      <w:r>
        <w:rPr>
          <w:spacing w:val="6"/>
        </w:rPr>
        <w:t>Chánh Văn phòng Ủy ban nhân dân tỉnh, Giám đốc Sở Công</w:t>
      </w:r>
      <w:r>
        <w:rPr>
          <w:spacing w:val="-12"/>
        </w:rPr>
        <w:t xml:space="preserve"> Thương</w:t>
      </w:r>
      <w:r>
        <w:rPr>
          <w:spacing w:val="-2"/>
        </w:rPr>
        <w:t>, Thủ trưởng các sở, ban, ngành, Chủ tịch Ủy ban nhân dân các xã, phường, đặc khu và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tc>
          <w:tcPr>
            <w:tcW w:w="4678" w:type="dxa"/>
          </w:tcPr>
          <w:p>
            <w:pPr>
              <w:widowControl w:val="0"/>
              <w:jc w:val="both"/>
              <w:rPr>
                <w:b/>
                <w:i/>
                <w:iCs/>
                <w:sz w:val="24"/>
                <w:szCs w:val="24"/>
                <w:lang w:val="fr-FR"/>
              </w:rPr>
            </w:pPr>
            <w:r>
              <w:rPr>
                <w:b/>
                <w:i/>
                <w:iCs/>
                <w:sz w:val="24"/>
                <w:szCs w:val="24"/>
                <w:lang w:val="fr-FR"/>
              </w:rPr>
              <w:t>Nơi nhận:</w:t>
            </w:r>
          </w:p>
          <w:p>
            <w:pPr>
              <w:widowControl w:val="0"/>
              <w:jc w:val="both"/>
              <w:rPr>
                <w:bCs/>
                <w:sz w:val="22"/>
                <w:szCs w:val="22"/>
                <w:lang w:val="fr-FR"/>
              </w:rPr>
            </w:pPr>
            <w:r>
              <w:rPr>
                <w:bCs/>
                <w:sz w:val="22"/>
                <w:szCs w:val="22"/>
                <w:lang w:val="fr-FR"/>
              </w:rPr>
              <w:t>- Như Điều 3;</w:t>
            </w:r>
          </w:p>
          <w:p>
            <w:pPr>
              <w:widowControl w:val="0"/>
              <w:jc w:val="both"/>
              <w:rPr>
                <w:bCs/>
                <w:sz w:val="22"/>
                <w:szCs w:val="22"/>
                <w:lang w:val="fr-FR"/>
              </w:rPr>
            </w:pPr>
            <w:r>
              <w:rPr>
                <w:bCs/>
                <w:sz w:val="22"/>
                <w:szCs w:val="22"/>
                <w:lang w:val="fr-FR"/>
              </w:rPr>
              <w:t>- Bộ Công Thương (b/c);</w:t>
            </w:r>
          </w:p>
          <w:p>
            <w:pPr>
              <w:widowControl w:val="0"/>
              <w:jc w:val="both"/>
              <w:rPr>
                <w:bCs/>
                <w:sz w:val="22"/>
                <w:szCs w:val="22"/>
                <w:lang w:val="fr-FR"/>
              </w:rPr>
            </w:pPr>
            <w:r>
              <w:rPr>
                <w:bCs/>
                <w:sz w:val="22"/>
                <w:szCs w:val="22"/>
                <w:lang w:val="fr-FR"/>
              </w:rPr>
              <w:t>- Cục Kiểm tra VBQPPL, Bộ Tư pháp (b/c);</w:t>
            </w:r>
          </w:p>
          <w:p>
            <w:pPr>
              <w:widowControl w:val="0"/>
              <w:jc w:val="both"/>
              <w:rPr>
                <w:bCs/>
                <w:sz w:val="22"/>
                <w:szCs w:val="22"/>
                <w:lang w:val="fr-FR"/>
              </w:rPr>
            </w:pPr>
            <w:r>
              <w:rPr>
                <w:bCs/>
                <w:sz w:val="22"/>
                <w:szCs w:val="22"/>
                <w:lang w:val="fr-FR"/>
              </w:rPr>
              <w:t>- TT Tỉnh uỷ, TT HĐND tỉnh (b/c);</w:t>
            </w:r>
          </w:p>
          <w:p>
            <w:pPr>
              <w:widowControl w:val="0"/>
              <w:jc w:val="both"/>
              <w:rPr>
                <w:bCs/>
                <w:sz w:val="22"/>
                <w:szCs w:val="22"/>
                <w:lang w:val="fr-FR"/>
              </w:rPr>
            </w:pPr>
            <w:r>
              <w:rPr>
                <w:bCs/>
                <w:sz w:val="22"/>
                <w:szCs w:val="22"/>
                <w:lang w:val="fr-FR"/>
              </w:rPr>
              <w:t>- Chủ tịch, các PCT UBND tỉnh (b/c);</w:t>
            </w:r>
          </w:p>
          <w:p>
            <w:pPr>
              <w:widowControl w:val="0"/>
              <w:jc w:val="both"/>
              <w:rPr>
                <w:bCs/>
                <w:sz w:val="22"/>
                <w:szCs w:val="22"/>
                <w:lang w:val="fr-FR"/>
              </w:rPr>
            </w:pPr>
            <w:r>
              <w:rPr>
                <w:bCs/>
                <w:sz w:val="22"/>
                <w:szCs w:val="22"/>
                <w:lang w:val="fr-FR"/>
              </w:rPr>
              <w:t>- Các sở, ban, ngành thuộc tỉnh;</w:t>
            </w:r>
          </w:p>
          <w:p>
            <w:pPr>
              <w:widowControl w:val="0"/>
              <w:jc w:val="both"/>
              <w:rPr>
                <w:bCs/>
                <w:sz w:val="22"/>
                <w:szCs w:val="22"/>
                <w:lang w:val="fr-FR"/>
              </w:rPr>
            </w:pPr>
            <w:r>
              <w:rPr>
                <w:bCs/>
                <w:sz w:val="22"/>
                <w:szCs w:val="22"/>
                <w:lang w:val="fr-FR"/>
              </w:rPr>
              <w:t>- UBND các xã, phường, đặc khu;</w:t>
            </w:r>
          </w:p>
          <w:p>
            <w:pPr>
              <w:rPr>
                <w:sz w:val="22"/>
                <w:szCs w:val="22"/>
                <w:lang w:val="nl-NL"/>
              </w:rPr>
            </w:pPr>
            <w:r>
              <w:rPr>
                <w:sz w:val="22"/>
                <w:szCs w:val="22"/>
                <w:lang w:val="nl-NL"/>
              </w:rPr>
              <w:t>- V0, V1-4, TM3;</w:t>
            </w:r>
          </w:p>
          <w:p>
            <w:pPr>
              <w:widowControl w:val="0"/>
              <w:jc w:val="both"/>
              <w:rPr>
                <w:sz w:val="22"/>
                <w:szCs w:val="22"/>
                <w:lang w:val="nl-NL"/>
              </w:rPr>
            </w:pPr>
            <w:r>
              <w:rPr>
                <w:sz w:val="22"/>
                <w:szCs w:val="22"/>
                <w:lang w:val="nl-NL"/>
              </w:rPr>
              <w:t>- Lưu: VT, TM5.</w:t>
            </w:r>
          </w:p>
          <w:p>
            <w:pPr>
              <w:widowControl w:val="0"/>
              <w:jc w:val="both"/>
              <w:rPr>
                <w:bCs/>
                <w:sz w:val="18"/>
                <w:szCs w:val="18"/>
                <w:lang w:val="fr-FR"/>
              </w:rPr>
            </w:pPr>
            <w:r>
              <w:rPr>
                <w:sz w:val="22"/>
                <w:szCs w:val="22"/>
                <w:lang w:val="nl-NL"/>
              </w:rPr>
              <w:t xml:space="preserve">    </w:t>
            </w:r>
            <w:r>
              <w:rPr>
                <w:sz w:val="18"/>
                <w:szCs w:val="18"/>
                <w:lang w:val="nl-NL"/>
              </w:rPr>
              <w:t xml:space="preserve"> TM11</w:t>
            </w:r>
          </w:p>
        </w:tc>
        <w:tc>
          <w:tcPr>
            <w:tcW w:w="4394" w:type="dxa"/>
          </w:tcPr>
          <w:p>
            <w:pPr>
              <w:widowControl w:val="0"/>
              <w:jc w:val="center"/>
              <w:rPr>
                <w:b/>
                <w:lang w:val="fr-FR"/>
              </w:rPr>
            </w:pPr>
            <w:r>
              <w:rPr>
                <w:b/>
                <w:lang w:val="fr-FR"/>
              </w:rPr>
              <w:t>TM. ỦY BAN NHÂN DÂN</w:t>
            </w:r>
          </w:p>
          <w:p>
            <w:pPr>
              <w:widowControl w:val="0"/>
              <w:jc w:val="center"/>
              <w:rPr>
                <w:b/>
                <w:lang w:val="fr-FR"/>
              </w:rPr>
            </w:pPr>
            <w:r>
              <w:rPr>
                <w:b/>
                <w:lang w:val="fr-FR"/>
              </w:rPr>
              <w:t>KT. CHỦ TỊCH</w:t>
            </w:r>
          </w:p>
          <w:p>
            <w:pPr>
              <w:widowControl w:val="0"/>
              <w:jc w:val="center"/>
              <w:rPr>
                <w:b/>
                <w:lang w:val="fr-FR"/>
              </w:rPr>
            </w:pPr>
            <w:r>
              <w:rPr>
                <w:b/>
                <w:lang w:val="fr-FR"/>
              </w:rPr>
              <w:t>PHÓ CHỦ TỊCH</w:t>
            </w: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r>
              <w:rPr>
                <w:b/>
                <w:lang w:val="fr-FR"/>
              </w:rPr>
              <w:t>Lê Văn Ánh</w:t>
            </w: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p>
            <w:pPr>
              <w:widowControl w:val="0"/>
              <w:jc w:val="center"/>
              <w:rPr>
                <w:b/>
                <w:lang w:val="fr-FR"/>
              </w:rPr>
            </w:pPr>
          </w:p>
        </w:tc>
      </w:tr>
    </w:tbl>
    <w:p>
      <w:pPr>
        <w:widowControl w:val="0"/>
        <w:spacing w:line="320" w:lineRule="exact"/>
        <w:jc w:val="both"/>
        <w:rPr>
          <w:bCs/>
          <w:lang w:val="fr-FR"/>
        </w:rPr>
      </w:pPr>
    </w:p>
    <w:sectPr>
      <w:headerReference w:type="default" r:id="rId7"/>
      <w:footerReference w:type="default" r:id="rId8"/>
      <w:pgSz w:w="11907" w:h="16839" w:code="9"/>
      <w:pgMar w:top="1418"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w:t>
    </w:r>
    <w:r>
      <w:rPr>
        <w:sz w:val="26"/>
        <w:szCs w:val="26"/>
      </w:rPr>
      <w:fldChar w:fldCharType="end"/>
    </w:r>
  </w:p>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visionView w:inkAnnotation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397DC-85EB-4C2D-951D-FB3A849A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unhideWhenUsed/>
    <w:qFormat/>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Footer">
    <w:name w:val="footer"/>
    <w:basedOn w:val="Normal"/>
    <w:link w:val="FooterChar"/>
    <w:uiPriority w:val="99"/>
    <w:unhideWhenUsed/>
    <w:qFormat/>
    <w:pPr>
      <w:tabs>
        <w:tab w:val="center" w:pos="4320"/>
        <w:tab w:val="right" w:pos="8640"/>
      </w:tabs>
      <w:spacing w:before="120"/>
      <w:ind w:firstLine="720"/>
      <w:jc w:val="both"/>
    </w:pPr>
    <w:rPr>
      <w:bCs/>
      <w:iCs/>
      <w:sz w:val="20"/>
    </w:rPr>
  </w:style>
  <w:style w:type="character" w:customStyle="1" w:styleId="FooterChar">
    <w:name w:val="Footer Char"/>
    <w:basedOn w:val="DefaultParagraphFont"/>
    <w:link w:val="Footer"/>
    <w:uiPriority w:val="99"/>
    <w:rPr>
      <w:rFonts w:ascii="Times New Roman" w:eastAsia="Times New Roman" w:hAnsi="Times New Roman" w:cs="Times New Roman"/>
      <w:bCs/>
      <w:iCs/>
      <w:kern w:val="0"/>
      <w:sz w:val="20"/>
      <w:szCs w:val="28"/>
      <w14:ligatures w14:val="none"/>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sz w:val="28"/>
      <w:szCs w:val="28"/>
      <w14:ligatures w14:val="none"/>
    </w:rPr>
  </w:style>
  <w:style w:type="paragraph" w:customStyle="1" w:styleId="Default">
    <w:name w:val="Default"/>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
    <w:basedOn w:val="Normal"/>
    <w:link w:val="FootnoteTextChar"/>
    <w:qFormat/>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Pr>
      <w:rFonts w:ascii="Times New Roman" w:eastAsia="Times New Roman" w:hAnsi="Times New Roman" w:cs="Times New Roman"/>
      <w:kern w:val="0"/>
      <w:sz w:val="20"/>
      <w:szCs w:val="20"/>
      <w14:ligatures w14:val="none"/>
    </w:rPr>
  </w:style>
  <w:style w:type="character" w:styleId="FootnoteReference">
    <w:name w:val="footnote reference"/>
    <w:aliases w:val="Footnote text,Footnote,ftref,BearingPoint,16 Point,Superscript 6 Point,fr,Footnote Text1,Ref,de nota al pie,Footnote + Arial,10 pt,Black,Footnote Text11,(NECG) Footnote Reference, BVI fnr,footnote ref,BVI fnr,de nota al p,SUPERS,R"/>
    <w:link w:val="FootnoteChar1"/>
    <w:qFormat/>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Pr>
      <w:vertAlign w:val="superscript"/>
    </w:rPr>
  </w:style>
  <w:style w:type="paragraph" w:styleId="NormalWeb">
    <w:name w:val="Normal (Web)"/>
    <w:aliases w:val="Char Char Char, Char Char Char"/>
    <w:basedOn w:val="Normal"/>
    <w:link w:val="NormalWebChar"/>
    <w:uiPriority w:val="99"/>
    <w:unhideWhenUsed/>
    <w:pPr>
      <w:spacing w:before="100" w:beforeAutospacing="1" w:after="100" w:afterAutospacing="1"/>
    </w:pPr>
    <w:rPr>
      <w:sz w:val="24"/>
      <w:szCs w:val="24"/>
    </w:rPr>
  </w:style>
  <w:style w:type="paragraph" w:customStyle="1" w:styleId="FootnoteChar1">
    <w:name w:val="Footnote Char1"/>
    <w:aliases w:val="Footnote Reference 2 Char,Footnote text Char1,Ref Char1,de nota al pie Char1,ftref Char,BVI fnr Char1,BearingPoint Char,16 Point Char,Superscript 6 Point Char,fr Char,Footnote Text1 Char,Footnote + Arial Char,10 pt Char"/>
    <w:basedOn w:val="Normal"/>
    <w:link w:val="FootnoteReference"/>
    <w:pPr>
      <w:spacing w:after="160" w:line="240" w:lineRule="exact"/>
      <w:ind w:firstLine="720"/>
      <w:jc w:val="both"/>
    </w:pPr>
    <w:rPr>
      <w:rFonts w:asciiTheme="minorHAnsi" w:eastAsiaTheme="minorHAnsi" w:hAnsiTheme="minorHAnsi" w:cstheme="minorBidi"/>
      <w:kern w:val="2"/>
      <w:sz w:val="24"/>
      <w:szCs w:val="24"/>
      <w:vertAlign w:val="superscript"/>
      <w14:ligatures w14:val="standardContextual"/>
    </w:rPr>
  </w:style>
  <w:style w:type="paragraph" w:styleId="BodyText">
    <w:name w:val="Body Text"/>
    <w:aliases w:val=" Char,Body Text Char Char"/>
    <w:basedOn w:val="Normal"/>
    <w:link w:val="BodyTextChar1"/>
    <w:pPr>
      <w:spacing w:before="80"/>
      <w:jc w:val="both"/>
    </w:pPr>
    <w:rPr>
      <w:rFonts w:ascii=".VnTime" w:hAnsi=".VnTime"/>
      <w:szCs w:val="20"/>
    </w:rPr>
  </w:style>
  <w:style w:type="character" w:customStyle="1" w:styleId="BodyTextChar">
    <w:name w:val="Body Text Char"/>
    <w:basedOn w:val="DefaultParagraphFont"/>
    <w:uiPriority w:val="99"/>
    <w:semiHidden/>
    <w:rPr>
      <w:rFonts w:ascii="Times New Roman" w:eastAsia="Times New Roman" w:hAnsi="Times New Roman" w:cs="Times New Roman"/>
      <w:kern w:val="0"/>
      <w:sz w:val="28"/>
      <w:szCs w:val="28"/>
      <w14:ligatures w14:val="none"/>
    </w:rPr>
  </w:style>
  <w:style w:type="character" w:customStyle="1" w:styleId="BodyTextChar1">
    <w:name w:val="Body Text Char1"/>
    <w:aliases w:val=" Char Char,Body Text Char Char Char"/>
    <w:basedOn w:val="DefaultParagraphFont"/>
    <w:link w:val="BodyText"/>
    <w:locked/>
    <w:rPr>
      <w:rFonts w:ascii=".VnTime" w:eastAsia="Times New Roman" w:hAnsi=".VnTime" w:cs="Times New Roman"/>
      <w:kern w:val="0"/>
      <w:sz w:val="28"/>
      <w:szCs w:val="20"/>
      <w14:ligatures w14:val="none"/>
    </w:rPr>
  </w:style>
  <w:style w:type="paragraph" w:customStyle="1" w:styleId="Char4">
    <w:name w:val="Char4"/>
    <w:basedOn w:val="Normal"/>
    <w:semiHidden/>
    <w:pPr>
      <w:spacing w:after="160" w:line="240" w:lineRule="exact"/>
    </w:pPr>
    <w:rPr>
      <w:rFonts w:ascii="Arial" w:hAnsi="Arial" w:cs="Arial"/>
      <w:sz w:val="22"/>
      <w:szCs w:val="2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14:ligatures w14:val="none"/>
    </w:rPr>
  </w:style>
  <w:style w:type="character" w:customStyle="1" w:styleId="NormalWebChar">
    <w:name w:val="Normal (Web) Char"/>
    <w:aliases w:val="Char Char Char Char, Char Char Char Char"/>
    <w:link w:val="NormalWeb"/>
    <w:uiPriority w:val="99"/>
    <w:locked/>
    <w:rPr>
      <w:rFonts w:ascii="Times New Roman" w:eastAsia="Times New Roman" w:hAnsi="Times New Roman" w:cs="Times New Roman"/>
      <w:kern w:val="0"/>
      <w14:ligatures w14:val="none"/>
    </w:rPr>
  </w:style>
  <w:style w:type="character" w:customStyle="1" w:styleId="Vnbnnidung">
    <w:name w:val="Văn bản nội dung_"/>
    <w:basedOn w:val="DefaultParagraphFont"/>
    <w:link w:val="Vnbnnidung0"/>
    <w:locked/>
    <w:rPr>
      <w:rFonts w:ascii="Times New Roman" w:eastAsia="Times New Roman" w:hAnsi="Times New Roman" w:cs="Times New Roman"/>
      <w:sz w:val="28"/>
      <w:szCs w:val="28"/>
    </w:rPr>
  </w:style>
  <w:style w:type="paragraph" w:customStyle="1" w:styleId="Vnbnnidung0">
    <w:name w:val="Văn bản nội dung"/>
    <w:basedOn w:val="Normal"/>
    <w:link w:val="Vnbnnidung"/>
    <w:pPr>
      <w:widowControl w:val="0"/>
      <w:spacing w:after="120"/>
      <w:ind w:firstLine="400"/>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70155">
      <w:bodyDiv w:val="1"/>
      <w:marLeft w:val="0"/>
      <w:marRight w:val="0"/>
      <w:marTop w:val="0"/>
      <w:marBottom w:val="0"/>
      <w:divBdr>
        <w:top w:val="none" w:sz="0" w:space="0" w:color="auto"/>
        <w:left w:val="none" w:sz="0" w:space="0" w:color="auto"/>
        <w:bottom w:val="none" w:sz="0" w:space="0" w:color="auto"/>
        <w:right w:val="none" w:sz="0" w:space="0" w:color="auto"/>
      </w:divBdr>
    </w:div>
    <w:div w:id="161743490">
      <w:bodyDiv w:val="1"/>
      <w:marLeft w:val="0"/>
      <w:marRight w:val="0"/>
      <w:marTop w:val="0"/>
      <w:marBottom w:val="0"/>
      <w:divBdr>
        <w:top w:val="none" w:sz="0" w:space="0" w:color="auto"/>
        <w:left w:val="none" w:sz="0" w:space="0" w:color="auto"/>
        <w:bottom w:val="none" w:sz="0" w:space="0" w:color="auto"/>
        <w:right w:val="none" w:sz="0" w:space="0" w:color="auto"/>
      </w:divBdr>
    </w:div>
    <w:div w:id="179514785">
      <w:bodyDiv w:val="1"/>
      <w:marLeft w:val="0"/>
      <w:marRight w:val="0"/>
      <w:marTop w:val="0"/>
      <w:marBottom w:val="0"/>
      <w:divBdr>
        <w:top w:val="none" w:sz="0" w:space="0" w:color="auto"/>
        <w:left w:val="none" w:sz="0" w:space="0" w:color="auto"/>
        <w:bottom w:val="none" w:sz="0" w:space="0" w:color="auto"/>
        <w:right w:val="none" w:sz="0" w:space="0" w:color="auto"/>
      </w:divBdr>
    </w:div>
    <w:div w:id="318653325">
      <w:bodyDiv w:val="1"/>
      <w:marLeft w:val="0"/>
      <w:marRight w:val="0"/>
      <w:marTop w:val="0"/>
      <w:marBottom w:val="0"/>
      <w:divBdr>
        <w:top w:val="none" w:sz="0" w:space="0" w:color="auto"/>
        <w:left w:val="none" w:sz="0" w:space="0" w:color="auto"/>
        <w:bottom w:val="none" w:sz="0" w:space="0" w:color="auto"/>
        <w:right w:val="none" w:sz="0" w:space="0" w:color="auto"/>
      </w:divBdr>
    </w:div>
    <w:div w:id="411782347">
      <w:bodyDiv w:val="1"/>
      <w:marLeft w:val="0"/>
      <w:marRight w:val="0"/>
      <w:marTop w:val="0"/>
      <w:marBottom w:val="0"/>
      <w:divBdr>
        <w:top w:val="none" w:sz="0" w:space="0" w:color="auto"/>
        <w:left w:val="none" w:sz="0" w:space="0" w:color="auto"/>
        <w:bottom w:val="none" w:sz="0" w:space="0" w:color="auto"/>
        <w:right w:val="none" w:sz="0" w:space="0" w:color="auto"/>
      </w:divBdr>
    </w:div>
    <w:div w:id="471874403">
      <w:bodyDiv w:val="1"/>
      <w:marLeft w:val="0"/>
      <w:marRight w:val="0"/>
      <w:marTop w:val="0"/>
      <w:marBottom w:val="0"/>
      <w:divBdr>
        <w:top w:val="none" w:sz="0" w:space="0" w:color="auto"/>
        <w:left w:val="none" w:sz="0" w:space="0" w:color="auto"/>
        <w:bottom w:val="none" w:sz="0" w:space="0" w:color="auto"/>
        <w:right w:val="none" w:sz="0" w:space="0" w:color="auto"/>
      </w:divBdr>
    </w:div>
    <w:div w:id="509679830">
      <w:bodyDiv w:val="1"/>
      <w:marLeft w:val="0"/>
      <w:marRight w:val="0"/>
      <w:marTop w:val="0"/>
      <w:marBottom w:val="0"/>
      <w:divBdr>
        <w:top w:val="none" w:sz="0" w:space="0" w:color="auto"/>
        <w:left w:val="none" w:sz="0" w:space="0" w:color="auto"/>
        <w:bottom w:val="none" w:sz="0" w:space="0" w:color="auto"/>
        <w:right w:val="none" w:sz="0" w:space="0" w:color="auto"/>
      </w:divBdr>
    </w:div>
    <w:div w:id="705570768">
      <w:bodyDiv w:val="1"/>
      <w:marLeft w:val="0"/>
      <w:marRight w:val="0"/>
      <w:marTop w:val="0"/>
      <w:marBottom w:val="0"/>
      <w:divBdr>
        <w:top w:val="none" w:sz="0" w:space="0" w:color="auto"/>
        <w:left w:val="none" w:sz="0" w:space="0" w:color="auto"/>
        <w:bottom w:val="none" w:sz="0" w:space="0" w:color="auto"/>
        <w:right w:val="none" w:sz="0" w:space="0" w:color="auto"/>
      </w:divBdr>
    </w:div>
    <w:div w:id="949776173">
      <w:bodyDiv w:val="1"/>
      <w:marLeft w:val="0"/>
      <w:marRight w:val="0"/>
      <w:marTop w:val="0"/>
      <w:marBottom w:val="0"/>
      <w:divBdr>
        <w:top w:val="none" w:sz="0" w:space="0" w:color="auto"/>
        <w:left w:val="none" w:sz="0" w:space="0" w:color="auto"/>
        <w:bottom w:val="none" w:sz="0" w:space="0" w:color="auto"/>
        <w:right w:val="none" w:sz="0" w:space="0" w:color="auto"/>
      </w:divBdr>
    </w:div>
    <w:div w:id="991519290">
      <w:bodyDiv w:val="1"/>
      <w:marLeft w:val="0"/>
      <w:marRight w:val="0"/>
      <w:marTop w:val="0"/>
      <w:marBottom w:val="0"/>
      <w:divBdr>
        <w:top w:val="none" w:sz="0" w:space="0" w:color="auto"/>
        <w:left w:val="none" w:sz="0" w:space="0" w:color="auto"/>
        <w:bottom w:val="none" w:sz="0" w:space="0" w:color="auto"/>
        <w:right w:val="none" w:sz="0" w:space="0" w:color="auto"/>
      </w:divBdr>
    </w:div>
    <w:div w:id="1111242111">
      <w:bodyDiv w:val="1"/>
      <w:marLeft w:val="0"/>
      <w:marRight w:val="0"/>
      <w:marTop w:val="0"/>
      <w:marBottom w:val="0"/>
      <w:divBdr>
        <w:top w:val="none" w:sz="0" w:space="0" w:color="auto"/>
        <w:left w:val="none" w:sz="0" w:space="0" w:color="auto"/>
        <w:bottom w:val="none" w:sz="0" w:space="0" w:color="auto"/>
        <w:right w:val="none" w:sz="0" w:space="0" w:color="auto"/>
      </w:divBdr>
    </w:div>
    <w:div w:id="1270234616">
      <w:bodyDiv w:val="1"/>
      <w:marLeft w:val="0"/>
      <w:marRight w:val="0"/>
      <w:marTop w:val="0"/>
      <w:marBottom w:val="0"/>
      <w:divBdr>
        <w:top w:val="none" w:sz="0" w:space="0" w:color="auto"/>
        <w:left w:val="none" w:sz="0" w:space="0" w:color="auto"/>
        <w:bottom w:val="none" w:sz="0" w:space="0" w:color="auto"/>
        <w:right w:val="none" w:sz="0" w:space="0" w:color="auto"/>
      </w:divBdr>
    </w:div>
    <w:div w:id="1312054876">
      <w:bodyDiv w:val="1"/>
      <w:marLeft w:val="0"/>
      <w:marRight w:val="0"/>
      <w:marTop w:val="0"/>
      <w:marBottom w:val="0"/>
      <w:divBdr>
        <w:top w:val="none" w:sz="0" w:space="0" w:color="auto"/>
        <w:left w:val="none" w:sz="0" w:space="0" w:color="auto"/>
        <w:bottom w:val="none" w:sz="0" w:space="0" w:color="auto"/>
        <w:right w:val="none" w:sz="0" w:space="0" w:color="auto"/>
      </w:divBdr>
    </w:div>
    <w:div w:id="1592204070">
      <w:bodyDiv w:val="1"/>
      <w:marLeft w:val="0"/>
      <w:marRight w:val="0"/>
      <w:marTop w:val="0"/>
      <w:marBottom w:val="0"/>
      <w:divBdr>
        <w:top w:val="none" w:sz="0" w:space="0" w:color="auto"/>
        <w:left w:val="none" w:sz="0" w:space="0" w:color="auto"/>
        <w:bottom w:val="none" w:sz="0" w:space="0" w:color="auto"/>
        <w:right w:val="none" w:sz="0" w:space="0" w:color="auto"/>
      </w:divBdr>
    </w:div>
    <w:div w:id="1649358353">
      <w:bodyDiv w:val="1"/>
      <w:marLeft w:val="0"/>
      <w:marRight w:val="0"/>
      <w:marTop w:val="0"/>
      <w:marBottom w:val="0"/>
      <w:divBdr>
        <w:top w:val="none" w:sz="0" w:space="0" w:color="auto"/>
        <w:left w:val="none" w:sz="0" w:space="0" w:color="auto"/>
        <w:bottom w:val="none" w:sz="0" w:space="0" w:color="auto"/>
        <w:right w:val="none" w:sz="0" w:space="0" w:color="auto"/>
      </w:divBdr>
    </w:div>
    <w:div w:id="1718776124">
      <w:bodyDiv w:val="1"/>
      <w:marLeft w:val="0"/>
      <w:marRight w:val="0"/>
      <w:marTop w:val="0"/>
      <w:marBottom w:val="0"/>
      <w:divBdr>
        <w:top w:val="none" w:sz="0" w:space="0" w:color="auto"/>
        <w:left w:val="none" w:sz="0" w:space="0" w:color="auto"/>
        <w:bottom w:val="none" w:sz="0" w:space="0" w:color="auto"/>
        <w:right w:val="none" w:sz="0" w:space="0" w:color="auto"/>
      </w:divBdr>
    </w:div>
    <w:div w:id="1783986803">
      <w:bodyDiv w:val="1"/>
      <w:marLeft w:val="0"/>
      <w:marRight w:val="0"/>
      <w:marTop w:val="0"/>
      <w:marBottom w:val="0"/>
      <w:divBdr>
        <w:top w:val="none" w:sz="0" w:space="0" w:color="auto"/>
        <w:left w:val="none" w:sz="0" w:space="0" w:color="auto"/>
        <w:bottom w:val="none" w:sz="0" w:space="0" w:color="auto"/>
        <w:right w:val="none" w:sz="0" w:space="0" w:color="auto"/>
      </w:divBdr>
    </w:div>
    <w:div w:id="182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5AD69-C425-4196-9FAB-9130BDF9F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757</Words>
  <Characters>4320</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 1SZ0YM3</dc:creator>
  <cp:lastModifiedBy>CV Tai Mau 5</cp:lastModifiedBy>
  <cp:revision>18</cp:revision>
  <cp:lastPrinted>2026-06-30T07:21:00Z</cp:lastPrinted>
  <dcterms:created xsi:type="dcterms:W3CDTF">2026-06-21T03:00:00Z</dcterms:created>
  <dcterms:modified xsi:type="dcterms:W3CDTF">2026-06-30T07:22:00Z</dcterms:modified>
</cp:coreProperties>
</file>