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21"/>
        <w:tblW w:w="10350" w:type="dxa"/>
        <w:tblInd w:w="-6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5670"/>
      </w:tblGrid>
      <w:tr>
        <w:trPr/>
        <w:tc>
          <w:tcPr>
            <w:tcBorders/>
            <w:tcW w:w="4680" w:type="dxa"/>
            <w:textDirection w:val="lrTb"/>
            <w:noWrap w:val="false"/>
          </w:tcPr>
          <w:p>
            <w:pPr>
              <w:pBdr/>
              <w:spacing/>
              <w:ind/>
              <w:jc w:val="center"/>
              <w:rPr>
                <w:b/>
                <w:sz w:val="26"/>
              </w:rPr>
            </w:pPr>
            <w:r>
              <w:rPr>
                <w:b/>
                <w:sz w:val="26"/>
              </w:rPr>
              <w:t xml:space="preserve">CHỦ TỊCH</w:t>
            </w:r>
            <w:r>
              <w:rPr>
                <w:b/>
                <w:sz w:val="26"/>
              </w:rPr>
            </w:r>
            <w:r>
              <w:rPr>
                <w:b/>
                <w:sz w:val="26"/>
              </w:rPr>
            </w:r>
          </w:p>
          <w:p>
            <w:pPr>
              <w:pBdr/>
              <w:spacing/>
              <w:ind/>
              <w:jc w:val="center"/>
              <w:rPr>
                <w:b/>
                <w:spacing w:val="-6"/>
                <w:sz w:val="26"/>
              </w:rPr>
            </w:pPr>
            <w:r>
              <w:rPr>
                <w:b/>
                <w:spacing w:val="-6"/>
                <w:sz w:val="26"/>
              </w:rPr>
              <w:t xml:space="preserve">ỦY BAN NHÂN DÂN TỈNH TÂY NINH</w:t>
            </w:r>
            <w:r>
              <w:rPr>
                <w:b/>
                <w:spacing w:val="-6"/>
                <w:sz w:val="26"/>
              </w:rPr>
            </w:r>
            <w:r>
              <w:rPr>
                <w:b/>
                <w:spacing w:val="-6"/>
                <w:sz w:val="26"/>
              </w:rPr>
            </w:r>
          </w:p>
          <w:p>
            <w:pPr>
              <w:pBdr/>
              <w:spacing/>
              <w:ind/>
              <w:jc w:val="center"/>
              <w:rPr>
                <w:b/>
                <w:spacing w:val="-6"/>
                <w:sz w:val="26"/>
              </w:rPr>
            </w:pPr>
            <w:r>
              <w:rPr>
                <w:b/>
                <w:spacing w:val="-6"/>
                <w:sz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8" behindDoc="0" locked="0" layoutInCell="1" allowOverlap="1">
                      <wp:simplePos x="0" y="0"/>
                      <wp:positionH relativeFrom="column">
                        <wp:posOffset>833755</wp:posOffset>
                      </wp:positionH>
                      <wp:positionV relativeFrom="paragraph">
                        <wp:posOffset>70485</wp:posOffset>
                      </wp:positionV>
                      <wp:extent cx="1162050" cy="0"/>
                      <wp:effectExtent l="0" t="0" r="19050" b="1905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2338;mso-wrap-distance-left:9.00pt;mso-wrap-distance-top:0.00pt;mso-wrap-distance-right:9.00pt;mso-wrap-distance-bottom:0.00pt;visibility:visible;" from="65.6pt,5.5pt" to="157.1pt,5.5pt" filled="f" strokecolor="#000000" strokeweight="0.75pt"/>
                  </w:pict>
                </mc:Fallback>
              </mc:AlternateContent>
            </w:r>
            <w:r>
              <w:rPr>
                <w:b/>
                <w:spacing w:val="-6"/>
                <w:sz w:val="26"/>
              </w:rPr>
            </w:r>
            <w:r>
              <w:rPr>
                <w:b/>
                <w:spacing w:val="-6"/>
                <w:sz w:val="26"/>
              </w:rPr>
            </w:r>
          </w:p>
        </w:tc>
        <w:tc>
          <w:tcPr>
            <w:tcBorders/>
            <w:tcW w:w="5670" w:type="dxa"/>
            <w:textDirection w:val="lrTb"/>
            <w:noWrap w:val="false"/>
          </w:tcPr>
          <w:p>
            <w:pPr>
              <w:pBdr/>
              <w:spacing/>
              <w:ind/>
              <w:jc w:val="center"/>
              <w:rPr>
                <w:b/>
                <w:sz w:val="26"/>
              </w:rPr>
            </w:pPr>
            <w:r>
              <w:rPr>
                <w:b/>
                <w:sz w:val="26"/>
              </w:rPr>
              <w:t xml:space="preserve">CỘNG HÒA XÃ HỘI CHỦ NGHĨA VIỆT NAM</w:t>
            </w:r>
            <w:r>
              <w:rPr>
                <w:b/>
                <w:sz w:val="26"/>
              </w:rPr>
            </w:r>
            <w:r>
              <w:rPr>
                <w:b/>
                <w:sz w:val="26"/>
              </w:rPr>
            </w:r>
          </w:p>
          <w:p>
            <w:pPr>
              <w:pBdr/>
              <w:spacing/>
              <w:ind/>
              <w:jc w:val="center"/>
              <w:rPr>
                <w:b/>
                <w:sz w:val="26"/>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63362" behindDoc="0" locked="0" layoutInCell="1" allowOverlap="1">
                      <wp:simplePos x="0" y="0"/>
                      <wp:positionH relativeFrom="column">
                        <wp:posOffset>662305</wp:posOffset>
                      </wp:positionH>
                      <wp:positionV relativeFrom="paragraph">
                        <wp:posOffset>260350</wp:posOffset>
                      </wp:positionV>
                      <wp:extent cx="2133600" cy="0"/>
                      <wp:effectExtent l="0" t="0" r="19050"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3362;mso-wrap-distance-left:9.00pt;mso-wrap-distance-top:0.00pt;mso-wrap-distance-right:9.00pt;mso-wrap-distance-bottom:0.00pt;visibility:visible;" from="52.1pt,20.5pt" to="220.2pt,20.5pt" filled="f" strokecolor="#000000" strokeweight="0.75pt"/>
                  </w:pict>
                </mc:Fallback>
              </mc:AlternateContent>
            </w:r>
            <w:r>
              <w:rPr>
                <w:b/>
              </w:rPr>
              <w:t xml:space="preserve">Độc lập - Tự do - Hạnh phúc</w:t>
            </w:r>
            <w:r>
              <w:rPr>
                <w:b/>
                <w:sz w:val="26"/>
              </w:rPr>
            </w:r>
            <w:r>
              <w:rPr>
                <w:b/>
                <w:sz w:val="26"/>
              </w:rPr>
            </w:r>
          </w:p>
        </w:tc>
      </w:tr>
      <w:tr>
        <w:trPr/>
        <w:tc>
          <w:tcPr>
            <w:tcBorders/>
            <w:tcW w:w="4680" w:type="dxa"/>
            <w:textDirection w:val="lrTb"/>
            <w:noWrap w:val="false"/>
          </w:tcPr>
          <w:p>
            <w:pPr>
              <w:pBdr/>
              <w:spacing/>
              <w:ind/>
              <w:jc w:val="center"/>
              <w:rPr>
                <w:sz w:val="26"/>
              </w:rPr>
            </w:pPr>
            <w:r>
              <w:t xml:space="preserve">Số:</w:t>
            </w:r>
            <w:r>
              <w:t xml:space="preserve"> 32</w:t>
            </w:r>
            <w:r>
              <w:t xml:space="preserve"> /2025/QĐ-CTUBND</w:t>
            </w:r>
            <w:r>
              <w:rPr>
                <w:sz w:val="26"/>
              </w:rPr>
            </w:r>
            <w:r>
              <w:rPr>
                <w:sz w:val="26"/>
              </w:rPr>
            </w:r>
          </w:p>
        </w:tc>
        <w:tc>
          <w:tcPr>
            <w:tcBorders/>
            <w:tcW w:w="5670" w:type="dxa"/>
            <w:textDirection w:val="lrTb"/>
            <w:noWrap w:val="false"/>
          </w:tcPr>
          <w:p>
            <w:pPr>
              <w:pBdr/>
              <w:spacing/>
              <w:ind/>
              <w:jc w:val="center"/>
              <w:rPr>
                <w:i/>
                <w:sz w:val="26"/>
              </w:rPr>
            </w:pPr>
            <w:r>
              <w:rPr>
                <w:i/>
              </w:rPr>
              <w:t xml:space="preserve">Tây Ninh, ngày   07    tháng  10  năm 2025</w:t>
            </w:r>
            <w:r>
              <w:rPr>
                <w:i/>
                <w:sz w:val="26"/>
              </w:rPr>
            </w:r>
            <w:r>
              <w:rPr>
                <w:i/>
                <w:sz w:val="26"/>
              </w:rPr>
            </w:r>
          </w:p>
        </w:tc>
      </w:tr>
    </w:tbl>
    <w:p>
      <w:pPr>
        <w:pBdr/>
        <w:spacing/>
        <w:ind/>
        <w:rPr>
          <w:b/>
          <w:sz w:val="26"/>
        </w:rPr>
      </w:pPr>
      <w:r>
        <w:rPr>
          <w:b/>
          <w:sz w:val="26"/>
        </w:rPr>
      </w:r>
      <w:r>
        <w:rPr>
          <w:b/>
          <w:sz w:val="26"/>
        </w:rPr>
      </w:r>
      <w:r>
        <w:rPr>
          <w:b/>
          <w:sz w:val="26"/>
        </w:rPr>
      </w:r>
    </w:p>
    <w:p>
      <w:pPr>
        <w:pBdr/>
        <w:spacing/>
        <w:ind/>
        <w:jc w:val="center"/>
        <w:rPr>
          <w:b/>
        </w:rPr>
      </w:pPr>
      <w:r>
        <w:rPr>
          <w:b/>
          <w:lang w:val="vi-VN"/>
        </w:rPr>
        <w:t xml:space="preserve">QUYẾT ĐỊNH</w:t>
      </w:r>
      <w:r>
        <w:rPr>
          <w:b/>
        </w:rPr>
      </w:r>
      <w:r>
        <w:rPr>
          <w:b/>
        </w:rPr>
      </w:r>
    </w:p>
    <w:p>
      <w:pPr>
        <w:pBdr/>
        <w:spacing/>
        <w:ind/>
        <w:jc w:val="center"/>
        <w:rPr>
          <w:b/>
          <w:bCs/>
          <w:color w:val="000000" w:themeColor="text1"/>
        </w:rPr>
      </w:pPr>
      <w:r>
        <w:rPr>
          <w:b/>
          <w:bCs/>
          <w:color w:val="000000" w:themeColor="text1"/>
        </w:rPr>
        <w:t xml:space="preserve">Quy định phân cấp về tuyển dụng, sử dụng và</w:t>
      </w:r>
      <w:r>
        <w:rPr>
          <w:b/>
          <w:bCs/>
          <w:color w:val="000000" w:themeColor="text1"/>
          <w:lang w:val="vi-VN"/>
        </w:rPr>
        <w:t xml:space="preserve"> quản lý </w:t>
      </w:r>
      <w:r>
        <w:rPr>
          <w:b/>
          <w:bCs/>
          <w:color w:val="000000" w:themeColor="text1"/>
        </w:rPr>
        <w:t xml:space="preserve">viên chức </w:t>
      </w:r>
      <w:r>
        <w:rPr>
          <w:b/>
          <w:bCs/>
          <w:color w:val="000000" w:themeColor="text1"/>
        </w:rPr>
      </w:r>
      <w:r>
        <w:rPr>
          <w:b/>
          <w:bCs/>
          <w:color w:val="000000" w:themeColor="text1"/>
        </w:rPr>
      </w:r>
    </w:p>
    <w:p>
      <w:pPr>
        <w:pBdr/>
        <w:spacing/>
        <w:ind/>
        <w:jc w:val="center"/>
        <w:rPr>
          <w:b/>
          <w:bCs/>
          <w:color w:val="000000" w:themeColor="text1"/>
        </w:rPr>
      </w:pPr>
      <w:r>
        <w:rPr>
          <w:b/>
          <w:bCs/>
          <w:color w:val="000000" w:themeColor="text1"/>
          <w:lang w:val="vi-VN"/>
        </w:rPr>
        <w:t xml:space="preserve">trong các đơn vị sự nghiệp công lập trên địa bàn tỉnh </w:t>
      </w:r>
      <w:r>
        <w:rPr>
          <w:b/>
          <w:bCs/>
          <w:color w:val="000000" w:themeColor="text1"/>
        </w:rPr>
        <w:t xml:space="preserve">Tây Ninh</w:t>
      </w:r>
      <w:r>
        <w:rPr>
          <w:b/>
          <w:bCs/>
          <w:color w:val="000000" w:themeColor="text1"/>
        </w:rPr>
      </w:r>
      <w:r>
        <w:rPr>
          <w:b/>
          <w:bCs/>
          <w:color w:val="000000" w:themeColor="text1"/>
        </w:rPr>
      </w:r>
    </w:p>
    <w:p>
      <w:pPr>
        <w:pBdr/>
        <w:spacing/>
        <w:ind/>
        <w:jc w:val="center"/>
        <w:rPr>
          <w:b/>
          <w:bCs/>
          <w:color w:val="000000" w:themeColor="text1"/>
        </w:rPr>
      </w:pPr>
      <w:r>
        <w:rPr>
          <w:b/>
          <w:bCs/>
          <w:color w:val="000000" w:themeColor="text1"/>
        </w:rPr>
      </w:r>
      <w:r>
        <w:rPr>
          <w:b/>
          <w:bCs/>
          <w:color w:val="000000" w:themeColor="text1"/>
        </w:rPr>
      </w:r>
      <w:r>
        <w:rPr>
          <w:b/>
          <w:bCs/>
          <w:color w:val="000000" w:themeColor="text1"/>
        </w:rPr>
      </w:r>
    </w:p>
    <w:p>
      <w:pPr>
        <w:pStyle w:val="874"/>
        <w:pBdr/>
        <w:spacing w:after="120" w:before="120" w:line="252" w:lineRule="auto"/>
        <w:ind w:firstLine="720"/>
        <w:jc w:val="both"/>
        <w:rPr>
          <w:rFonts w:ascii="Times New Roman" w:hAnsi="Times New Roman" w:cs="Times New Roman"/>
          <w:i/>
          <w:color w:val="000000" w:themeColor="text1"/>
          <w:sz w:val="28"/>
        </w:rPr>
      </w:pPr>
      <w:r>
        <w:rPr>
          <w:rFonts w:ascii="Times New Roman" w:hAnsi="Times New Roman" w:cs="Times New Roman"/>
          <w:i/>
          <w:color w:val="000000" w:themeColor="text1"/>
          <w:sz w:val="28"/>
          <w:lang w:val="vi-VN"/>
        </w:rPr>
        <w:t xml:space="preserve">Căn cứ Luật Tổ chức chính quyền địa phương </w:t>
      </w:r>
      <w:r>
        <w:rPr>
          <w:rFonts w:ascii="Times New Roman" w:hAnsi="Times New Roman" w:cs="Times New Roman"/>
          <w:i/>
          <w:color w:val="000000" w:themeColor="text1"/>
          <w:sz w:val="28"/>
        </w:rPr>
        <w:t xml:space="preserve">số 72/2025/QH15</w:t>
      </w:r>
      <w:r>
        <w:rPr>
          <w:rFonts w:ascii="Times New Roman" w:hAnsi="Times New Roman" w:cs="Times New Roman"/>
          <w:i/>
          <w:color w:val="000000" w:themeColor="text1"/>
          <w:sz w:val="28"/>
          <w:lang w:val="vi-VN"/>
        </w:rPr>
        <w:t xml:space="preserve">;</w:t>
      </w:r>
      <w:r>
        <w:rPr>
          <w:rFonts w:ascii="Times New Roman" w:hAnsi="Times New Roman" w:cs="Times New Roman"/>
          <w:i/>
          <w:color w:val="000000" w:themeColor="text1"/>
          <w:sz w:val="28"/>
          <w:lang w:val="vi-VN"/>
        </w:rPr>
        <w:tab/>
      </w:r>
      <w:r>
        <w:rPr>
          <w:rFonts w:ascii="Times New Roman" w:hAnsi="Times New Roman" w:cs="Times New Roman"/>
          <w:i/>
          <w:color w:val="000000" w:themeColor="text1"/>
          <w:sz w:val="28"/>
        </w:rPr>
      </w:r>
      <w:r>
        <w:rPr>
          <w:rFonts w:ascii="Times New Roman" w:hAnsi="Times New Roman" w:cs="Times New Roman"/>
          <w:i/>
          <w:color w:val="000000" w:themeColor="text1"/>
          <w:sz w:val="28"/>
        </w:rPr>
      </w:r>
    </w:p>
    <w:p>
      <w:pPr>
        <w:pBdr/>
        <w:spacing w:after="120" w:before="120" w:line="252" w:lineRule="auto"/>
        <w:ind w:firstLine="720"/>
        <w:jc w:val="both"/>
        <w:rPr>
          <w:i/>
          <w:color w:val="000000" w:themeColor="text1"/>
        </w:rPr>
      </w:pPr>
      <w:r>
        <w:rPr>
          <w:i/>
          <w:color w:val="000000" w:themeColor="text1"/>
        </w:rPr>
        <w:t xml:space="preserve">Căn cứ Luật Viên chức số 58/2010/QH12</w:t>
      </w:r>
      <w:r>
        <w:rPr>
          <w:i/>
          <w:color w:val="000000" w:themeColor="text1"/>
          <w:lang w:val="vi-VN"/>
        </w:rPr>
        <w:t xml:space="preserve">;</w:t>
      </w:r>
      <w:r>
        <w:rPr>
          <w:i/>
          <w:color w:val="000000" w:themeColor="text1"/>
        </w:rPr>
      </w:r>
      <w:r>
        <w:rPr>
          <w:i/>
          <w:color w:val="000000" w:themeColor="text1"/>
        </w:rPr>
      </w:r>
    </w:p>
    <w:p>
      <w:pPr>
        <w:pStyle w:val="876"/>
        <w:pBdr/>
        <w:shd w:val="clear" w:color="auto" w:fill="ffffff"/>
        <w:spacing w:after="120" w:before="120" w:line="252" w:lineRule="auto"/>
        <w:ind w:firstLine="720"/>
        <w:jc w:val="both"/>
        <w:rPr>
          <w:i/>
          <w:color w:val="000000" w:themeColor="text1"/>
        </w:rPr>
      </w:pPr>
      <w:r>
        <w:rPr>
          <w:rFonts w:ascii="Times New Roman" w:hAnsi="Times New Roman" w:cs="Times New Roman"/>
          <w:b w:val="0"/>
          <w:i/>
          <w:color w:val="000000" w:themeColor="text1"/>
          <w:sz w:val="28"/>
          <w:szCs w:val="28"/>
        </w:rPr>
        <w:t xml:space="preserve">Căn cứ Luật sửa đổi, bổ sung một số điều của Luật Cán bộ, công chức, Luật Viên chức số 52/2019/QH14;</w:t>
      </w:r>
      <w:r>
        <w:rPr>
          <w:i/>
          <w:color w:val="000000" w:themeColor="text1"/>
        </w:rPr>
      </w:r>
      <w:r>
        <w:rPr>
          <w:i/>
          <w:color w:val="000000" w:themeColor="text1"/>
        </w:rPr>
      </w:r>
    </w:p>
    <w:p>
      <w:pPr>
        <w:pBdr>
          <w:top w:val="none" w:color="000000" w:sz="0" w:space="0"/>
          <w:left w:val="none" w:color="000000" w:sz="0" w:space="0"/>
          <w:bottom w:val="none" w:color="000000" w:sz="0" w:space="0"/>
          <w:right w:val="none" w:color="000000" w:sz="0" w:space="0"/>
          <w:between w:val="none" w:color="000000" w:sz="0" w:space="0"/>
        </w:pBdr>
        <w:tabs>
          <w:tab w:val="left" w:leader="none" w:pos="8876"/>
        </w:tabs>
        <w:spacing w:after="120" w:before="120" w:line="252" w:lineRule="auto"/>
        <w:ind w:right="-57" w:firstLine="720"/>
        <w:jc w:val="both"/>
        <w:rPr>
          <w:i/>
          <w:color w:val="000000" w:themeColor="text1"/>
        </w:rPr>
      </w:pPr>
      <w:r>
        <w:rPr>
          <w:i/>
          <w:color w:val="000000" w:themeColor="text1"/>
        </w:rPr>
        <w:t xml:space="preserve">Căn cứ Nghị định số 101/2017/NĐ-CP ngày 01 tháng 9 năm 2017 của Chính phủ về đào tạo, bồi dưỡng cán bộ, công chức, viên chức;</w:t>
      </w:r>
      <w:r>
        <w:rPr>
          <w:i/>
          <w:color w:val="000000" w:themeColor="text1"/>
        </w:rPr>
      </w:r>
      <w:r>
        <w:rPr>
          <w:i/>
          <w:color w:val="000000" w:themeColor="text1"/>
        </w:rPr>
      </w:r>
    </w:p>
    <w:p>
      <w:pPr>
        <w:pBdr/>
        <w:shd w:val="clear" w:color="auto" w:fill="ffffff"/>
        <w:spacing w:after="120" w:before="120" w:line="252" w:lineRule="auto"/>
        <w:ind w:firstLine="720"/>
        <w:jc w:val="both"/>
        <w:rPr>
          <w:color w:val="000000" w:themeColor="text1"/>
        </w:rPr>
      </w:pPr>
      <w:r>
        <w:rPr>
          <w:i/>
          <w:iCs/>
          <w:color w:val="000000" w:themeColor="text1"/>
        </w:rPr>
        <w:t xml:space="preserve">Căn cứ Nghị định số </w:t>
      </w:r>
      <w:hyperlink r:id="rId13" w:tooltip="Nghị định 112/2020/NĐ-CP" w:history="1">
        <w:r>
          <w:rPr>
            <w:i/>
            <w:iCs/>
            <w:color w:val="000000" w:themeColor="text1"/>
          </w:rPr>
          <w:t xml:space="preserve">112/2020/NĐ-CP</w:t>
        </w:r>
      </w:hyperlink>
      <w:r>
        <w:rPr>
          <w:i/>
          <w:iCs/>
          <w:color w:val="000000" w:themeColor="text1"/>
        </w:rPr>
        <w:t xml:space="preserve"> ngày 18 tháng 9 năm 2020 của Chính phủ về xử lý kỷ luật cán bộ, công chức, viên chức;</w:t>
      </w:r>
      <w:r>
        <w:rPr>
          <w:color w:val="000000" w:themeColor="text1"/>
        </w:rPr>
      </w:r>
      <w:r>
        <w:rPr>
          <w:color w:val="000000" w:themeColor="text1"/>
        </w:rPr>
      </w:r>
    </w:p>
    <w:p>
      <w:pPr>
        <w:pBdr/>
        <w:spacing w:after="120" w:before="120" w:line="252" w:lineRule="auto"/>
        <w:ind w:firstLine="720"/>
        <w:jc w:val="both"/>
        <w:rPr>
          <w:i/>
          <w:color w:val="000000" w:themeColor="text1"/>
        </w:rPr>
      </w:pPr>
      <w:r>
        <w:rPr>
          <w:i/>
          <w:color w:val="000000" w:themeColor="text1"/>
        </w:rPr>
        <w:t xml:space="preserve">Căn cứ Nghị định số 115/2020/NĐ-CP ngày 25 tháng 9 năm 2020 của Chính phủ quy định về tuyển dụng, sử dụng và quản lý viên chức; </w:t>
      </w:r>
      <w:r>
        <w:rPr>
          <w:i/>
          <w:color w:val="000000" w:themeColor="text1"/>
        </w:rPr>
      </w:r>
      <w:r>
        <w:rPr>
          <w:i/>
          <w:color w:val="000000" w:themeColor="text1"/>
        </w:rPr>
      </w:r>
    </w:p>
    <w:p>
      <w:pPr>
        <w:pBdr>
          <w:top w:val="none" w:color="000000" w:sz="0" w:space="0"/>
          <w:left w:val="none" w:color="000000" w:sz="0" w:space="0"/>
          <w:bottom w:val="none" w:color="000000" w:sz="0" w:space="0"/>
          <w:right w:val="none" w:color="000000" w:sz="0" w:space="0"/>
          <w:between w:val="none" w:color="000000" w:sz="0" w:space="0"/>
        </w:pBdr>
        <w:tabs>
          <w:tab w:val="left" w:leader="none" w:pos="8876"/>
        </w:tabs>
        <w:spacing w:after="120" w:before="120" w:line="252" w:lineRule="auto"/>
        <w:ind w:right="-57" w:firstLine="720"/>
        <w:jc w:val="both"/>
        <w:rPr>
          <w:i/>
          <w:iCs/>
          <w:color w:val="000000" w:themeColor="text1"/>
        </w:rPr>
      </w:pPr>
      <w:r>
        <w:rPr>
          <w:i/>
          <w:color w:val="000000" w:themeColor="text1"/>
        </w:rPr>
        <w:t xml:space="preserve">Căn cứ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r>
        <w:rPr>
          <w:i/>
          <w:iCs/>
          <w:color w:val="000000" w:themeColor="text1"/>
        </w:rPr>
      </w:r>
      <w:r>
        <w:rPr>
          <w:i/>
          <w:iCs/>
          <w:color w:val="000000" w:themeColor="text1"/>
        </w:rPr>
      </w:r>
    </w:p>
    <w:p>
      <w:pPr>
        <w:pBdr/>
        <w:spacing w:after="120" w:before="120" w:line="252" w:lineRule="auto"/>
        <w:ind w:firstLine="720"/>
        <w:jc w:val="both"/>
        <w:rPr>
          <w:i/>
          <w:color w:val="000000" w:themeColor="text1"/>
        </w:rPr>
      </w:pPr>
      <w:r>
        <w:rPr>
          <w:i/>
          <w:color w:val="000000" w:themeColor="text1"/>
          <w:lang w:val="nl-NL"/>
        </w:rPr>
        <w:t xml:space="preserve">Căn cứ </w:t>
      </w:r>
      <w:r>
        <w:rPr>
          <w:i/>
          <w:color w:val="000000" w:themeColor="text1"/>
        </w:rPr>
        <w:t xml:space="preserve">Nghị định số 85/2023/NĐ-CP ngày 07 tháng 12 năm 2023 của Chính phủ sửa đổi, bổ sung một số điều của Nghị định số 115/2020/NĐ-CP ngày 25 tháng 9 năm 2020 về tuyển dụng, sử dụng và quản lý viên chức;</w:t>
      </w:r>
      <w:r>
        <w:rPr>
          <w:i/>
          <w:color w:val="000000" w:themeColor="text1"/>
        </w:rPr>
      </w:r>
      <w:r>
        <w:rPr>
          <w:i/>
          <w:color w:val="000000" w:themeColor="text1"/>
        </w:rPr>
      </w:r>
    </w:p>
    <w:p>
      <w:pPr>
        <w:pBdr/>
        <w:spacing w:after="120" w:before="120" w:line="252" w:lineRule="auto"/>
        <w:ind w:firstLine="720"/>
        <w:jc w:val="both"/>
        <w:rPr>
          <w:i/>
          <w:color w:val="000000" w:themeColor="text1"/>
        </w:rPr>
      </w:pPr>
      <w:r>
        <w:rPr>
          <w:i/>
          <w:color w:val="000000" w:themeColor="text1"/>
        </w:rPr>
        <w:t xml:space="preserve">Căn cứ Nghị định số 142/2025/NĐ-CP ngày 12 tháng 6 năm 2025 của Chính phủ quy định về phân định thẩm quyền của chính quyền địa phương hai cấp trong lĩnh vực quản lý nhà nước của Bộ Giáo dục và Đào tạo;</w:t>
      </w:r>
      <w:r>
        <w:rPr>
          <w:i/>
          <w:color w:val="000000" w:themeColor="text1"/>
        </w:rPr>
      </w:r>
      <w:r>
        <w:rPr>
          <w:i/>
          <w:color w:val="000000" w:themeColor="text1"/>
        </w:rPr>
      </w:r>
    </w:p>
    <w:p>
      <w:pPr>
        <w:pStyle w:val="1166"/>
        <w:pBdr/>
        <w:spacing w:after="120" w:afterAutospacing="0" w:before="120" w:beforeAutospacing="0" w:line="252" w:lineRule="auto"/>
        <w:ind w:firstLine="720"/>
        <w:jc w:val="both"/>
        <w:rPr>
          <w:i/>
          <w:iCs/>
          <w:color w:val="000000" w:themeColor="text1"/>
          <w:sz w:val="28"/>
          <w:szCs w:val="28"/>
        </w:rPr>
      </w:pPr>
      <w:r>
        <w:rPr>
          <w:i/>
          <w:iCs/>
          <w:color w:val="000000" w:themeColor="text1"/>
          <w:sz w:val="28"/>
          <w:szCs w:val="28"/>
          <w:lang w:val="vi-VN"/>
        </w:rPr>
        <w:t xml:space="preserve">Theo đề nghị của Giám đốc Sở Nội vụ tại Tờ trình số</w:t>
      </w:r>
      <w:r>
        <w:rPr>
          <w:i/>
          <w:iCs/>
          <w:color w:val="000000" w:themeColor="text1"/>
          <w:sz w:val="28"/>
          <w:szCs w:val="28"/>
        </w:rPr>
        <w:t xml:space="preserve"> 3554</w:t>
      </w:r>
      <w:r>
        <w:rPr>
          <w:i/>
          <w:iCs/>
          <w:color w:val="000000" w:themeColor="text1"/>
          <w:sz w:val="28"/>
          <w:szCs w:val="28"/>
          <w:lang w:val="vi-VN"/>
        </w:rPr>
        <w:t xml:space="preserve">/TTr-SNV ngày</w:t>
      </w:r>
      <w:r>
        <w:rPr>
          <w:i/>
          <w:iCs/>
          <w:color w:val="000000" w:themeColor="text1"/>
          <w:sz w:val="28"/>
          <w:szCs w:val="28"/>
        </w:rPr>
        <w:t xml:space="preserve">       03</w:t>
      </w:r>
      <w:r>
        <w:rPr>
          <w:i/>
          <w:iCs/>
          <w:color w:val="000000" w:themeColor="text1"/>
          <w:sz w:val="28"/>
          <w:szCs w:val="28"/>
          <w:lang w:val="vi-VN"/>
        </w:rPr>
        <w:t xml:space="preserve"> tháng 10 năm </w:t>
      </w:r>
      <w:r>
        <w:rPr>
          <w:i/>
          <w:iCs/>
          <w:color w:val="000000" w:themeColor="text1"/>
          <w:sz w:val="28"/>
          <w:szCs w:val="28"/>
          <w:lang w:val="vi-VN"/>
        </w:rPr>
        <w:t xml:space="preserve">2025;</w:t>
      </w:r>
      <w:r>
        <w:rPr>
          <w:i/>
          <w:iCs/>
          <w:color w:val="000000" w:themeColor="text1"/>
          <w:sz w:val="28"/>
          <w:szCs w:val="28"/>
        </w:rPr>
      </w:r>
      <w:r>
        <w:rPr>
          <w:i/>
          <w:iCs/>
          <w:color w:val="000000" w:themeColor="text1"/>
          <w:sz w:val="28"/>
          <w:szCs w:val="28"/>
        </w:rPr>
      </w:r>
    </w:p>
    <w:p>
      <w:pPr>
        <w:pBdr/>
        <w:spacing w:after="120" w:before="120" w:line="252" w:lineRule="auto"/>
        <w:ind w:firstLine="720"/>
        <w:jc w:val="both"/>
        <w:rPr>
          <w:i/>
          <w:color w:val="000000" w:themeColor="text1"/>
        </w:rPr>
      </w:pPr>
      <w:r>
        <w:rPr>
          <w:i/>
          <w:color w:val="000000" w:themeColor="text1"/>
          <w:shd w:val="clear" w:color="auto" w:fill="ffffff"/>
        </w:rPr>
        <w:t xml:space="preserve">Chủ tịch Ủy ban nhân dân</w:t>
      </w:r>
      <w:r>
        <w:rPr>
          <w:i/>
          <w:color w:val="000000" w:themeColor="text1"/>
        </w:rPr>
        <w:t xml:space="preserve"> </w:t>
      </w:r>
      <w:r>
        <w:rPr>
          <w:i/>
          <w:iCs/>
          <w:color w:val="000000" w:themeColor="text1"/>
        </w:rPr>
        <w:t xml:space="preserve">ban hành Quyết định q</w:t>
      </w:r>
      <w:r>
        <w:rPr>
          <w:i/>
          <w:color w:val="000000" w:themeColor="text1"/>
          <w:lang w:val="vi-VN"/>
        </w:rPr>
        <w:t xml:space="preserve">uy định </w:t>
      </w:r>
      <w:r>
        <w:rPr>
          <w:bCs/>
          <w:i/>
          <w:color w:val="000000" w:themeColor="text1"/>
        </w:rPr>
        <w:t xml:space="preserve">phân cấp về tuyển dụng, sử dụng và</w:t>
      </w:r>
      <w:r>
        <w:rPr>
          <w:bCs/>
          <w:i/>
          <w:color w:val="000000" w:themeColor="text1"/>
          <w:lang w:val="vi-VN"/>
        </w:rPr>
        <w:t xml:space="preserve"> quản lý </w:t>
      </w:r>
      <w:r>
        <w:rPr>
          <w:bCs/>
          <w:i/>
          <w:color w:val="000000" w:themeColor="text1"/>
        </w:rPr>
        <w:t xml:space="preserve">viên chức </w:t>
      </w:r>
      <w:r>
        <w:rPr>
          <w:bCs/>
          <w:i/>
          <w:color w:val="000000" w:themeColor="text1"/>
          <w:lang w:val="vi-VN"/>
        </w:rPr>
        <w:t xml:space="preserve">trong các đơn vị</w:t>
      </w:r>
      <w:r>
        <w:rPr>
          <w:bCs/>
          <w:i/>
          <w:color w:val="000000" w:themeColor="text1"/>
        </w:rPr>
        <w:t xml:space="preserve"> sự nghiệp công lập</w:t>
      </w:r>
      <w:r>
        <w:rPr>
          <w:bCs/>
          <w:i/>
          <w:color w:val="000000" w:themeColor="text1"/>
          <w:lang w:val="vi-VN"/>
        </w:rPr>
        <w:t xml:space="preserve"> trên địa bàn tỉnh </w:t>
      </w:r>
      <w:r>
        <w:rPr>
          <w:bCs/>
          <w:i/>
          <w:color w:val="000000" w:themeColor="text1"/>
        </w:rPr>
        <w:t xml:space="preserve">Tây Ninh</w:t>
      </w:r>
      <w:r>
        <w:rPr>
          <w:i/>
          <w:color w:val="000000" w:themeColor="text1"/>
        </w:rPr>
        <w:t xml:space="preserve">.</w:t>
      </w:r>
      <w:r>
        <w:rPr>
          <w:i/>
          <w:color w:val="000000" w:themeColor="text1"/>
        </w:rPr>
      </w:r>
      <w:r>
        <w:rPr>
          <w:i/>
          <w:color w:val="000000" w:themeColor="text1"/>
        </w:rPr>
      </w:r>
    </w:p>
    <w:p>
      <w:pPr>
        <w:pBdr/>
        <w:spacing w:after="120" w:before="120" w:line="252" w:lineRule="auto"/>
        <w:ind w:firstLine="720"/>
        <w:jc w:val="both"/>
        <w:rPr>
          <w:b/>
          <w:color w:val="000000" w:themeColor="text1"/>
        </w:rPr>
      </w:pPr>
      <w:r>
        <w:rPr>
          <w:b/>
          <w:color w:val="000000" w:themeColor="text1"/>
          <w:lang w:val="vi-VN"/>
        </w:rPr>
        <w:t xml:space="preserve">Điều 1. </w:t>
      </w:r>
      <w:r>
        <w:rPr>
          <w:b/>
          <w:color w:val="000000" w:themeColor="text1"/>
        </w:rPr>
        <w:t xml:space="preserve">Phạm vi điều chỉnh, đối tượng áp dụng</w:t>
      </w:r>
      <w:r>
        <w:rPr>
          <w:b/>
          <w:color w:val="000000" w:themeColor="text1"/>
        </w:rPr>
      </w:r>
      <w:r>
        <w:rPr>
          <w:b/>
          <w:color w:val="000000" w:themeColor="text1"/>
        </w:rPr>
      </w:r>
    </w:p>
    <w:p>
      <w:pPr>
        <w:pStyle w:val="1009"/>
        <w:numPr>
          <w:ilvl w:val="0"/>
          <w:numId w:val="10"/>
        </w:numPr>
        <w:pBdr/>
        <w:spacing w:after="120" w:before="120" w:line="252" w:lineRule="auto"/>
        <w:ind/>
        <w:contextualSpacing w:val="false"/>
        <w:jc w:val="both"/>
        <w:rPr>
          <w:color w:val="000000" w:themeColor="text1"/>
        </w:rPr>
      </w:pPr>
      <w:r>
        <w:rPr>
          <w:color w:val="000000" w:themeColor="text1"/>
        </w:rPr>
        <w:t xml:space="preserve">Phạm vi điều chỉnh</w:t>
      </w:r>
      <w:r>
        <w:rPr>
          <w:color w:val="000000" w:themeColor="text1"/>
        </w:rPr>
      </w:r>
      <w:r>
        <w:rPr>
          <w:color w:val="000000" w:themeColor="text1"/>
        </w:rPr>
      </w:r>
    </w:p>
    <w:p>
      <w:pPr>
        <w:pBdr/>
        <w:spacing w:after="120" w:before="120" w:line="252" w:lineRule="auto"/>
        <w:ind w:firstLine="720"/>
        <w:rPr>
          <w:bCs/>
          <w:color w:val="000000" w:themeColor="text1"/>
        </w:rPr>
      </w:pPr>
      <w:r>
        <w:rPr>
          <w:bCs/>
          <w:color w:val="000000" w:themeColor="text1"/>
        </w:rPr>
        <w:t xml:space="preserve">Quy định này quy định phân cấp về tuyển dụng, sử dụng và</w:t>
      </w:r>
      <w:r>
        <w:rPr>
          <w:bCs/>
          <w:color w:val="000000" w:themeColor="text1"/>
          <w:lang w:val="vi-VN"/>
        </w:rPr>
        <w:t xml:space="preserve"> quản lý </w:t>
      </w:r>
      <w:r>
        <w:rPr>
          <w:bCs/>
          <w:color w:val="000000" w:themeColor="text1"/>
        </w:rPr>
        <w:t xml:space="preserve">viên chức </w:t>
      </w:r>
      <w:r>
        <w:rPr>
          <w:bCs/>
          <w:color w:val="000000" w:themeColor="text1"/>
          <w:lang w:val="vi-VN"/>
        </w:rPr>
        <w:t xml:space="preserve">trong các đơn vị </w:t>
      </w:r>
      <w:r>
        <w:rPr>
          <w:bCs/>
          <w:color w:val="000000" w:themeColor="text1"/>
        </w:rPr>
        <w:t xml:space="preserve">sự nghiệp công lập </w:t>
      </w:r>
      <w:r>
        <w:rPr>
          <w:bCs/>
          <w:color w:val="000000" w:themeColor="text1"/>
          <w:lang w:val="vi-VN"/>
        </w:rPr>
        <w:t xml:space="preserve">trên địa bàn tỉnh </w:t>
      </w:r>
      <w:r>
        <w:rPr>
          <w:bCs/>
          <w:color w:val="000000" w:themeColor="text1"/>
        </w:rPr>
        <w:t xml:space="preserve">Tây Ninh.</w:t>
      </w:r>
      <w:r>
        <w:rPr>
          <w:bCs/>
          <w:color w:val="000000" w:themeColor="text1"/>
        </w:rPr>
      </w:r>
      <w:r>
        <w:rPr>
          <w:bCs/>
          <w:color w:val="000000" w:themeColor="text1"/>
        </w:rPr>
      </w:r>
    </w:p>
    <w:p>
      <w:pPr>
        <w:pStyle w:val="1009"/>
        <w:numPr>
          <w:ilvl w:val="0"/>
          <w:numId w:val="10"/>
        </w:numPr>
        <w:pBdr/>
        <w:spacing w:after="120" w:before="120" w:line="252" w:lineRule="auto"/>
        <w:ind/>
        <w:contextualSpacing w:val="false"/>
        <w:jc w:val="both"/>
        <w:rPr>
          <w:color w:val="000000" w:themeColor="text1"/>
        </w:rPr>
      </w:pPr>
      <w:r>
        <w:rPr>
          <w:color w:val="000000" w:themeColor="text1"/>
        </w:rPr>
        <w:t xml:space="preserve">Đối tượng áp dụng</w:t>
      </w:r>
      <w:r>
        <w:rPr>
          <w:color w:val="000000" w:themeColor="text1"/>
        </w:rPr>
      </w:r>
      <w:r>
        <w:rPr>
          <w:color w:val="000000" w:themeColor="text1"/>
        </w:rPr>
      </w:r>
    </w:p>
    <w:p>
      <w:pPr>
        <w:pStyle w:val="1166"/>
        <w:pBdr/>
        <w:shd w:val="clear" w:color="auto" w:fill="ffffff"/>
        <w:spacing w:after="120" w:afterAutospacing="0" w:before="120" w:beforeAutospacing="0" w:line="252" w:lineRule="auto"/>
        <w:ind w:firstLine="720"/>
        <w:jc w:val="both"/>
        <w:rPr>
          <w:sz w:val="28"/>
          <w:szCs w:val="28"/>
        </w:rPr>
      </w:pPr>
      <w:r>
        <w:rPr>
          <w:color w:val="000000" w:themeColor="text1"/>
          <w:sz w:val="28"/>
          <w:szCs w:val="28"/>
          <w:lang w:val="vi-VN"/>
        </w:rPr>
        <w:t xml:space="preserve">Quy định này áp dụng đối với </w:t>
      </w:r>
      <w:r>
        <w:rPr>
          <w:color w:val="000000" w:themeColor="text1"/>
          <w:sz w:val="28"/>
          <w:szCs w:val="28"/>
        </w:rPr>
        <w:t xml:space="preserve">vi</w:t>
      </w:r>
      <w:r>
        <w:rPr>
          <w:sz w:val="28"/>
          <w:szCs w:val="28"/>
        </w:rPr>
        <w:t xml:space="preserve">ên chức trong đơn vị sự nghiệp công lập trực thuộc </w:t>
      </w:r>
      <w:r>
        <w:rPr>
          <w:sz w:val="28"/>
          <w:szCs w:val="28"/>
          <w:shd w:val="clear" w:color="auto" w:fill="ffffff"/>
        </w:rPr>
        <w:t xml:space="preserve">Ủy ban nhân dân</w:t>
      </w:r>
      <w:r>
        <w:rPr>
          <w:sz w:val="28"/>
          <w:szCs w:val="28"/>
        </w:rPr>
        <w:t xml:space="preserve"> tỉnh và các đơn vị sự nghiệp công lập trực thuộc sở, ban, ngành tỉnh, </w:t>
      </w:r>
      <w:r>
        <w:rPr>
          <w:sz w:val="28"/>
          <w:szCs w:val="28"/>
          <w:shd w:val="clear" w:color="auto" w:fill="ffffff"/>
        </w:rPr>
        <w:t xml:space="preserve">Ủy ban nhân dân</w:t>
      </w:r>
      <w:r>
        <w:rPr>
          <w:sz w:val="28"/>
          <w:szCs w:val="28"/>
        </w:rPr>
        <w:t xml:space="preserve"> cấp xã </w:t>
      </w:r>
      <w:r>
        <w:rPr>
          <w:bCs/>
          <w:sz w:val="28"/>
          <w:szCs w:val="28"/>
          <w:lang w:val="vi-VN"/>
        </w:rPr>
        <w:t xml:space="preserve">trên địa bàn tỉnh </w:t>
      </w:r>
      <w:r>
        <w:rPr>
          <w:bCs/>
          <w:sz w:val="28"/>
          <w:szCs w:val="28"/>
        </w:rPr>
        <w:t xml:space="preserve">Tây Nin</w:t>
      </w:r>
      <w:r>
        <w:rPr>
          <w:sz w:val="28"/>
          <w:szCs w:val="28"/>
        </w:rPr>
        <w:t xml:space="preserve">h.</w:t>
      </w:r>
      <w:r>
        <w:rPr>
          <w:sz w:val="28"/>
          <w:szCs w:val="28"/>
        </w:rPr>
      </w:r>
      <w:r>
        <w:rPr>
          <w:sz w:val="28"/>
          <w:szCs w:val="28"/>
        </w:rPr>
      </w:r>
    </w:p>
    <w:p>
      <w:pPr>
        <w:pStyle w:val="1166"/>
        <w:pBdr/>
        <w:shd w:val="clear" w:color="auto" w:fill="ffffff"/>
        <w:spacing w:after="120" w:afterAutospacing="0" w:before="120" w:beforeAutospacing="0" w:line="252" w:lineRule="auto"/>
        <w:ind w:firstLine="720"/>
        <w:jc w:val="both"/>
        <w:rPr>
          <w:b/>
          <w:sz w:val="28"/>
          <w:szCs w:val="28"/>
        </w:rPr>
      </w:pPr>
      <w:r>
        <w:rPr>
          <w:b/>
          <w:sz w:val="28"/>
          <w:szCs w:val="28"/>
          <w:lang w:val="vi-VN"/>
        </w:rPr>
        <w:t xml:space="preserve">Điều </w:t>
      </w:r>
      <w:r>
        <w:rPr>
          <w:b/>
          <w:sz w:val="28"/>
          <w:szCs w:val="28"/>
        </w:rPr>
        <w:t xml:space="preserve">2</w:t>
      </w:r>
      <w:r>
        <w:rPr>
          <w:b/>
          <w:sz w:val="28"/>
          <w:szCs w:val="28"/>
          <w:lang w:val="vi-VN"/>
        </w:rPr>
        <w:t xml:space="preserve">.</w:t>
      </w:r>
      <w:r>
        <w:rPr>
          <w:b/>
          <w:sz w:val="28"/>
          <w:szCs w:val="28"/>
        </w:rPr>
        <w:t xml:space="preserve"> Nhiệm vụ và quyền hạn của Sở Nội vụ</w:t>
      </w:r>
      <w:r>
        <w:rPr>
          <w:b/>
          <w:sz w:val="28"/>
          <w:szCs w:val="28"/>
        </w:rPr>
      </w:r>
      <w:r>
        <w:rPr>
          <w:b/>
          <w:sz w:val="28"/>
          <w:szCs w:val="28"/>
        </w:rPr>
      </w:r>
    </w:p>
    <w:p>
      <w:pPr>
        <w:pBdr/>
        <w:shd w:val="clear" w:color="auto" w:fill="ffffff"/>
        <w:spacing w:after="120" w:before="120" w:line="252" w:lineRule="auto"/>
        <w:ind w:firstLine="720"/>
        <w:jc w:val="both"/>
        <w:rPr/>
      </w:pPr>
      <w:r>
        <w:rPr>
          <w:lang w:eastAsia="vi-VN"/>
        </w:rPr>
        <w:t xml:space="preserve">Thẩm định hồ sơ tiếp nhận viên chức chuyển công tác từ ngoài tỉnh vào làm việc đơn vị sự nghiệp công lập trực thuộc Ủy ban nhân dân tỉnh, sở ngành tỉnh, Ủy ban nhân dân cấp xã; thẩm định chỉ tiêu, vị trí việc làm đối với viên chức </w:t>
      </w:r>
      <w:r>
        <w:t xml:space="preserve">chuyển công tác từ ngoài phạm vi Ủy ban nhân dân cấp xã đến đơn vị sự nghiệp công lập trực thuộc </w:t>
      </w:r>
      <w:r>
        <w:rPr>
          <w:shd w:val="clear" w:color="auto" w:fill="ffffff"/>
        </w:rPr>
        <w:t xml:space="preserve">Ủy ban nhân dân</w:t>
      </w:r>
      <w:r>
        <w:t xml:space="preserve"> cấp xã.</w:t>
      </w:r>
      <w:r/>
    </w:p>
    <w:p>
      <w:pPr>
        <w:pBdr/>
        <w:shd w:val="clear" w:color="auto" w:fill="ffffff"/>
        <w:spacing w:after="120" w:before="120" w:line="252" w:lineRule="auto"/>
        <w:ind w:firstLine="720"/>
        <w:jc w:val="both"/>
        <w:rPr>
          <w:lang w:eastAsia="vi-VN"/>
        </w:rPr>
      </w:pPr>
      <w:r>
        <w:rPr>
          <w:b/>
        </w:rPr>
        <w:t xml:space="preserve">Điều 3</w:t>
      </w:r>
      <w:r>
        <w:t xml:space="preserve">. </w:t>
      </w:r>
      <w:r>
        <w:rPr>
          <w:b/>
          <w:bCs/>
        </w:rPr>
        <w:t xml:space="preserve">Nhiệm vụ và quyền hạn của sở ngành tỉnh, đơn vị sự nghiệp công lập trực thuộc </w:t>
      </w:r>
      <w:r>
        <w:rPr>
          <w:b/>
          <w:shd w:val="clear" w:color="auto" w:fill="ffffff"/>
        </w:rPr>
        <w:t xml:space="preserve">Ủy ban nhân dân</w:t>
      </w:r>
      <w:r>
        <w:rPr>
          <w:b/>
        </w:rPr>
        <w:t xml:space="preserve"> </w:t>
      </w:r>
      <w:r>
        <w:rPr>
          <w:b/>
          <w:bCs/>
        </w:rPr>
        <w:t xml:space="preserve">tỉnh; Chủ tịch Ủy ban nhân dân cấp xã</w:t>
      </w:r>
      <w:r>
        <w:rPr>
          <w:lang w:eastAsia="vi-VN"/>
        </w:rPr>
      </w:r>
      <w:r>
        <w:rPr>
          <w:lang w:eastAsia="vi-VN"/>
        </w:rPr>
      </w:r>
    </w:p>
    <w:p>
      <w:pPr>
        <w:pBdr/>
        <w:spacing w:after="120" w:before="120" w:line="252" w:lineRule="auto"/>
        <w:ind w:firstLine="720"/>
        <w:jc w:val="both"/>
        <w:rPr/>
      </w:pPr>
      <w:r>
        <w:t xml:space="preserve">1. Xây dựng kế hoạch tuyển dụng và tổ chức tuyển dụng viên chức vào làm việc tại các đơn vị sự nghiệp công lập bảo đảm một phần chi thường xuyên và đơn vị sự nghiệp công lập do Nhà nước bảo đảm chi thường xuyên thuộc phạm vi quản lý sau khi được Chủ tịch </w:t>
      </w:r>
      <w:r>
        <w:rPr>
          <w:shd w:val="clear" w:color="auto" w:fill="ffffff"/>
        </w:rPr>
        <w:t xml:space="preserve">Ủy ban nhân dân</w:t>
      </w:r>
      <w:r>
        <w:t xml:space="preserve"> tỉnh phê duyệt chỉ tiêu tuyển dụng (trừ viên chức ngành giáo dục và đào tạo); quyết định tiếp nhận vào viên chức đối với các trường hợp đáp ứng tiêu chuẩn, điều kiện của vị trí việc làm theo quy định của Chính phủ; báo cáo kết quả thực hiện gửi Chủ tịch </w:t>
      </w:r>
      <w:r>
        <w:rPr>
          <w:shd w:val="clear" w:color="auto" w:fill="ffffff"/>
        </w:rPr>
        <w:t xml:space="preserve">Ủy ban nhân dân</w:t>
      </w:r>
      <w:r>
        <w:t xml:space="preserve"> tỉnh (thông qua Sở Nội vụ).</w:t>
      </w:r>
      <w:r/>
    </w:p>
    <w:p>
      <w:pPr>
        <w:pBdr/>
        <w:spacing w:after="120" w:before="120" w:line="252" w:lineRule="auto"/>
        <w:ind w:firstLine="720"/>
        <w:jc w:val="both"/>
        <w:rPr/>
      </w:pPr>
      <w:r>
        <w:t xml:space="preserve">2. Sở Giáo dục và Đào tạo xây dựng kế hoạch </w:t>
      </w:r>
      <w:r>
        <w:t xml:space="preserve">tuyển dụng và tổ chức tuyển dụng viên chức ngành giáo dục và đào tạo vào làm việc tại các đơn vị sự nghiệp công lập bảo đảm một phần chi thường xuyên và đơn vị sự nghiệp công lập do Nhà nước bảo đảm chi thường xuyên trên địa bàn tỉnh sau khi được Chủ tịch </w:t>
      </w:r>
      <w:r>
        <w:rPr>
          <w:shd w:val="clear" w:color="auto" w:fill="ffffff"/>
        </w:rPr>
        <w:t xml:space="preserve">Ủy ban nhân dân</w:t>
      </w:r>
      <w:r>
        <w:t xml:space="preserve"> tỉnh phê duyệt chỉ tiêu tuyển dụng (thông qua Sở Nội vụ).</w:t>
      </w:r>
      <w:r/>
    </w:p>
    <w:p>
      <w:pPr>
        <w:pBdr/>
        <w:spacing w:after="120" w:before="120" w:line="252" w:lineRule="auto"/>
        <w:ind w:firstLine="720"/>
        <w:jc w:val="both"/>
        <w:rPr>
          <w:spacing w:val="3"/>
        </w:rPr>
      </w:pPr>
      <w:r>
        <w:t xml:space="preserve">3. Quyết định chuyển công tác viên chức giữa các đơn vị sự nghiệp công lập thuộc phạm vi quản lý và ra ngoài phạm vi quản lý (kể cả ra ngoài tỉnh) và tiếp nhận viên chức chuyển công tác</w:t>
      </w:r>
      <w:r>
        <w:rPr>
          <w:color w:val="000000" w:themeColor="text1"/>
        </w:rPr>
        <w:t xml:space="preserve"> từ ngoài phạm vi quản lý (kể cả từ ngoài tỉnh) </w:t>
      </w:r>
      <w:r>
        <w:t xml:space="preserve">(trừ chức danh thuộc diện Ban Thường vụ Tỉnh ủy,</w:t>
      </w:r>
      <w:r>
        <w:rPr>
          <w:color w:val="000000" w:themeColor="text1"/>
        </w:rPr>
        <w:t xml:space="preserve"> </w:t>
      </w:r>
      <w:r>
        <w:rPr>
          <w:color w:val="000000" w:themeColor="text1"/>
          <w:spacing w:val="3"/>
          <w:shd w:val="clear" w:color="auto" w:fill="ffffff"/>
        </w:rPr>
        <w:t xml:space="preserve">Chủ tịch Ủy</w:t>
      </w:r>
      <w:r>
        <w:rPr>
          <w:spacing w:val="3"/>
          <w:shd w:val="clear" w:color="auto" w:fill="ffffff"/>
        </w:rPr>
        <w:t xml:space="preserve"> ban nhân dân tỉnh quản lý); báo cáo kết quả thực hiện gửi Chủ tịch Ủy ban nhân dân tỉnh (thông qua Sở Nội vụ).</w:t>
      </w:r>
      <w:r>
        <w:rPr>
          <w:spacing w:val="3"/>
        </w:rPr>
      </w:r>
      <w:r>
        <w:rPr>
          <w:spacing w:val="3"/>
        </w:rPr>
      </w:r>
    </w:p>
    <w:p>
      <w:pPr>
        <w:pBdr/>
        <w:spacing w:after="120" w:before="120" w:line="252" w:lineRule="auto"/>
        <w:ind w:firstLine="720"/>
        <w:jc w:val="both"/>
        <w:rPr>
          <w:spacing w:val="3"/>
        </w:rPr>
      </w:pPr>
      <w:r>
        <w:t xml:space="preserve">4. Quyết định bổ nhiệm chức danh nghề nghiệp, xét chuyển chức danh nghề nghiệp và xếp lương đối với viên chức giữ chức danh nghề nghiệp hạng I xếp lương loại A2 và hạng II trở xuống thuộc phạm vi quản lý t</w:t>
      </w:r>
      <w:r>
        <w:t xml:space="preserve">rừ chức danh thuộc thẩm quyền quyết định của Chủ tịch Ủy ban nhân dân tỉnh; tổ chức xét thăng hạng chức danh nghề nghiệp từ hạng III trở xuống đối với viên chức thuộc phạm vi quản lý (trừ viên chức ngành y tế, ngành giáo dục và đào tạo) theo chỉ tiêu được </w:t>
      </w:r>
      <w:r>
        <w:rPr>
          <w:spacing w:val="-6"/>
        </w:rPr>
        <w:t xml:space="preserve">Chủ tịch Ủy ban nhân dân tỉnh phê duyệt, báo cáo kết quả xét thăng hạng gửi Chủ tịch Ủy ban nhân dân tỉnh (thông qua Sở Nội vụ).</w:t>
      </w:r>
      <w:r>
        <w:rPr>
          <w:spacing w:val="3"/>
        </w:rPr>
      </w:r>
      <w:r>
        <w:rPr>
          <w:spacing w:val="3"/>
        </w:rPr>
      </w:r>
    </w:p>
    <w:p>
      <w:pPr>
        <w:widowControl w:val="false"/>
        <w:pBdr/>
        <w:spacing w:after="120" w:before="120" w:line="252" w:lineRule="auto"/>
        <w:ind w:firstLine="720"/>
        <w:jc w:val="both"/>
        <w:rPr>
          <w:spacing w:val="-4"/>
        </w:rPr>
      </w:pPr>
      <w:r>
        <w:rPr>
          <w:spacing w:val="-4"/>
        </w:rPr>
        <w:t xml:space="preserve">5. Sở Y tế, Sở Giáo dục và Đào tạo tổ chức tổ chức xét thăng hạng chức danh nghề nghiệp từ hạng I trở xuống của ngành y tế, giáo dục và đào tạo theo chỉ tiêu được Chủ tịch Ủy ban nhân dân tỉnh phê duyệt (thông qua Sở Nội vụ).</w:t>
      </w:r>
      <w:r>
        <w:rPr>
          <w:spacing w:val="-4"/>
        </w:rPr>
      </w:r>
      <w:r>
        <w:rPr>
          <w:spacing w:val="-4"/>
        </w:rPr>
      </w:r>
    </w:p>
    <w:p>
      <w:pPr>
        <w:pBdr/>
        <w:spacing w:after="120" w:before="120" w:line="252" w:lineRule="auto"/>
        <w:ind w:firstLine="720"/>
        <w:jc w:val="both"/>
        <w:rPr/>
      </w:pPr>
      <w:r>
        <w:t xml:space="preserve">6. Quyết định bổ nhiệm, bổ nhiệm lại, cho thôi giữ chức vụ, miễn nhiệm, cử đi đào tạo, bồi dưỡng đối với người đứng đầu và cấp phó của người đứng đầu các đơn vị sự nghiệp công lập thuộc p</w:t>
      </w:r>
      <w:r>
        <w:t xml:space="preserve">hạm vi quản lý; quyết định nâng bậc lương (thường xuyên, trước thời hạn), phụ cấp thâm niên vượt khung đối với viên chức giữ chức danh nghề nghiệp hạng I xếp lương loại A2 và hạng II trở xuống thuộc phạm vi quản lý (trừ chức danh thuộc thẩm quyền Chủ tịch </w:t>
      </w:r>
      <w:r>
        <w:rPr>
          <w:shd w:val="clear" w:color="auto" w:fill="ffffff"/>
        </w:rPr>
        <w:t xml:space="preserve">Ủy ban nhân dân</w:t>
      </w:r>
      <w:r>
        <w:t xml:space="preserve"> tỉnh). </w:t>
      </w:r>
      <w:r>
        <w:rPr>
          <w:spacing w:val="-4"/>
        </w:rPr>
        <w:t xml:space="preserve">Báo cáo kết quả thực hiện gửi Chủ tịch </w:t>
      </w:r>
      <w:r>
        <w:rPr>
          <w:spacing w:val="-4"/>
          <w:shd w:val="clear" w:color="auto" w:fill="ffffff"/>
        </w:rPr>
        <w:t xml:space="preserve">Ủy ban nhân dân</w:t>
      </w:r>
      <w:r>
        <w:rPr>
          <w:spacing w:val="-4"/>
        </w:rPr>
        <w:t xml:space="preserve"> tỉnh (thông qua Sở Nội vụ).</w:t>
      </w:r>
      <w:r>
        <w:t xml:space="preserve"> </w:t>
      </w:r>
      <w:r/>
    </w:p>
    <w:p>
      <w:pPr>
        <w:pBdr/>
        <w:shd w:val="clear" w:color="auto" w:fill="ffffff"/>
        <w:spacing w:after="120" w:before="120" w:line="252" w:lineRule="auto"/>
        <w:ind w:firstLine="720"/>
        <w:jc w:val="both"/>
        <w:rPr/>
      </w:pPr>
      <w:r>
        <w:t xml:space="preserve">7. Tổ chức xét nâng bậc lương trước thời hạn do lập thành tích xuất sắc đối với viên chức thuộc phạm vi quản lý; tổ chức thực hiện chế độ nâng lương thường xuyên và áp dụng các loại phụ cấp, trợ cấp, chế độ hỗ trợ đối với viên chức trong </w:t>
      </w:r>
      <w:r>
        <w:rPr>
          <w:spacing w:val="-4"/>
        </w:rPr>
        <w:t xml:space="preserve">phạm vi cơ quan theo quy định của pháp luật. Báo cáo kết quả thực hiện gửi Chủ tịch </w:t>
      </w:r>
      <w:r>
        <w:rPr>
          <w:spacing w:val="-4"/>
          <w:shd w:val="clear" w:color="auto" w:fill="ffffff"/>
        </w:rPr>
        <w:t xml:space="preserve">Ủy ban nhân dân</w:t>
      </w:r>
      <w:r>
        <w:rPr>
          <w:spacing w:val="-4"/>
        </w:rPr>
        <w:t xml:space="preserve"> tỉnh (thông qua Sở Nội vụ).</w:t>
      </w:r>
      <w:r/>
    </w:p>
    <w:p>
      <w:pPr>
        <w:pBdr/>
        <w:spacing w:after="120" w:before="120" w:line="252" w:lineRule="auto"/>
        <w:ind w:firstLine="720"/>
        <w:jc w:val="both"/>
        <w:rPr/>
      </w:pPr>
      <w:r>
        <w:t xml:space="preserve">8. Quản lý việc sử dụng thẻ viên chức thuộc phạm vi quản lý, đề nghị cấp, đổi, thu hồi thẻ viên chức theo quy định.</w:t>
      </w:r>
      <w:r/>
    </w:p>
    <w:p>
      <w:pPr>
        <w:pStyle w:val="1166"/>
        <w:pBdr/>
        <w:shd w:val="clear" w:color="auto" w:fill="ffffff"/>
        <w:spacing w:after="120" w:afterAutospacing="0" w:before="120" w:beforeAutospacing="0" w:line="252" w:lineRule="auto"/>
        <w:ind w:firstLine="720"/>
        <w:jc w:val="both"/>
        <w:rPr>
          <w:b/>
          <w:sz w:val="28"/>
          <w:szCs w:val="28"/>
        </w:rPr>
      </w:pPr>
      <w:r>
        <w:rPr>
          <w:b/>
          <w:sz w:val="28"/>
          <w:szCs w:val="28"/>
        </w:rPr>
        <w:t xml:space="preserve">Điều 4.</w:t>
      </w:r>
      <w:r>
        <w:rPr>
          <w:sz w:val="28"/>
          <w:szCs w:val="28"/>
        </w:rPr>
        <w:t xml:space="preserve"> </w:t>
      </w:r>
      <w:r>
        <w:rPr>
          <w:b/>
          <w:sz w:val="28"/>
          <w:szCs w:val="28"/>
        </w:rPr>
        <w:t xml:space="preserve">Nhiệm vụ và quyền hạn của đơn vị sự nghiệp công lập </w:t>
      </w:r>
      <w:r>
        <w:rPr>
          <w:b/>
          <w:sz w:val="28"/>
          <w:szCs w:val="28"/>
        </w:rPr>
      </w:r>
      <w:r>
        <w:rPr>
          <w:b/>
          <w:sz w:val="28"/>
          <w:szCs w:val="28"/>
        </w:rPr>
      </w:r>
    </w:p>
    <w:p>
      <w:pPr>
        <w:pBdr/>
        <w:spacing w:after="120" w:before="120" w:line="252" w:lineRule="auto"/>
        <w:ind w:firstLine="720"/>
        <w:jc w:val="both"/>
        <w:rPr>
          <w:iCs/>
        </w:rPr>
      </w:pPr>
      <w:r>
        <w:t xml:space="preserve">1. </w:t>
      </w:r>
      <w:r>
        <w:rPr>
          <w:iCs/>
        </w:rPr>
        <w:t xml:space="preserve">Quyết định bổ nhiệm, bổ nhiệm lại, cho thôi giữ chức vụ, miễn nhiệm, đào tạo, bồi dưỡng, nghỉ hưu, thôi việc đối với viên chức trong đơn vị sự nghiệp công lập theo quy định, trừ chức danh thuộc thẩm quyền quyết định của sở, ngành tỉnh, Chủ tịch </w:t>
      </w:r>
      <w:r>
        <w:rPr>
          <w:shd w:val="clear" w:color="auto" w:fill="ffffff"/>
        </w:rPr>
        <w:t xml:space="preserve">Ủy ban nhân dân</w:t>
      </w:r>
      <w:r>
        <w:rPr>
          <w:iCs/>
        </w:rPr>
        <w:t xml:space="preserve"> cấp xã.</w:t>
      </w:r>
      <w:r>
        <w:rPr>
          <w:iCs/>
        </w:rPr>
      </w:r>
      <w:r>
        <w:rPr>
          <w:iCs/>
        </w:rPr>
      </w:r>
    </w:p>
    <w:p>
      <w:pPr>
        <w:pBdr/>
        <w:spacing w:after="120" w:before="120" w:line="252" w:lineRule="auto"/>
        <w:ind w:firstLine="720"/>
        <w:jc w:val="both"/>
        <w:rPr/>
      </w:pPr>
      <w:r>
        <w:t xml:space="preserve">2. Quyết định nâng</w:t>
      </w:r>
      <w:r>
        <w:t xml:space="preserve"> bậc lương thường xuyên, nâng bậc lương trước hạn sau khi có ý kiến của cơ quan có thẩm quyền và áp dụng các loại phụ cấp, trợ cấp, chế độ hỗ trợ đối với viên chức thuộc phạm vi quản lý theo quy định, trừ chức danh thuộc thẩm quyền quyết định của Chủ tịch </w:t>
      </w:r>
      <w:r>
        <w:rPr>
          <w:shd w:val="clear" w:color="auto" w:fill="ffffff"/>
        </w:rPr>
        <w:t xml:space="preserve">Ủy ban nhân dân</w:t>
      </w:r>
      <w:r>
        <w:t xml:space="preserve"> tỉnh, </w:t>
      </w:r>
      <w:r>
        <w:rPr>
          <w:iCs/>
        </w:rPr>
        <w:t xml:space="preserve">đơn vị sự nghiệp công lập trực thuộc Ủy ban nhân dân tỉnh</w:t>
      </w:r>
      <w:r>
        <w:t xml:space="preserve">, sở, ngành tỉnh, Chủ tịch </w:t>
      </w:r>
      <w:r>
        <w:rPr>
          <w:shd w:val="clear" w:color="auto" w:fill="ffffff"/>
        </w:rPr>
        <w:t xml:space="preserve">Ủy ban nhân dân</w:t>
      </w:r>
      <w:r>
        <w:t xml:space="preserve"> cấp xã, Sở Giáo dục và Đào tạo.</w:t>
      </w:r>
      <w:r/>
    </w:p>
    <w:p>
      <w:pPr>
        <w:pBdr>
          <w:bottom w:val="none" w:color="000000" w:sz="4" w:space="1"/>
        </w:pBdr>
        <w:spacing w:after="120" w:before="120" w:line="252" w:lineRule="auto"/>
        <w:ind w:firstLine="720"/>
        <w:jc w:val="both"/>
        <w:rPr>
          <w:b/>
        </w:rPr>
      </w:pPr>
      <w:r>
        <w:rPr>
          <w:b/>
          <w:lang w:val="vi-VN"/>
        </w:rPr>
        <w:t xml:space="preserve">Điều </w:t>
      </w:r>
      <w:r>
        <w:rPr>
          <w:b/>
        </w:rPr>
        <w:t xml:space="preserve">5</w:t>
      </w:r>
      <w:r>
        <w:rPr>
          <w:b/>
          <w:lang w:val="vi-VN"/>
        </w:rPr>
        <w:t xml:space="preserve">. </w:t>
      </w:r>
      <w:r>
        <w:rPr>
          <w:b/>
        </w:rPr>
        <w:t xml:space="preserve">Hiệu lực thi hành</w:t>
      </w:r>
      <w:r>
        <w:rPr>
          <w:b/>
        </w:rPr>
      </w:r>
      <w:r>
        <w:rPr>
          <w:b/>
        </w:rPr>
      </w:r>
    </w:p>
    <w:p>
      <w:pPr>
        <w:pBdr>
          <w:bottom w:val="none" w:color="000000" w:sz="4" w:space="1"/>
        </w:pBdr>
        <w:spacing w:after="120" w:before="120" w:line="252" w:lineRule="auto"/>
        <w:ind w:firstLine="720"/>
        <w:jc w:val="both"/>
        <w:rPr/>
      </w:pPr>
      <w:r>
        <w:t xml:space="preserve">1. </w:t>
      </w:r>
      <w:r>
        <w:rPr>
          <w:lang w:val="vi-VN"/>
        </w:rPr>
        <w:t xml:space="preserve">Quyết định này có hiệu lực từ ngày</w:t>
      </w:r>
      <w:r>
        <w:t xml:space="preserve"> </w:t>
      </w:r>
      <w:r>
        <w:t xml:space="preserve">ký</w:t>
      </w:r>
      <w:r>
        <w:rPr>
          <w:lang w:val="vi-VN"/>
        </w:rPr>
        <w:t xml:space="preserve">.</w:t>
      </w:r>
      <w:r/>
    </w:p>
    <w:p>
      <w:pPr>
        <w:pBdr>
          <w:bottom w:val="none" w:color="000000" w:sz="4" w:space="1"/>
        </w:pBdr>
        <w:spacing w:after="120" w:before="120" w:line="252" w:lineRule="auto"/>
        <w:ind w:firstLine="720"/>
        <w:jc w:val="both"/>
        <w:rPr/>
      </w:pPr>
      <w:r>
        <w:rPr>
          <w:lang w:val="en-GB"/>
        </w:rPr>
        <w:t xml:space="preserve">2. </w:t>
      </w:r>
      <w:r>
        <w:t xml:space="preserve">Thay t</w:t>
      </w:r>
      <w:r>
        <w:t xml:space="preserve">hế Quyết định số 43/2021/QĐ-UBND ngày 18/10/2021 của Ủy ban nhân dân tỉnh Long An về việc ban hành quy định phân cấp quản lý cán bô, công chức, viên chức trong các cơ quan, đơn vị trên địa bàn tỉnh Long An; Quyết định số 67/2024/QĐ-UBND ngày 10/12/2024 của</w:t>
      </w:r>
      <w:r>
        <w:t xml:space="preserve"> Ủy ban nhân dân tỉnh Long An sửa đổi, bổ sung Quyết định số 43/2021/QĐ-UBND; Quyết định số 10/2022/QĐ-UBND ngày 05/4/2022 của Ủy ban nhân dân tỉnh Tây Ninh ban hành quy định về quản lý tổ chức bộ máy biên chế, cán bộ, công chức, viên chức, người lao động </w:t>
      </w:r>
      <w:r>
        <w:t xml:space="preserve">và người quản lý doanh nghiệp thuộc thẩm quyền quản lý của Ủy ban nhân dân tỉnh Tây Ninh và Quyết định số 40/2023/QĐ-UBND ngày 18/12/2023 của Ủy ban nhân dân tỉnh Tây Ninh sửa đổi, bổ sung Quyết định số 10/2022/QĐ-UBND.</w:t>
      </w:r>
      <w:r/>
    </w:p>
    <w:p>
      <w:pPr>
        <w:pBdr>
          <w:bottom w:val="none" w:color="000000" w:sz="4" w:space="1"/>
        </w:pBdr>
        <w:spacing w:after="120" w:before="120" w:line="252" w:lineRule="auto"/>
        <w:ind w:firstLine="720"/>
        <w:jc w:val="both"/>
        <w:rPr/>
      </w:pPr>
      <w:r>
        <w:t xml:space="preserve">3. </w:t>
      </w:r>
      <w:bookmarkStart w:id="0" w:name="dieu_2"/>
      <w:r>
        <w:t xml:space="preserve">Bãi bỏ Quyết định số 449/QĐ-UBND ngày 10/7/2025 của Chủ tịch </w:t>
      </w:r>
      <w:r>
        <w:rPr>
          <w:shd w:val="clear" w:color="auto" w:fill="ffffff"/>
        </w:rPr>
        <w:t xml:space="preserve">Ủy ban nhân dân</w:t>
      </w:r>
      <w:r>
        <w:t xml:space="preserve"> tỉnh Tây Ninh về việc ủy quyền Giám đốc Sở Nội vụ, Chủ tịch </w:t>
      </w:r>
      <w:r>
        <w:rPr>
          <w:shd w:val="clear" w:color="auto" w:fill="ffffff"/>
        </w:rPr>
        <w:t xml:space="preserve">Ủy ban nhân dân</w:t>
      </w:r>
      <w:r>
        <w:t xml:space="preserve"> cấp xã về quản lý cán bộ, công chức, viên chức và Công văn số 450/UBND-TH ngày 10/7/2025 của Chủ tịch </w:t>
      </w:r>
      <w:r>
        <w:rPr>
          <w:shd w:val="clear" w:color="auto" w:fill="ffffff"/>
        </w:rPr>
        <w:t xml:space="preserve">Ủy ban nhân dân</w:t>
      </w:r>
      <w:r>
        <w:t xml:space="preserve"> tỉnh Tây Ninh về việc áp dụng phân cấp quản lý cán bộ, công chức, viên chức thuộc phạm vi quản lý của sở ngành tỉnh.</w:t>
      </w:r>
      <w:bookmarkEnd w:id="0"/>
      <w:r/>
      <w:r/>
    </w:p>
    <w:p>
      <w:pPr>
        <w:pBdr>
          <w:bottom w:val="none" w:color="000000" w:sz="4" w:space="1"/>
        </w:pBdr>
        <w:spacing w:after="120" w:before="120" w:line="252" w:lineRule="auto"/>
        <w:ind w:firstLine="720"/>
        <w:jc w:val="both"/>
        <w:rPr>
          <w:spacing w:val="2"/>
        </w:rPr>
      </w:pPr>
      <w:r>
        <w:rPr>
          <w:b/>
          <w:spacing w:val="2"/>
          <w:lang w:val="vi-VN"/>
        </w:rPr>
        <w:t xml:space="preserve">Điều </w:t>
      </w:r>
      <w:r>
        <w:rPr>
          <w:b/>
          <w:spacing w:val="2"/>
          <w:lang w:val="en-GB"/>
        </w:rPr>
        <w:t xml:space="preserve">6</w:t>
      </w:r>
      <w:r>
        <w:rPr>
          <w:b/>
          <w:spacing w:val="2"/>
          <w:lang w:val="vi-VN"/>
        </w:rPr>
        <w:t xml:space="preserve">.</w:t>
      </w:r>
      <w:r>
        <w:rPr>
          <w:spacing w:val="2"/>
          <w:lang w:val="vi-VN"/>
        </w:rPr>
        <w:t xml:space="preserve"> </w:t>
      </w:r>
      <w:r>
        <w:rPr>
          <w:b/>
          <w:spacing w:val="2"/>
        </w:rPr>
        <w:t xml:space="preserve">Trách nhiệm thi hành</w:t>
      </w:r>
      <w:r>
        <w:rPr>
          <w:spacing w:val="2"/>
        </w:rPr>
      </w:r>
      <w:r>
        <w:rPr>
          <w:spacing w:val="2"/>
        </w:rPr>
      </w:r>
    </w:p>
    <w:p>
      <w:pPr>
        <w:pBdr>
          <w:bottom w:val="none" w:color="000000" w:sz="4" w:space="1"/>
        </w:pBdr>
        <w:spacing w:after="240" w:before="120" w:line="252" w:lineRule="auto"/>
        <w:ind w:firstLine="720"/>
        <w:jc w:val="both"/>
        <w:rPr>
          <w:spacing w:val="2"/>
        </w:rPr>
      </w:pPr>
      <w:r>
        <w:rPr>
          <w:spacing w:val="2"/>
          <w:lang w:val="vi-VN"/>
        </w:rPr>
        <w:t xml:space="preserve">Chánh Văn phòng </w:t>
      </w:r>
      <w:r>
        <w:rPr>
          <w:shd w:val="clear" w:color="auto" w:fill="ffffff"/>
        </w:rPr>
        <w:t xml:space="preserve">Ủy ban nhân dân</w:t>
      </w:r>
      <w:r>
        <w:rPr>
          <w:spacing w:val="2"/>
          <w:lang w:val="vi-VN"/>
        </w:rPr>
        <w:t xml:space="preserve"> tỉnh, Giám đốc Sở Nội vụ, Thủ trưởng các </w:t>
      </w:r>
      <w:r>
        <w:rPr>
          <w:spacing w:val="2"/>
        </w:rPr>
        <w:t xml:space="preserve">S</w:t>
      </w:r>
      <w:r>
        <w:rPr>
          <w:spacing w:val="2"/>
          <w:lang w:val="vi-VN"/>
        </w:rPr>
        <w:t xml:space="preserve">ở, ngành tỉnh, Chủ tịch </w:t>
      </w:r>
      <w:r>
        <w:rPr>
          <w:shd w:val="clear" w:color="auto" w:fill="ffffff"/>
        </w:rPr>
        <w:t xml:space="preserve">Ủy ban nhân dân</w:t>
      </w:r>
      <w:r>
        <w:rPr>
          <w:spacing w:val="2"/>
        </w:rPr>
        <w:t xml:space="preserve"> </w:t>
      </w:r>
      <w:r>
        <w:rPr>
          <w:spacing w:val="2"/>
          <w:lang w:val="vi-VN"/>
        </w:rPr>
        <w:t xml:space="preserve">các xã, </w:t>
      </w:r>
      <w:r>
        <w:rPr>
          <w:spacing w:val="2"/>
        </w:rPr>
        <w:t xml:space="preserve">phường</w:t>
      </w:r>
      <w:r>
        <w:rPr>
          <w:spacing w:val="2"/>
          <w:lang w:val="vi-VN"/>
        </w:rPr>
        <w:t xml:space="preserve"> và các cơ quan, đơn vị có liên quan thi hành </w:t>
      </w:r>
      <w:r>
        <w:rPr>
          <w:spacing w:val="2"/>
        </w:rPr>
        <w:t xml:space="preserve">q</w:t>
      </w:r>
      <w:r>
        <w:rPr>
          <w:spacing w:val="2"/>
          <w:lang w:val="vi-VN"/>
        </w:rPr>
        <w:t xml:space="preserve">uyết định này./.</w:t>
      </w:r>
      <w:r>
        <w:rPr>
          <w:spacing w:val="2"/>
        </w:rPr>
      </w:r>
      <w:r>
        <w:rPr>
          <w:spacing w:val="2"/>
        </w:rPr>
      </w:r>
    </w:p>
    <w:tbl>
      <w:tblPr>
        <w:tblW w:w="0" w:type="auto"/>
        <w:jc w:val="center"/>
        <w:tblBorders/>
        <w:tblLook w:val="04A0" w:firstRow="1" w:lastRow="0" w:firstColumn="1" w:lastColumn="0" w:noHBand="0" w:noVBand="1"/>
      </w:tblPr>
      <w:tblGrid>
        <w:gridCol w:w="4532"/>
        <w:gridCol w:w="4538"/>
      </w:tblGrid>
      <w:tr>
        <w:trPr>
          <w:jc w:val="center"/>
          <w:trHeight w:val="1242"/>
        </w:trPr>
        <w:tc>
          <w:tcPr>
            <w:shd w:val="clear" w:color="auto" w:fill="auto"/>
            <w:tcBorders/>
            <w:tcW w:w="4533" w:type="dxa"/>
            <w:textDirection w:val="lrTb"/>
            <w:noWrap w:val="false"/>
          </w:tcPr>
          <w:p>
            <w:pPr>
              <w:pBdr/>
              <w:spacing/>
              <w:ind/>
              <w:rPr>
                <w:i/>
                <w:iCs/>
                <w:sz w:val="24"/>
              </w:rPr>
            </w:pPr>
            <w:r>
              <w:rPr>
                <w:b/>
                <w:bCs/>
                <w:i/>
                <w:iCs/>
                <w:sz w:val="24"/>
                <w:lang w:val="vi-VN"/>
              </w:rPr>
              <w:t xml:space="preserve">Nơi nhận</w:t>
            </w:r>
            <w:r>
              <w:rPr>
                <w:i/>
                <w:iCs/>
                <w:sz w:val="24"/>
                <w:lang w:val="vi-VN"/>
              </w:rPr>
              <w:t xml:space="preserve">:</w:t>
            </w:r>
            <w:r>
              <w:rPr>
                <w:i/>
                <w:iCs/>
                <w:sz w:val="24"/>
              </w:rPr>
            </w:r>
            <w:r>
              <w:rPr>
                <w:i/>
                <w:iCs/>
                <w:sz w:val="24"/>
              </w:rPr>
            </w:r>
          </w:p>
          <w:p>
            <w:pPr>
              <w:pStyle w:val="1166"/>
              <w:pBdr/>
              <w:spacing w:after="0" w:afterAutospacing="0" w:before="0" w:beforeAutospacing="0"/>
              <w:ind/>
              <w:jc w:val="both"/>
              <w:rPr/>
            </w:pPr>
            <w:r>
              <w:rPr>
                <w:sz w:val="22"/>
                <w:szCs w:val="22"/>
              </w:rPr>
              <w:t xml:space="preserve">- Như Điều 6;</w:t>
            </w:r>
            <w:r/>
          </w:p>
          <w:p>
            <w:pPr>
              <w:pStyle w:val="1166"/>
              <w:pBdr/>
              <w:spacing w:after="0" w:afterAutospacing="0" w:before="0" w:beforeAutospacing="0"/>
              <w:ind/>
              <w:jc w:val="both"/>
              <w:rPr/>
            </w:pPr>
            <w:r>
              <w:rPr>
                <w:sz w:val="22"/>
                <w:szCs w:val="22"/>
              </w:rPr>
              <w:t xml:space="preserve">- Bộ Nội vụ;</w:t>
            </w:r>
            <w:r/>
          </w:p>
          <w:p>
            <w:pPr>
              <w:pStyle w:val="1166"/>
              <w:pBdr/>
              <w:spacing w:after="0" w:afterAutospacing="0" w:before="0" w:beforeAutospacing="0"/>
              <w:ind/>
              <w:jc w:val="both"/>
              <w:rPr/>
            </w:pPr>
            <w:r>
              <w:rPr>
                <w:sz w:val="22"/>
                <w:szCs w:val="22"/>
              </w:rPr>
              <w:t xml:space="preserve">- Bộ Tài chính;</w:t>
            </w:r>
            <w:r/>
          </w:p>
          <w:p>
            <w:pPr>
              <w:pStyle w:val="1166"/>
              <w:pBdr/>
              <w:spacing w:after="0" w:afterAutospacing="0" w:before="0" w:beforeAutospacing="0"/>
              <w:ind/>
              <w:jc w:val="both"/>
              <w:rPr/>
            </w:pPr>
            <w:r>
              <w:rPr>
                <w:sz w:val="22"/>
                <w:szCs w:val="22"/>
              </w:rPr>
              <w:t xml:space="preserve">- Vụ Pháp chế - Bộ Nội vụ;</w:t>
            </w:r>
            <w:r/>
          </w:p>
          <w:p>
            <w:pPr>
              <w:pStyle w:val="1166"/>
              <w:pBdr/>
              <w:spacing w:after="0" w:afterAutospacing="0" w:before="0" w:beforeAutospacing="0"/>
              <w:ind/>
              <w:jc w:val="both"/>
              <w:rPr/>
            </w:pPr>
            <w:r>
              <w:rPr>
                <w:sz w:val="22"/>
                <w:szCs w:val="22"/>
              </w:rPr>
              <w:t xml:space="preserve">- Cục KTVB</w:t>
            </w:r>
            <w:r>
              <w:rPr>
                <w:sz w:val="22"/>
                <w:szCs w:val="22"/>
              </w:rPr>
              <w:t xml:space="preserve"> </w:t>
            </w:r>
            <w:r>
              <w:rPr>
                <w:sz w:val="22"/>
                <w:szCs w:val="22"/>
              </w:rPr>
              <w:t xml:space="preserve">và QLXLVPHC – Bộ Tư pháp;</w:t>
            </w:r>
            <w:r/>
          </w:p>
          <w:p>
            <w:pPr>
              <w:pStyle w:val="1166"/>
              <w:pBdr/>
              <w:spacing w:after="0" w:afterAutospacing="0" w:before="0" w:beforeAutospacing="0"/>
              <w:ind/>
              <w:jc w:val="both"/>
              <w:rPr/>
            </w:pPr>
            <w:r>
              <w:rPr>
                <w:sz w:val="22"/>
                <w:szCs w:val="22"/>
              </w:rPr>
              <w:t xml:space="preserve">- Thường trực Tỉnh ủy;</w:t>
            </w:r>
            <w:r/>
          </w:p>
          <w:p>
            <w:pPr>
              <w:pStyle w:val="1166"/>
              <w:pBdr/>
              <w:spacing w:after="0" w:afterAutospacing="0" w:before="0" w:beforeAutospacing="0"/>
              <w:ind/>
              <w:jc w:val="both"/>
              <w:rPr/>
            </w:pPr>
            <w:r>
              <w:rPr>
                <w:sz w:val="22"/>
                <w:szCs w:val="22"/>
              </w:rPr>
              <w:t xml:space="preserve">- Thường trực HĐND tỉnh;</w:t>
            </w:r>
            <w:r/>
          </w:p>
          <w:p>
            <w:pPr>
              <w:pStyle w:val="1166"/>
              <w:pBdr/>
              <w:spacing w:after="0" w:afterAutospacing="0" w:before="0" w:beforeAutospacing="0"/>
              <w:ind/>
              <w:jc w:val="both"/>
              <w:rPr/>
            </w:pPr>
            <w:r>
              <w:rPr>
                <w:sz w:val="22"/>
                <w:szCs w:val="22"/>
              </w:rPr>
              <w:t xml:space="preserve">- CT, các PCT. UBND tỉnh;</w:t>
            </w:r>
            <w:r/>
          </w:p>
          <w:p>
            <w:pPr>
              <w:pStyle w:val="1166"/>
              <w:pBdr/>
              <w:spacing w:after="0" w:afterAutospacing="0" w:before="0" w:beforeAutospacing="0"/>
              <w:ind/>
              <w:jc w:val="both"/>
              <w:rPr/>
            </w:pPr>
            <w:r>
              <w:rPr>
                <w:sz w:val="22"/>
                <w:szCs w:val="22"/>
              </w:rPr>
              <w:t xml:space="preserve">- Ủy ban Mặt trận Tổ quốc Việt Nam tỉnh;</w:t>
            </w:r>
            <w:r/>
          </w:p>
          <w:p>
            <w:pPr>
              <w:pStyle w:val="1166"/>
              <w:pBdr/>
              <w:spacing w:after="0" w:afterAutospacing="0" w:before="0" w:beforeAutospacing="0"/>
              <w:ind/>
              <w:jc w:val="both"/>
              <w:rPr/>
            </w:pPr>
            <w:r>
              <w:rPr>
                <w:sz w:val="22"/>
                <w:szCs w:val="22"/>
              </w:rPr>
              <w:t xml:space="preserve">- Cổng Thông tin điện tử tỉnh;</w:t>
            </w:r>
            <w:r/>
          </w:p>
          <w:p>
            <w:pPr>
              <w:pStyle w:val="1166"/>
              <w:pBdr/>
              <w:spacing w:after="0" w:afterAutospacing="0" w:before="0" w:beforeAutospacing="0"/>
              <w:ind/>
              <w:jc w:val="both"/>
              <w:rPr/>
            </w:pPr>
            <w:r>
              <w:rPr>
                <w:sz w:val="22"/>
                <w:szCs w:val="22"/>
              </w:rPr>
              <w:t xml:space="preserve">- Trung tâm Công báo - Tin học;</w:t>
            </w:r>
            <w:r/>
          </w:p>
          <w:p>
            <w:pPr>
              <w:pStyle w:val="1166"/>
              <w:pBdr/>
              <w:spacing w:after="0" w:afterAutospacing="0" w:before="0" w:beforeAutospacing="0"/>
              <w:ind/>
              <w:jc w:val="both"/>
              <w:rPr/>
            </w:pPr>
            <w:r>
              <w:rPr>
                <w:sz w:val="22"/>
                <w:szCs w:val="22"/>
              </w:rPr>
              <w:t xml:space="preserve">- Phòng Tổng hợp</w:t>
            </w:r>
            <w:r>
              <w:rPr>
                <w:sz w:val="22"/>
                <w:szCs w:val="22"/>
              </w:rPr>
              <w:t xml:space="preserve">;</w:t>
            </w:r>
            <w:r/>
          </w:p>
          <w:p>
            <w:pPr>
              <w:pBdr/>
              <w:spacing/>
              <w:ind/>
              <w:rPr>
                <w:sz w:val="8"/>
                <w:szCs w:val="8"/>
              </w:rPr>
            </w:pPr>
            <w:r>
              <w:rPr>
                <w:sz w:val="22"/>
                <w:szCs w:val="22"/>
              </w:rPr>
              <w:t xml:space="preserve">- Lưu: VT, DK.</w:t>
            </w:r>
            <w:r>
              <w:rPr>
                <w:sz w:val="8"/>
                <w:szCs w:val="8"/>
              </w:rPr>
            </w:r>
            <w:r>
              <w:rPr>
                <w:sz w:val="8"/>
                <w:szCs w:val="8"/>
              </w:rPr>
            </w:r>
          </w:p>
        </w:tc>
        <w:tc>
          <w:tcPr>
            <w:shd w:val="clear" w:color="auto" w:fill="auto"/>
            <w:tcBorders/>
            <w:tcW w:w="4539" w:type="dxa"/>
            <w:textDirection w:val="lrTb"/>
            <w:noWrap w:val="false"/>
          </w:tcPr>
          <w:p>
            <w:pPr>
              <w:pBdr/>
              <w:spacing/>
              <w:ind w:left="-112"/>
              <w:jc w:val="center"/>
              <w:rPr>
                <w:b/>
                <w:lang w:val="vi-VN"/>
              </w:rPr>
            </w:pPr>
            <w:r>
              <w:rPr>
                <w:b/>
              </w:rPr>
              <w:t xml:space="preserve">   </w:t>
            </w:r>
            <w:r>
              <w:rPr>
                <w:b/>
                <w:lang w:val="vi-VN"/>
              </w:rPr>
              <w:t xml:space="preserve">CHỦ TỊCH</w:t>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lang w:val="vi-VN"/>
              </w:rPr>
            </w:pPr>
            <w:r>
              <w:rPr>
                <w:b/>
                <w:lang w:val="vi-VN"/>
              </w:rPr>
            </w:r>
            <w:r>
              <w:rPr>
                <w:b/>
                <w:lang w:val="vi-VN"/>
              </w:rPr>
            </w:r>
            <w:r>
              <w:rPr>
                <w:b/>
                <w:lang w:val="vi-VN"/>
              </w:rPr>
            </w:r>
          </w:p>
          <w:p>
            <w:pPr>
              <w:pBdr/>
              <w:spacing/>
              <w:ind w:left="-112"/>
              <w:jc w:val="center"/>
              <w:rPr>
                <w:b/>
              </w:rPr>
            </w:pPr>
            <w:r>
              <w:rPr>
                <w:b/>
              </w:rPr>
              <w:t xml:space="preserve">Nguyễ</w:t>
            </w:r>
            <w:bookmarkStart w:id="1" w:name="_GoBack"/>
            <w:r/>
            <w:bookmarkEnd w:id="1"/>
            <w:r>
              <w:rPr>
                <w:b/>
              </w:rPr>
              <w:t xml:space="preserve">n Văn Út</w:t>
            </w:r>
            <w:r>
              <w:rPr>
                <w:b/>
              </w:rPr>
            </w:r>
            <w:r>
              <w:rPr>
                <w:b/>
              </w:rPr>
            </w:r>
          </w:p>
          <w:p>
            <w:pPr>
              <w:pBdr/>
              <w:spacing/>
              <w:ind w:left="-112"/>
              <w:jc w:val="center"/>
              <w:rPr>
                <w:b/>
              </w:rPr>
            </w:pPr>
            <w:r>
              <w:rPr>
                <w:b/>
              </w:rPr>
            </w:r>
            <w:r>
              <w:rPr>
                <w:b/>
              </w:rPr>
            </w:r>
            <w:r>
              <w:rPr>
                <w:b/>
              </w:rPr>
            </w:r>
          </w:p>
          <w:p>
            <w:pPr>
              <w:pBdr/>
              <w:spacing/>
              <w:ind w:left="-112"/>
              <w:jc w:val="center"/>
              <w:rPr>
                <w:b/>
              </w:rPr>
            </w:pPr>
            <w:r>
              <w:rPr>
                <w:b/>
              </w:rPr>
            </w:r>
            <w:r>
              <w:rPr>
                <w:b/>
              </w:rPr>
            </w:r>
            <w:r>
              <w:rPr>
                <w:b/>
              </w:rPr>
            </w:r>
          </w:p>
          <w:p>
            <w:pPr>
              <w:pBdr/>
              <w:spacing/>
              <w:ind/>
              <w:rPr>
                <w:b/>
              </w:rPr>
            </w:pPr>
            <w:r>
              <w:rPr>
                <w:b/>
              </w:rPr>
            </w:r>
            <w:r>
              <w:rPr>
                <w:b/>
              </w:rPr>
            </w:r>
            <w:r>
              <w:rPr>
                <w:b/>
              </w:rPr>
            </w:r>
          </w:p>
        </w:tc>
      </w:tr>
    </w:tbl>
    <w:p>
      <w:pPr>
        <w:pBdr/>
        <w:spacing/>
        <w:ind/>
        <w:rPr/>
      </w:pPr>
      <w:r/>
      <w:r/>
    </w:p>
    <w:sectPr>
      <w:headerReference w:type="default" r:id="rId9"/>
      <w:headerReference w:type="even" r:id="rId10"/>
      <w:footerReference w:type="default" r:id="rId11"/>
      <w:footerReference w:type="even" r:id="rId12"/>
      <w:footnotePr/>
      <w:endnotePr/>
      <w:type w:val="nextPage"/>
      <w:pgSz w:h="16840" w:orient="portrait" w:w="11907"/>
      <w:pgMar w:top="1138" w:right="1138" w:bottom="1138" w:left="1699" w:header="677" w:footer="677" w:gutter="0"/>
      <w:pgNumType w:start="1"/>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ahoma">
    <w:panose1 w:val="020B0604030504040204"/>
  </w:font>
  <w:font w:name="VNI-Time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5"/>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5"/>
      <w:framePr w:hAnchor="margin" w:vAnchor="text" w:wrap="around" w:xAlign="right" w:y="1"/>
      <w:pBdr/>
      <w:spacing/>
      <w:ind/>
      <w:rPr>
        <w:rStyle w:val="1162"/>
      </w:rPr>
    </w:pPr>
    <w:r>
      <w:rPr>
        <w:rStyle w:val="1162"/>
      </w:rPr>
      <w:fldChar w:fldCharType="begin"/>
    </w:r>
    <w:r>
      <w:rPr>
        <w:rStyle w:val="1162"/>
      </w:rPr>
      <w:instrText xml:space="preserve">PAGE  </w:instrText>
    </w:r>
    <w:r>
      <w:rPr>
        <w:rStyle w:val="1162"/>
      </w:rPr>
      <w:fldChar w:fldCharType="end"/>
    </w:r>
    <w:r>
      <w:rPr>
        <w:rStyle w:val="1162"/>
      </w:rPr>
    </w:r>
    <w:r>
      <w:rPr>
        <w:rStyle w:val="1162"/>
      </w:rPr>
    </w:r>
  </w:p>
  <w:p>
    <w:pPr>
      <w:pStyle w:val="1165"/>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0963744"/>
      <w:docPartObj>
        <w:docPartGallery w:val="Page Numbers (Top of Page)"/>
        <w:docPartUnique w:val="true"/>
      </w:docPartObj>
      <w:rPr/>
    </w:sdtPr>
    <w:sdtContent>
      <w:p>
        <w:pPr>
          <w:pStyle w:val="1161"/>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116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61"/>
      <w:framePr w:hAnchor="margin" w:vAnchor="text" w:wrap="around" w:xAlign="center" w:y="1"/>
      <w:pBdr/>
      <w:spacing/>
      <w:ind/>
      <w:rPr>
        <w:rStyle w:val="1162"/>
      </w:rPr>
    </w:pPr>
    <w:r>
      <w:rPr>
        <w:rStyle w:val="1162"/>
      </w:rPr>
      <w:fldChar w:fldCharType="begin"/>
    </w:r>
    <w:r>
      <w:rPr>
        <w:rStyle w:val="1162"/>
      </w:rPr>
      <w:instrText xml:space="preserve">PAGE  </w:instrText>
    </w:r>
    <w:r>
      <w:rPr>
        <w:rStyle w:val="1162"/>
      </w:rPr>
      <w:fldChar w:fldCharType="end"/>
    </w:r>
    <w:r>
      <w:rPr>
        <w:rStyle w:val="1162"/>
      </w:rPr>
    </w:r>
    <w:r>
      <w:rPr>
        <w:rStyle w:val="1162"/>
      </w:rPr>
    </w:r>
  </w:p>
  <w:p>
    <w:pPr>
      <w:pStyle w:val="116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1060"/>
      </w:pPr>
      <w:rPr/>
      <w:start w:val="1"/>
      <w:suff w:val="tab"/>
    </w:lvl>
    <w:lvl w:ilvl="1">
      <w:isLgl w:val="false"/>
      <w:lvlJc w:val="left"/>
      <w:lvlText w:val="%2."/>
      <w:numFmt w:val="lowerLetter"/>
      <w:pPr>
        <w:pBdr/>
        <w:spacing/>
        <w:ind w:hanging="360" w:left="1780"/>
      </w:pPr>
      <w:rPr/>
      <w:start w:val="1"/>
      <w:suff w:val="tab"/>
    </w:lvl>
    <w:lvl w:ilvl="2">
      <w:isLgl w:val="false"/>
      <w:lvlJc w:val="right"/>
      <w:lvlText w:val="%3."/>
      <w:numFmt w:val="lowerRoman"/>
      <w:pPr>
        <w:pBdr/>
        <w:spacing/>
        <w:ind w:hanging="180" w:left="2500"/>
      </w:pPr>
      <w:rPr/>
      <w:start w:val="1"/>
      <w:suff w:val="tab"/>
    </w:lvl>
    <w:lvl w:ilvl="3">
      <w:isLgl w:val="false"/>
      <w:lvlJc w:val="left"/>
      <w:lvlText w:val="%4."/>
      <w:numFmt w:val="decimal"/>
      <w:pPr>
        <w:pBdr/>
        <w:spacing/>
        <w:ind w:hanging="360" w:left="3220"/>
      </w:pPr>
      <w:rPr/>
      <w:start w:val="1"/>
      <w:suff w:val="tab"/>
    </w:lvl>
    <w:lvl w:ilvl="4">
      <w:isLgl w:val="false"/>
      <w:lvlJc w:val="left"/>
      <w:lvlText w:val="%5."/>
      <w:numFmt w:val="lowerLetter"/>
      <w:pPr>
        <w:pBdr/>
        <w:spacing/>
        <w:ind w:hanging="360" w:left="3940"/>
      </w:pPr>
      <w:rPr/>
      <w:start w:val="1"/>
      <w:suff w:val="tab"/>
    </w:lvl>
    <w:lvl w:ilvl="5">
      <w:isLgl w:val="false"/>
      <w:lvlJc w:val="right"/>
      <w:lvlText w:val="%6."/>
      <w:numFmt w:val="lowerRoman"/>
      <w:pPr>
        <w:pBdr/>
        <w:spacing/>
        <w:ind w:hanging="180" w:left="4660"/>
      </w:pPr>
      <w:rPr/>
      <w:start w:val="1"/>
      <w:suff w:val="tab"/>
    </w:lvl>
    <w:lvl w:ilvl="6">
      <w:isLgl w:val="false"/>
      <w:lvlJc w:val="left"/>
      <w:lvlText w:val="%7."/>
      <w:numFmt w:val="decimal"/>
      <w:pPr>
        <w:pBdr/>
        <w:spacing/>
        <w:ind w:hanging="360" w:left="5380"/>
      </w:pPr>
      <w:rPr/>
      <w:start w:val="1"/>
      <w:suff w:val="tab"/>
    </w:lvl>
    <w:lvl w:ilvl="7">
      <w:isLgl w:val="false"/>
      <w:lvlJc w:val="left"/>
      <w:lvlText w:val="%8."/>
      <w:numFmt w:val="lowerLetter"/>
      <w:pPr>
        <w:pBdr/>
        <w:spacing/>
        <w:ind w:hanging="360" w:left="6100"/>
      </w:pPr>
      <w:rPr/>
      <w:start w:val="1"/>
      <w:suff w:val="tab"/>
    </w:lvl>
    <w:lvl w:ilvl="8">
      <w:isLgl w:val="false"/>
      <w:lvlJc w:val="right"/>
      <w:lvlText w:val="%9."/>
      <w:numFmt w:val="lowerRoman"/>
      <w:pPr>
        <w:pBdr/>
        <w:spacing/>
        <w:ind w:hanging="180" w:left="6820"/>
      </w:pPr>
      <w:rPr/>
      <w:start w:val="1"/>
      <w:suff w:val="tab"/>
    </w:lvl>
  </w:abstractNum>
  <w:abstractNum w:abstractNumId="6">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lvl w:ilvl="0">
      <w:isLgl w:val="false"/>
      <w:lvlJc w:val="left"/>
      <w:lvlText w:val="%1."/>
      <w:numFmt w:val="decimal"/>
      <w:pPr>
        <w:pBdr/>
        <w:spacing/>
        <w:ind w:hanging="360" w:left="108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7"/>
  </w:num>
  <w:num w:numId="2">
    <w:abstractNumId w:val="5"/>
  </w:num>
  <w:num w:numId="3">
    <w:abstractNumId w:val="2"/>
  </w:num>
  <w:num w:numId="4">
    <w:abstractNumId w:val="10"/>
  </w:num>
  <w:num w:numId="5">
    <w:abstractNumId w:val="4"/>
  </w:num>
  <w:num w:numId="6">
    <w:abstractNumId w:val="9"/>
  </w:num>
  <w:num w:numId="7">
    <w:abstractNumId w:val="8"/>
  </w:num>
  <w:num w:numId="8">
    <w:abstractNumId w:val="6"/>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en-U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9">
    <w:name w:val="Table Grid Light"/>
    <w:basedOn w:val="88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1"/>
    <w:basedOn w:val="8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2"/>
    <w:basedOn w:val="8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3"/>
    <w:basedOn w:val="8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4"/>
    <w:basedOn w:val="8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5"/>
    <w:basedOn w:val="8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6"/>
    <w:basedOn w:val="8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1"/>
    <w:basedOn w:val="8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5"/>
    <w:basedOn w:val="8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6"/>
    <w:basedOn w:val="8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1"/>
    <w:basedOn w:val="8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2"/>
    <w:basedOn w:val="8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3"/>
    <w:basedOn w:val="8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4"/>
    <w:basedOn w:val="8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5"/>
    <w:basedOn w:val="8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6"/>
    <w:basedOn w:val="8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5"/>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6"/>
    <w:basedOn w:val="8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6 Colorful - Accent 1"/>
    <w:basedOn w:val="8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9">
    <w:name w:val="Grid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0">
    <w:name w:val="Grid Table 6 Colorful - Accent 3"/>
    <w:basedOn w:val="8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1">
    <w:name w:val="Grid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2">
    <w:name w:val="Grid Table 6 Colorful - Accent 5"/>
    <w:basedOn w:val="8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3">
    <w:name w:val="Grid Table 6 Colorful - Accent 6"/>
    <w:basedOn w:val="8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4">
    <w:name w:val="Grid Table 7 Colorful - Accent 1"/>
    <w:basedOn w:val="8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2"/>
    <w:basedOn w:val="8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3"/>
    <w:basedOn w:val="8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4"/>
    <w:basedOn w:val="8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5"/>
    <w:basedOn w:val="8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6"/>
    <w:basedOn w:val="8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1"/>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2"/>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3"/>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4"/>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5"/>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6"/>
    <w:basedOn w:val="8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8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8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8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8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8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8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1"/>
    <w:basedOn w:val="8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2"/>
    <w:basedOn w:val="8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3"/>
    <w:basedOn w:val="8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4"/>
    <w:basedOn w:val="8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5"/>
    <w:basedOn w:val="8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6"/>
    <w:basedOn w:val="8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1"/>
    <w:basedOn w:val="8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2"/>
    <w:basedOn w:val="8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3"/>
    <w:basedOn w:val="8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4"/>
    <w:basedOn w:val="8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5"/>
    <w:basedOn w:val="8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6"/>
    <w:basedOn w:val="8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 Accent 1"/>
    <w:basedOn w:val="8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8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8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8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8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8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 Accent 1"/>
    <w:basedOn w:val="8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8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8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8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8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8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 Accent 1"/>
    <w:basedOn w:val="8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7">
    <w:name w:val="List Table 7 Colorful - Accent 2"/>
    <w:basedOn w:val="8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8">
    <w:name w:val="List Table 7 Colorful - Accent 3"/>
    <w:basedOn w:val="8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9">
    <w:name w:val="List Table 7 Colorful - Accent 4"/>
    <w:basedOn w:val="8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0">
    <w:name w:val="List Table 7 Colorful - Accent 5"/>
    <w:basedOn w:val="8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1">
    <w:name w:val="List Table 7 Colorful - Accent 6"/>
    <w:basedOn w:val="8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72" w:default="1">
    <w:name w:val="Normal"/>
    <w:pPr>
      <w:pBdr/>
      <w:spacing/>
      <w:ind/>
    </w:pPr>
    <w:rPr>
      <w:sz w:val="28"/>
      <w:szCs w:val="28"/>
      <w:lang w:bidi="ar-SA"/>
    </w:rPr>
  </w:style>
  <w:style w:type="paragraph" w:styleId="873">
    <w:name w:val="Heading 1"/>
    <w:basedOn w:val="872"/>
    <w:next w:val="872"/>
    <w:link w:val="1000"/>
    <w:pPr>
      <w:keepNext w:val="true"/>
      <w:pBdr/>
      <w:spacing/>
      <w:ind w:right="2160" w:firstLine="720" w:left="720"/>
      <w:outlineLvl w:val="0"/>
    </w:pPr>
    <w:rPr>
      <w:rFonts w:ascii="VNI-Times" w:hAnsi="VNI-Times"/>
      <w:szCs w:val="20"/>
    </w:rPr>
  </w:style>
  <w:style w:type="paragraph" w:styleId="874">
    <w:name w:val="Heading 2"/>
    <w:basedOn w:val="872"/>
    <w:next w:val="872"/>
    <w:link w:val="1001"/>
    <w:uiPriority w:val="9"/>
    <w:unhideWhenUsed/>
    <w:qFormat/>
    <w:pPr>
      <w:keepNext w:val="true"/>
      <w:keepLines w:val="true"/>
      <w:pBdr/>
      <w:spacing w:after="200" w:before="360"/>
      <w:ind/>
      <w:outlineLvl w:val="1"/>
    </w:pPr>
    <w:rPr>
      <w:rFonts w:ascii="Arial" w:hAnsi="Arial" w:eastAsia="Arial" w:cs="Arial"/>
      <w:sz w:val="34"/>
    </w:rPr>
  </w:style>
  <w:style w:type="paragraph" w:styleId="875">
    <w:name w:val="Heading 3"/>
    <w:basedOn w:val="872"/>
    <w:next w:val="872"/>
    <w:link w:val="1002"/>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76">
    <w:name w:val="Heading 4"/>
    <w:basedOn w:val="872"/>
    <w:next w:val="872"/>
    <w:link w:val="1003"/>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77">
    <w:name w:val="Heading 5"/>
    <w:basedOn w:val="872"/>
    <w:next w:val="872"/>
    <w:link w:val="1004"/>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878">
    <w:name w:val="Heading 6"/>
    <w:basedOn w:val="872"/>
    <w:next w:val="872"/>
    <w:link w:val="1005"/>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79">
    <w:name w:val="Heading 7"/>
    <w:basedOn w:val="872"/>
    <w:next w:val="872"/>
    <w:link w:val="1006"/>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80">
    <w:name w:val="Heading 8"/>
    <w:basedOn w:val="872"/>
    <w:next w:val="872"/>
    <w:link w:val="1007"/>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81">
    <w:name w:val="Heading 9"/>
    <w:basedOn w:val="872"/>
    <w:next w:val="872"/>
    <w:link w:val="1008"/>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82" w:default="1">
    <w:name w:val="Default Paragraph Font"/>
    <w:uiPriority w:val="1"/>
    <w:semiHidden/>
    <w:unhideWhenUsed/>
    <w:pPr>
      <w:pBdr/>
      <w:spacing/>
      <w:ind/>
    </w:pPr>
  </w:style>
  <w:style w:type="table" w:styleId="88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4" w:default="1">
    <w:name w:val="No List"/>
    <w:uiPriority w:val="99"/>
    <w:semiHidden/>
    <w:unhideWhenUsed/>
    <w:pPr>
      <w:pBdr/>
      <w:spacing/>
      <w:ind/>
    </w:pPr>
  </w:style>
  <w:style w:type="table" w:styleId="885">
    <w:name w:val="Grid Table Light"/>
    <w:basedOn w:val="88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Accent 1"/>
    <w:basedOn w:val="88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Accent 2"/>
    <w:basedOn w:val="88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Accent 3"/>
    <w:basedOn w:val="88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Accent 4"/>
    <w:basedOn w:val="88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Accent 5"/>
    <w:basedOn w:val="88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Accent 6"/>
    <w:basedOn w:val="88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Accent 1"/>
    <w:basedOn w:val="88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Accent 2"/>
    <w:basedOn w:val="88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Accent 3"/>
    <w:basedOn w:val="88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Accent 4"/>
    <w:basedOn w:val="88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Accent 5"/>
    <w:basedOn w:val="88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Accent 6"/>
    <w:basedOn w:val="88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Accent 1"/>
    <w:basedOn w:val="88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Accent 2"/>
    <w:basedOn w:val="88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Accent 3"/>
    <w:basedOn w:val="88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Accent 4"/>
    <w:basedOn w:val="88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Accent 5"/>
    <w:basedOn w:val="88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Accent 6"/>
    <w:basedOn w:val="88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Accent 1"/>
    <w:basedOn w:val="88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Accent 2"/>
    <w:basedOn w:val="88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Accent 3"/>
    <w:basedOn w:val="88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Accent 4"/>
    <w:basedOn w:val="88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Accent 5"/>
    <w:basedOn w:val="88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Accent 6"/>
    <w:basedOn w:val="88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Accent 2"/>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Accent 3"/>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Accent 5"/>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Accent 6"/>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6 Colorful Accent 1"/>
    <w:basedOn w:val="88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6 Colorful Accent 2"/>
    <w:basedOn w:val="88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6 Colorful Accent 3"/>
    <w:basedOn w:val="88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6 Colorful Accent 4"/>
    <w:basedOn w:val="88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Accent 5"/>
    <w:basedOn w:val="88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6 Colorful Accent 6"/>
    <w:basedOn w:val="88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Accent 1"/>
    <w:basedOn w:val="88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Accent 2"/>
    <w:basedOn w:val="88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Accent 3"/>
    <w:basedOn w:val="88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Accent 4"/>
    <w:basedOn w:val="88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Accent 5"/>
    <w:basedOn w:val="88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Accent 6"/>
    <w:basedOn w:val="88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Accent 1"/>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Accent 2"/>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Accent 3"/>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Accent 4"/>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Accent 5"/>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Accent 6"/>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Accent 1"/>
    <w:basedOn w:val="88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Accent 2"/>
    <w:basedOn w:val="88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Accent 3"/>
    <w:basedOn w:val="88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Accent 4"/>
    <w:basedOn w:val="88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Accent 5"/>
    <w:basedOn w:val="88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Accent 6"/>
    <w:basedOn w:val="88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Accent 1"/>
    <w:basedOn w:val="88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Accent 2"/>
    <w:basedOn w:val="88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Accent 3"/>
    <w:basedOn w:val="88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Accent 4"/>
    <w:basedOn w:val="88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Accent 5"/>
    <w:basedOn w:val="88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Accent 6"/>
    <w:basedOn w:val="88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Accent 1"/>
    <w:basedOn w:val="88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Accent 2"/>
    <w:basedOn w:val="88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Accent 3"/>
    <w:basedOn w:val="88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Accent 4"/>
    <w:basedOn w:val="88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Accent 5"/>
    <w:basedOn w:val="88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Accent 6"/>
    <w:basedOn w:val="88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1"/>
    <w:basedOn w:val="88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5 Dark Accent 2"/>
    <w:basedOn w:val="88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Accent 3"/>
    <w:basedOn w:val="88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5 Dark Accent 4"/>
    <w:basedOn w:val="88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5 Dark Accent 5"/>
    <w:basedOn w:val="88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5 Dark Accent 6"/>
    <w:basedOn w:val="88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1"/>
    <w:basedOn w:val="88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2"/>
    <w:basedOn w:val="88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Accent 3"/>
    <w:basedOn w:val="88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Accent 4"/>
    <w:basedOn w:val="88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Accent 5"/>
    <w:basedOn w:val="88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Accent 6"/>
    <w:basedOn w:val="88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1"/>
    <w:basedOn w:val="88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2"/>
    <w:basedOn w:val="88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3"/>
    <w:basedOn w:val="88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7 Colorful Accent 4"/>
    <w:basedOn w:val="88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Accent 5"/>
    <w:basedOn w:val="88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7 Colorful Accent 6"/>
    <w:basedOn w:val="88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8">
    <w:name w:val="Intense Emphasis"/>
    <w:basedOn w:val="882"/>
    <w:uiPriority w:val="21"/>
    <w:qFormat/>
    <w:pPr>
      <w:pBdr/>
      <w:spacing/>
      <w:ind/>
    </w:pPr>
    <w:rPr>
      <w:i/>
      <w:iCs/>
      <w:color w:val="365f91" w:themeColor="accent1" w:themeShade="BF"/>
    </w:rPr>
  </w:style>
  <w:style w:type="character" w:styleId="969">
    <w:name w:val="Intense Reference"/>
    <w:basedOn w:val="882"/>
    <w:uiPriority w:val="32"/>
    <w:qFormat/>
    <w:pPr>
      <w:pBdr/>
      <w:spacing/>
      <w:ind/>
    </w:pPr>
    <w:rPr>
      <w:b/>
      <w:bCs/>
      <w:smallCaps/>
      <w:color w:val="365f91" w:themeColor="accent1" w:themeShade="BF"/>
      <w:spacing w:val="5"/>
    </w:rPr>
  </w:style>
  <w:style w:type="character" w:styleId="970">
    <w:name w:val="Subtle Emphasis"/>
    <w:basedOn w:val="882"/>
    <w:uiPriority w:val="19"/>
    <w:qFormat/>
    <w:pPr>
      <w:pBdr/>
      <w:spacing/>
      <w:ind/>
    </w:pPr>
    <w:rPr>
      <w:i/>
      <w:iCs/>
      <w:color w:val="404040" w:themeColor="text1" w:themeTint="BF"/>
    </w:rPr>
  </w:style>
  <w:style w:type="character" w:styleId="971">
    <w:name w:val="Emphasis"/>
    <w:basedOn w:val="882"/>
    <w:uiPriority w:val="20"/>
    <w:qFormat/>
    <w:pPr>
      <w:pBdr/>
      <w:spacing/>
      <w:ind/>
    </w:pPr>
    <w:rPr>
      <w:i/>
      <w:iCs/>
    </w:rPr>
  </w:style>
  <w:style w:type="character" w:styleId="972">
    <w:name w:val="Subtle Reference"/>
    <w:basedOn w:val="882"/>
    <w:uiPriority w:val="31"/>
    <w:qFormat/>
    <w:pPr>
      <w:pBdr/>
      <w:spacing/>
      <w:ind/>
    </w:pPr>
    <w:rPr>
      <w:smallCaps/>
      <w:color w:val="5a5a5a" w:themeColor="text1" w:themeTint="A5"/>
    </w:rPr>
  </w:style>
  <w:style w:type="character" w:styleId="973">
    <w:name w:val="Book Title"/>
    <w:basedOn w:val="882"/>
    <w:uiPriority w:val="33"/>
    <w:qFormat/>
    <w:pPr>
      <w:pBdr/>
      <w:spacing/>
      <w:ind/>
    </w:pPr>
    <w:rPr>
      <w:b/>
      <w:bCs/>
      <w:i/>
      <w:iCs/>
      <w:spacing w:val="5"/>
    </w:rPr>
  </w:style>
  <w:style w:type="character" w:styleId="974">
    <w:name w:val="FollowedHyperlink"/>
    <w:basedOn w:val="882"/>
    <w:uiPriority w:val="99"/>
    <w:semiHidden/>
    <w:unhideWhenUsed/>
    <w:pPr>
      <w:pBdr/>
      <w:spacing/>
      <w:ind/>
    </w:pPr>
    <w:rPr>
      <w:color w:val="800080" w:themeColor="followedHyperlink"/>
      <w:u w:val="single"/>
    </w:rPr>
  </w:style>
  <w:style w:type="paragraph" w:styleId="975">
    <w:name w:val="Caption"/>
    <w:basedOn w:val="872"/>
    <w:next w:val="872"/>
    <w:uiPriority w:val="35"/>
    <w:semiHidden/>
    <w:unhideWhenUsed/>
    <w:qFormat/>
    <w:pPr>
      <w:pBdr/>
      <w:spacing w:line="276" w:lineRule="auto"/>
      <w:ind/>
    </w:pPr>
    <w:rPr>
      <w:b/>
      <w:bCs/>
      <w:color w:val="4f81bd" w:themeColor="accent1"/>
      <w:sz w:val="18"/>
      <w:szCs w:val="18"/>
    </w:rPr>
  </w:style>
  <w:style w:type="character" w:styleId="976" w:customStyle="1">
    <w:name w:val="Caption Char"/>
    <w:uiPriority w:val="99"/>
    <w:pPr>
      <w:pBdr/>
      <w:spacing/>
      <w:ind/>
    </w:pPr>
  </w:style>
  <w:style w:type="table" w:styleId="977">
    <w:name w:val="Plain Table 1"/>
    <w:basedOn w:val="88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2"/>
    <w:basedOn w:val="88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Plain Table 3"/>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Plain Table 4"/>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Plain Table 5"/>
    <w:basedOn w:val="88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right w:val="single" w:color="404040" w:sz="4" w:space="0"/>
        </w:tcBorders>
      </w:tcPr>
    </w:tblStylePr>
    <w:tblStylePr w:type="firstRow">
      <w:rPr>
        <w:i/>
        <w:color w:val="404040"/>
      </w:rPr>
      <w:pPr>
        <w:pBdr/>
        <w:spacing/>
        <w:ind/>
      </w:pPr>
      <w:tblPr>
        <w:tblBorders/>
      </w:tblPr>
      <w:tcPr>
        <w:shd w:val="clear" w:color="auto"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auto"/>
        <w:tcBorders>
          <w:left w:val="single" w:color="404040" w:sz="4" w:space="0"/>
        </w:tcBorders>
      </w:tcPr>
    </w:tblStylePr>
    <w:tblStylePr w:type="lastRow">
      <w:rPr>
        <w:i/>
        <w:color w:val="404040"/>
      </w:rPr>
      <w:pPr>
        <w:pBdr/>
        <w:spacing/>
        <w:ind/>
      </w:pPr>
      <w:tblPr>
        <w:tblBorders/>
      </w:tblPr>
      <w:tcPr>
        <w:shd w:val="clear" w:color="auto"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w:basedOn w:val="88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w:basedOn w:val="88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3"/>
    <w:basedOn w:val="88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4"/>
    <w:basedOn w:val="88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5 Dark"/>
    <w:basedOn w:val="88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6 Colorful"/>
    <w:basedOn w:val="88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w:basedOn w:val="88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w:basedOn w:val="883"/>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w:basedOn w:val="88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3"/>
    <w:basedOn w:val="88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w:basedOn w:val="88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w:basedOn w:val="88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w:basedOn w:val="88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w:basedOn w:val="88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endnote text"/>
    <w:basedOn w:val="872"/>
    <w:link w:val="997"/>
    <w:uiPriority w:val="99"/>
    <w:semiHidden/>
    <w:unhideWhenUsed/>
    <w:pPr>
      <w:pBdr/>
      <w:spacing/>
      <w:ind/>
    </w:pPr>
    <w:rPr>
      <w:sz w:val="20"/>
    </w:rPr>
  </w:style>
  <w:style w:type="character" w:styleId="997" w:customStyle="1">
    <w:name w:val="Endnote Text Char"/>
    <w:link w:val="996"/>
    <w:uiPriority w:val="99"/>
    <w:pPr>
      <w:pBdr/>
      <w:spacing/>
      <w:ind/>
    </w:pPr>
    <w:rPr>
      <w:sz w:val="20"/>
    </w:rPr>
  </w:style>
  <w:style w:type="character" w:styleId="998">
    <w:name w:val="endnote reference"/>
    <w:basedOn w:val="882"/>
    <w:uiPriority w:val="99"/>
    <w:semiHidden/>
    <w:unhideWhenUsed/>
    <w:pPr>
      <w:pBdr/>
      <w:spacing/>
      <w:ind/>
    </w:pPr>
    <w:rPr>
      <w:vertAlign w:val="superscript"/>
    </w:rPr>
  </w:style>
  <w:style w:type="paragraph" w:styleId="999">
    <w:name w:val="table of figures"/>
    <w:basedOn w:val="872"/>
    <w:next w:val="872"/>
    <w:uiPriority w:val="99"/>
    <w:unhideWhenUsed/>
    <w:pPr>
      <w:pBdr/>
      <w:spacing/>
      <w:ind/>
    </w:pPr>
  </w:style>
  <w:style w:type="character" w:styleId="1000" w:customStyle="1">
    <w:name w:val="Heading 1 Char"/>
    <w:basedOn w:val="882"/>
    <w:link w:val="873"/>
    <w:uiPriority w:val="9"/>
    <w:pPr>
      <w:pBdr/>
      <w:spacing/>
      <w:ind/>
    </w:pPr>
    <w:rPr>
      <w:rFonts w:ascii="Arial" w:hAnsi="Arial" w:eastAsia="Arial" w:cs="Arial"/>
      <w:sz w:val="40"/>
      <w:szCs w:val="40"/>
    </w:rPr>
  </w:style>
  <w:style w:type="character" w:styleId="1001" w:customStyle="1">
    <w:name w:val="Heading 2 Char"/>
    <w:basedOn w:val="882"/>
    <w:link w:val="874"/>
    <w:uiPriority w:val="9"/>
    <w:pPr>
      <w:pBdr/>
      <w:spacing/>
      <w:ind/>
    </w:pPr>
    <w:rPr>
      <w:rFonts w:ascii="Arial" w:hAnsi="Arial" w:eastAsia="Arial" w:cs="Arial"/>
      <w:sz w:val="34"/>
    </w:rPr>
  </w:style>
  <w:style w:type="character" w:styleId="1002" w:customStyle="1">
    <w:name w:val="Heading 3 Char"/>
    <w:basedOn w:val="882"/>
    <w:link w:val="875"/>
    <w:uiPriority w:val="9"/>
    <w:pPr>
      <w:pBdr/>
      <w:spacing/>
      <w:ind/>
    </w:pPr>
    <w:rPr>
      <w:rFonts w:ascii="Arial" w:hAnsi="Arial" w:eastAsia="Arial" w:cs="Arial"/>
      <w:sz w:val="30"/>
      <w:szCs w:val="30"/>
    </w:rPr>
  </w:style>
  <w:style w:type="character" w:styleId="1003" w:customStyle="1">
    <w:name w:val="Heading 4 Char"/>
    <w:basedOn w:val="882"/>
    <w:link w:val="876"/>
    <w:uiPriority w:val="9"/>
    <w:pPr>
      <w:pBdr/>
      <w:spacing/>
      <w:ind/>
    </w:pPr>
    <w:rPr>
      <w:rFonts w:ascii="Arial" w:hAnsi="Arial" w:eastAsia="Arial" w:cs="Arial"/>
      <w:b/>
      <w:bCs/>
      <w:sz w:val="26"/>
      <w:szCs w:val="26"/>
    </w:rPr>
  </w:style>
  <w:style w:type="character" w:styleId="1004" w:customStyle="1">
    <w:name w:val="Heading 5 Char"/>
    <w:basedOn w:val="882"/>
    <w:link w:val="877"/>
    <w:uiPriority w:val="9"/>
    <w:pPr>
      <w:pBdr/>
      <w:spacing/>
      <w:ind/>
    </w:pPr>
    <w:rPr>
      <w:rFonts w:ascii="Arial" w:hAnsi="Arial" w:eastAsia="Arial" w:cs="Arial"/>
      <w:b/>
      <w:bCs/>
      <w:sz w:val="24"/>
      <w:szCs w:val="24"/>
    </w:rPr>
  </w:style>
  <w:style w:type="character" w:styleId="1005" w:customStyle="1">
    <w:name w:val="Heading 6 Char"/>
    <w:basedOn w:val="882"/>
    <w:link w:val="878"/>
    <w:uiPriority w:val="9"/>
    <w:pPr>
      <w:pBdr/>
      <w:spacing/>
      <w:ind/>
    </w:pPr>
    <w:rPr>
      <w:rFonts w:ascii="Arial" w:hAnsi="Arial" w:eastAsia="Arial" w:cs="Arial"/>
      <w:b/>
      <w:bCs/>
      <w:sz w:val="22"/>
      <w:szCs w:val="22"/>
    </w:rPr>
  </w:style>
  <w:style w:type="character" w:styleId="1006" w:customStyle="1">
    <w:name w:val="Heading 7 Char"/>
    <w:basedOn w:val="882"/>
    <w:link w:val="879"/>
    <w:uiPriority w:val="9"/>
    <w:pPr>
      <w:pBdr/>
      <w:spacing/>
      <w:ind/>
    </w:pPr>
    <w:rPr>
      <w:rFonts w:ascii="Arial" w:hAnsi="Arial" w:eastAsia="Arial" w:cs="Arial"/>
      <w:b/>
      <w:bCs/>
      <w:i/>
      <w:iCs/>
      <w:sz w:val="22"/>
      <w:szCs w:val="22"/>
    </w:rPr>
  </w:style>
  <w:style w:type="character" w:styleId="1007" w:customStyle="1">
    <w:name w:val="Heading 8 Char"/>
    <w:basedOn w:val="882"/>
    <w:link w:val="880"/>
    <w:uiPriority w:val="9"/>
    <w:pPr>
      <w:pBdr/>
      <w:spacing/>
      <w:ind/>
    </w:pPr>
    <w:rPr>
      <w:rFonts w:ascii="Arial" w:hAnsi="Arial" w:eastAsia="Arial" w:cs="Arial"/>
      <w:i/>
      <w:iCs/>
      <w:sz w:val="22"/>
      <w:szCs w:val="22"/>
    </w:rPr>
  </w:style>
  <w:style w:type="character" w:styleId="1008" w:customStyle="1">
    <w:name w:val="Heading 9 Char"/>
    <w:basedOn w:val="882"/>
    <w:link w:val="881"/>
    <w:uiPriority w:val="9"/>
    <w:pPr>
      <w:pBdr/>
      <w:spacing/>
      <w:ind/>
    </w:pPr>
    <w:rPr>
      <w:rFonts w:ascii="Arial" w:hAnsi="Arial" w:eastAsia="Arial" w:cs="Arial"/>
      <w:i/>
      <w:iCs/>
      <w:sz w:val="21"/>
      <w:szCs w:val="21"/>
    </w:rPr>
  </w:style>
  <w:style w:type="paragraph" w:styleId="1009">
    <w:name w:val="List Paragraph"/>
    <w:basedOn w:val="872"/>
    <w:uiPriority w:val="34"/>
    <w:qFormat/>
    <w:pPr>
      <w:pBdr/>
      <w:spacing/>
      <w:ind w:left="720"/>
      <w:contextualSpacing w:val="true"/>
    </w:pPr>
  </w:style>
  <w:style w:type="paragraph" w:styleId="1010">
    <w:name w:val="No Spacing"/>
    <w:uiPriority w:val="1"/>
    <w:qFormat/>
    <w:pPr>
      <w:pBdr/>
      <w:spacing/>
      <w:ind/>
    </w:pPr>
  </w:style>
  <w:style w:type="paragraph" w:styleId="1011">
    <w:name w:val="Title"/>
    <w:basedOn w:val="872"/>
    <w:next w:val="872"/>
    <w:link w:val="1012"/>
    <w:uiPriority w:val="10"/>
    <w:qFormat/>
    <w:pPr>
      <w:pBdr/>
      <w:spacing w:after="200" w:before="300"/>
      <w:ind/>
      <w:contextualSpacing w:val="true"/>
    </w:pPr>
    <w:rPr>
      <w:sz w:val="48"/>
      <w:szCs w:val="48"/>
    </w:rPr>
  </w:style>
  <w:style w:type="character" w:styleId="1012" w:customStyle="1">
    <w:name w:val="Title Char"/>
    <w:basedOn w:val="882"/>
    <w:link w:val="1011"/>
    <w:uiPriority w:val="10"/>
    <w:pPr>
      <w:pBdr/>
      <w:spacing/>
      <w:ind/>
    </w:pPr>
    <w:rPr>
      <w:sz w:val="48"/>
      <w:szCs w:val="48"/>
    </w:rPr>
  </w:style>
  <w:style w:type="paragraph" w:styleId="1013">
    <w:name w:val="Subtitle"/>
    <w:basedOn w:val="872"/>
    <w:next w:val="872"/>
    <w:link w:val="1014"/>
    <w:uiPriority w:val="11"/>
    <w:qFormat/>
    <w:pPr>
      <w:pBdr/>
      <w:spacing w:after="200" w:before="200"/>
      <w:ind/>
    </w:pPr>
    <w:rPr>
      <w:sz w:val="24"/>
      <w:szCs w:val="24"/>
    </w:rPr>
  </w:style>
  <w:style w:type="character" w:styleId="1014" w:customStyle="1">
    <w:name w:val="Subtitle Char"/>
    <w:basedOn w:val="882"/>
    <w:link w:val="1013"/>
    <w:uiPriority w:val="11"/>
    <w:pPr>
      <w:pBdr/>
      <w:spacing/>
      <w:ind/>
    </w:pPr>
    <w:rPr>
      <w:sz w:val="24"/>
      <w:szCs w:val="24"/>
    </w:rPr>
  </w:style>
  <w:style w:type="paragraph" w:styleId="1015">
    <w:name w:val="Quote"/>
    <w:basedOn w:val="872"/>
    <w:next w:val="872"/>
    <w:link w:val="1016"/>
    <w:uiPriority w:val="29"/>
    <w:qFormat/>
    <w:pPr>
      <w:pBdr/>
      <w:spacing/>
      <w:ind w:right="720" w:left="720"/>
    </w:pPr>
    <w:rPr>
      <w:i/>
    </w:rPr>
  </w:style>
  <w:style w:type="character" w:styleId="1016" w:customStyle="1">
    <w:name w:val="Quote Char"/>
    <w:link w:val="1015"/>
    <w:uiPriority w:val="29"/>
    <w:pPr>
      <w:pBdr/>
      <w:spacing/>
      <w:ind/>
    </w:pPr>
    <w:rPr>
      <w:i/>
    </w:rPr>
  </w:style>
  <w:style w:type="paragraph" w:styleId="1017">
    <w:name w:val="Intense Quote"/>
    <w:basedOn w:val="872"/>
    <w:next w:val="872"/>
    <w:link w:val="1018"/>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18" w:customStyle="1">
    <w:name w:val="Intense Quote Char"/>
    <w:link w:val="1017"/>
    <w:uiPriority w:val="30"/>
    <w:pPr>
      <w:pBdr/>
      <w:spacing/>
      <w:ind/>
    </w:pPr>
    <w:rPr>
      <w:i/>
    </w:rPr>
  </w:style>
  <w:style w:type="character" w:styleId="1019" w:customStyle="1">
    <w:name w:val="Header Char"/>
    <w:basedOn w:val="882"/>
    <w:link w:val="1161"/>
    <w:uiPriority w:val="99"/>
    <w:pPr>
      <w:pBdr/>
      <w:spacing/>
      <w:ind/>
    </w:pPr>
  </w:style>
  <w:style w:type="character" w:styleId="1020" w:customStyle="1">
    <w:name w:val="Footer Char"/>
    <w:basedOn w:val="882"/>
    <w:link w:val="1165"/>
    <w:uiPriority w:val="99"/>
    <w:pPr>
      <w:pBdr/>
      <w:spacing/>
      <w:ind/>
    </w:pPr>
  </w:style>
  <w:style w:type="table" w:styleId="1021">
    <w:name w:val="Table Grid"/>
    <w:uiPriority w:val="39"/>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Table Grid Light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Plain Table 1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Plain Table 21"/>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Plain Table 3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Plain Table 4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Plain Table 5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1 Light1"/>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1 Light - Accent 1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1 Light - Accent 21"/>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1 Light - Accent 31"/>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1 Light - Accent 41"/>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1 Light - Accent 51"/>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1 Light - Accent 61"/>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2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2 - Accent 1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2 - Accent 2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2 - Accent 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2 - Accent 4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2 - Accent 5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2 - Accent 6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3 - Accent 1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3 - Accent 2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3 - Accent 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Grid Table 3 - Accent 4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3 - Accent 5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3 - Accent 6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41"/>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4 - Accent 11"/>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4 - Accent 21"/>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4 - Accent 31"/>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Grid Table 4 - Accent 41"/>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Grid Table 4 - Accent 51"/>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4 - Accent 61"/>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Grid Table 5 Dark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CellMar>
        <w:left w:w="0" w:type="dxa"/>
        <w:top w:w="0" w:type="dxa"/>
        <w:right w:w="0" w:type="dxa"/>
        <w:bottom w:w="0" w:type="dxa"/>
      </w:tblCellMar>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Grid Table 5 Dark- Accent 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CellMar>
        <w:left w:w="0" w:type="dxa"/>
        <w:top w:w="0" w:type="dxa"/>
        <w:right w:w="0" w:type="dxa"/>
        <w:bottom w:w="0" w:type="dxa"/>
      </w:tblCellMar>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Grid Table 5 Dark - Accent 2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CellMar>
        <w:left w:w="0" w:type="dxa"/>
        <w:top w:w="0" w:type="dxa"/>
        <w:right w:w="0" w:type="dxa"/>
        <w:bottom w:w="0" w:type="dxa"/>
      </w:tblCellMar>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Grid Table 5 Dark - Accent 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CellMar>
        <w:left w:w="0" w:type="dxa"/>
        <w:top w:w="0" w:type="dxa"/>
        <w:right w:w="0" w:type="dxa"/>
        <w:bottom w:w="0" w:type="dxa"/>
      </w:tblCellMar>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Grid Table 5 Dark- Accent 4"/>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CellMar>
        <w:left w:w="0" w:type="dxa"/>
        <w:top w:w="0" w:type="dxa"/>
        <w:right w:w="0" w:type="dxa"/>
        <w:bottom w:w="0" w:type="dxa"/>
      </w:tblCellMar>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Grid Table 5 Dark - Accent 5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CellMar>
        <w:left w:w="0" w:type="dxa"/>
        <w:top w:w="0" w:type="dxa"/>
        <w:right w:w="0" w:type="dxa"/>
        <w:bottom w:w="0" w:type="dxa"/>
      </w:tblCellMar>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Grid Table 5 Dark - Accent 6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CellMar>
        <w:left w:w="0" w:type="dxa"/>
        <w:top w:w="0" w:type="dxa"/>
        <w:right w:w="0" w:type="dxa"/>
        <w:bottom w:w="0" w:type="dxa"/>
      </w:tblCellMar>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Grid Table 6 Colorful1"/>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Grid Table 6 Colorful - Accent 11"/>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Grid Table 6 Colorful - Accent 2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Grid Table 6 Colorful - Accent 31"/>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Grid Table 6 Colorful - Accent 4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Grid Table 6 Colorful - Accent 51"/>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Grid Table 6 Colorful - Accent 61"/>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Grid Table 7 Colorful1"/>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Grid Table 7 Colorful - Accent 11"/>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7 Colorful - Accent 21"/>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7 Colorful - Accent 31"/>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7 Colorful - Accent 41"/>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7 Colorful - Accent 51"/>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7 Colorful - Accent 61"/>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1 Light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1 Light - Accent 1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1 Light - Accent 2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1 Light - Accent 3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1 Light - Accent 4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1 Light - Accent 5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1 Light - Accent 61"/>
    <w:uiPriority w:val="99"/>
    <w:pPr>
      <w:pBdr/>
      <w:spacing/>
      <w:ind/>
    </w:pPr>
    <w:tblPr>
      <w:tblStyleRowBandSize w:val="1"/>
      <w:tblStyleColBandSize w:val="1"/>
      <w:tblInd w:w="0" w:type="dxa"/>
      <w:tblBorders/>
      <w:tblCellMar>
        <w:left w:w="0" w:type="dxa"/>
        <w:top w:w="0" w:type="dxa"/>
        <w:right w:w="0" w:type="dxa"/>
        <w:bottom w:w="0" w:type="dxa"/>
      </w:tblCellMar>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21"/>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2 - Accent 11"/>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2 - Accent 21"/>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2 - Accent 31"/>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2 - Accent 41"/>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2 - Accent 51"/>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2 - Accent 61"/>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3 - Accent 11"/>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3 - Accent 2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3 - Accent 31"/>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List Table 3 - Accent 4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3 - Accent 51"/>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3 - Accent 61"/>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4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4 - Accent 11"/>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4 - Accent 21"/>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4 - Accent 31"/>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4 - Accent 41"/>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4 - Accent 51"/>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4 - Accent 61"/>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st Table 5 Dark1"/>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CellMar>
        <w:left w:w="0" w:type="dxa"/>
        <w:top w:w="0" w:type="dxa"/>
        <w:right w:w="0" w:type="dxa"/>
        <w:bottom w:w="0" w:type="dxa"/>
      </w:tblCellMar>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st Table 5 Dark - Accent 11"/>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CellMar>
        <w:left w:w="0" w:type="dxa"/>
        <w:top w:w="0" w:type="dxa"/>
        <w:right w:w="0" w:type="dxa"/>
        <w:bottom w:w="0" w:type="dxa"/>
      </w:tblCellMar>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st Table 5 Dark - Accent 21"/>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CellMar>
        <w:left w:w="0" w:type="dxa"/>
        <w:top w:w="0" w:type="dxa"/>
        <w:right w:w="0" w:type="dxa"/>
        <w:bottom w:w="0" w:type="dxa"/>
      </w:tblCellMar>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st Table 5 Dark - Accent 31"/>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CellMar>
        <w:left w:w="0" w:type="dxa"/>
        <w:top w:w="0" w:type="dxa"/>
        <w:right w:w="0" w:type="dxa"/>
        <w:bottom w:w="0" w:type="dxa"/>
      </w:tblCellMar>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5 Dark - Accent 41"/>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CellMar>
        <w:left w:w="0" w:type="dxa"/>
        <w:top w:w="0" w:type="dxa"/>
        <w:right w:w="0" w:type="dxa"/>
        <w:bottom w:w="0" w:type="dxa"/>
      </w:tblCellMar>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5 Dark - Accent 51"/>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CellMar>
        <w:left w:w="0" w:type="dxa"/>
        <w:top w:w="0" w:type="dxa"/>
        <w:right w:w="0" w:type="dxa"/>
        <w:bottom w:w="0" w:type="dxa"/>
      </w:tblCellMar>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5 Dark - Accent 61"/>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CellMar>
        <w:left w:w="0" w:type="dxa"/>
        <w:top w:w="0" w:type="dxa"/>
        <w:right w:w="0" w:type="dxa"/>
        <w:bottom w:w="0" w:type="dxa"/>
      </w:tblCellMar>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6 Colorful1"/>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6 Colorful - Accent 11"/>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0" w:type="dxa"/>
        <w:top w:w="0" w:type="dxa"/>
        <w:right w:w="0"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6 Colorful - Accent 21"/>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6 Colorful - Accent 31"/>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st Table 6 Colorful - Accent 41"/>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st Table 6 Colorful - Accent 51"/>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st Table 6 Colorful - Accent 61"/>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st Table 7 Colorful1"/>
    <w:uiPriority w:val="99"/>
    <w:pPr>
      <w:pBdr/>
      <w:spacing/>
      <w:ind/>
    </w:pPr>
    <w:tblPr>
      <w:tblStyleRowBandSize w:val="1"/>
      <w:tblStyleColBandSize w:val="1"/>
      <w:tblInd w:w="0" w:type="dxa"/>
      <w:tblBorders>
        <w:right w:val="single" w:color="7f7f7f" w:themeColor="text1" w:themeTint="80" w:sz="4" w:space="0"/>
      </w:tblBorders>
      <w:tblCellMar>
        <w:left w:w="0" w:type="dxa"/>
        <w:top w:w="0" w:type="dxa"/>
        <w:right w:w="0"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7 Colorful - Accent 11"/>
    <w:uiPriority w:val="99"/>
    <w:pPr>
      <w:pBdr/>
      <w:spacing/>
      <w:ind/>
    </w:pPr>
    <w:tblPr>
      <w:tblStyleRowBandSize w:val="1"/>
      <w:tblStyleColBandSize w:val="1"/>
      <w:tblInd w:w="0" w:type="dxa"/>
      <w:tblBorders>
        <w:right w:val="single" w:color="4f81bd" w:themeColor="accent1" w:sz="4" w:space="0"/>
      </w:tblBorders>
      <w:tblCellMar>
        <w:left w:w="0" w:type="dxa"/>
        <w:top w:w="0" w:type="dxa"/>
        <w:right w:w="0"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7 Colorful - Accent 21"/>
    <w:uiPriority w:val="99"/>
    <w:pPr>
      <w:pBdr/>
      <w:spacing/>
      <w:ind/>
    </w:pPr>
    <w:tblPr>
      <w:tblStyleRowBandSize w:val="1"/>
      <w:tblStyleColBandSize w:val="1"/>
      <w:tblInd w:w="0" w:type="dxa"/>
      <w:tblBorders>
        <w:right w:val="single" w:color="d99695" w:themeColor="accent2" w:themeTint="97" w:sz="4" w:space="0"/>
      </w:tblBorders>
      <w:tblCellMar>
        <w:left w:w="0" w:type="dxa"/>
        <w:top w:w="0" w:type="dxa"/>
        <w:right w:w="0"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7 Colorful - Accent 31"/>
    <w:uiPriority w:val="99"/>
    <w:pPr>
      <w:pBdr/>
      <w:spacing/>
      <w:ind/>
    </w:pPr>
    <w:tblPr>
      <w:tblStyleRowBandSize w:val="1"/>
      <w:tblStyleColBandSize w:val="1"/>
      <w:tblInd w:w="0" w:type="dxa"/>
      <w:tblBorders>
        <w:right w:val="single" w:color="c3d69b" w:themeColor="accent3" w:themeTint="98" w:sz="4" w:space="0"/>
      </w:tblBorders>
      <w:tblCellMar>
        <w:left w:w="0" w:type="dxa"/>
        <w:top w:w="0" w:type="dxa"/>
        <w:right w:w="0"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7 Colorful - Accent 41"/>
    <w:uiPriority w:val="99"/>
    <w:pPr>
      <w:pBdr/>
      <w:spacing/>
      <w:ind/>
    </w:pPr>
    <w:tblPr>
      <w:tblStyleRowBandSize w:val="1"/>
      <w:tblStyleColBandSize w:val="1"/>
      <w:tblInd w:w="0" w:type="dxa"/>
      <w:tblBorders>
        <w:right w:val="single" w:color="b2a1c6" w:themeColor="accent4" w:themeTint="9A" w:sz="4" w:space="0"/>
      </w:tblBorders>
      <w:tblCellMar>
        <w:left w:w="0" w:type="dxa"/>
        <w:top w:w="0" w:type="dxa"/>
        <w:right w:w="0"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7 Colorful - Accent 51"/>
    <w:uiPriority w:val="99"/>
    <w:pPr>
      <w:pBdr/>
      <w:spacing/>
      <w:ind/>
    </w:pPr>
    <w:tblPr>
      <w:tblStyleRowBandSize w:val="1"/>
      <w:tblStyleColBandSize w:val="1"/>
      <w:tblInd w:w="0" w:type="dxa"/>
      <w:tblBorders>
        <w:right w:val="single" w:color="92ccdc" w:themeColor="accent5" w:themeTint="9A" w:sz="4" w:space="0"/>
      </w:tblBorders>
      <w:tblCellMar>
        <w:left w:w="0" w:type="dxa"/>
        <w:top w:w="0" w:type="dxa"/>
        <w:right w:w="0"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7 Colorful - Accent 61"/>
    <w:uiPriority w:val="99"/>
    <w:pPr>
      <w:pBdr/>
      <w:spacing/>
      <w:ind/>
    </w:pPr>
    <w:tblPr>
      <w:tblStyleRowBandSize w:val="1"/>
      <w:tblStyleColBandSize w:val="1"/>
      <w:tblInd w:w="0" w:type="dxa"/>
      <w:tblBorders>
        <w:right w:val="single" w:color="fac090" w:themeColor="accent6" w:themeTint="98" w:sz="4" w:space="0"/>
      </w:tblBorders>
      <w:tblCellMar>
        <w:left w:w="0" w:type="dxa"/>
        <w:top w:w="0" w:type="dxa"/>
        <w:right w:w="0"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ned - Accent"/>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ned - Accent 1"/>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ned - Accent 2"/>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ned - Accent 3"/>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ned - Accent 4"/>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Lined - Accent 5"/>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ned - Accent 6"/>
    <w:uiPriority w:val="99"/>
    <w:pPr>
      <w:pBdr/>
      <w:spacing/>
      <w:ind/>
    </w:pPr>
    <w:rPr>
      <w:color w:val="404040"/>
      <w:szCs w:val="20"/>
      <w:lang w:val="en-GB" w:eastAsia="en-GB" w:bidi="ar-SA"/>
    </w:rPr>
    <w:tblPr>
      <w:tblStyleRowBandSize w:val="1"/>
      <w:tblStyleColBandSize w:val="1"/>
      <w:tblInd w:w="0" w:type="dxa"/>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Bordered &amp; Lined - Accent"/>
    <w:uiPriority w:val="99"/>
    <w:pPr>
      <w:pBdr/>
      <w:spacing/>
      <w:ind/>
    </w:pPr>
    <w:rPr>
      <w:color w:val="404040"/>
      <w:szCs w:val="20"/>
      <w:lang w:val="en-GB" w:eastAsia="en-GB" w:bidi="ar-SA"/>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Bordered &amp; Lined - Accent 1"/>
    <w:uiPriority w:val="99"/>
    <w:pPr>
      <w:pBdr/>
      <w:spacing/>
      <w:ind/>
    </w:pPr>
    <w:rPr>
      <w:color w:val="404040"/>
      <w:szCs w:val="20"/>
      <w:lang w:val="en-GB" w:eastAsia="en-GB" w:bidi="ar-SA"/>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Bordered &amp; Lined - Accent 2"/>
    <w:uiPriority w:val="99"/>
    <w:pPr>
      <w:pBdr/>
      <w:spacing/>
      <w:ind/>
    </w:pPr>
    <w:rPr>
      <w:color w:val="404040"/>
      <w:szCs w:val="20"/>
      <w:lang w:val="en-GB" w:eastAsia="en-GB" w:bidi="ar-SA"/>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Bordered &amp; Lined - Accent 3"/>
    <w:uiPriority w:val="99"/>
    <w:pPr>
      <w:pBdr/>
      <w:spacing/>
      <w:ind/>
    </w:pPr>
    <w:rPr>
      <w:color w:val="404040"/>
      <w:szCs w:val="20"/>
      <w:lang w:val="en-GB" w:eastAsia="en-GB" w:bidi="ar-SA"/>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Bordered &amp; Lined - Accent 4"/>
    <w:uiPriority w:val="99"/>
    <w:pPr>
      <w:pBdr/>
      <w:spacing/>
      <w:ind/>
    </w:pPr>
    <w:rPr>
      <w:color w:val="404040"/>
      <w:szCs w:val="20"/>
      <w:lang w:val="en-GB" w:eastAsia="en-GB" w:bidi="ar-SA"/>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Bordered &amp; Lined - Accent 5"/>
    <w:uiPriority w:val="99"/>
    <w:pPr>
      <w:pBdr/>
      <w:spacing/>
      <w:ind/>
    </w:pPr>
    <w:rPr>
      <w:color w:val="404040"/>
      <w:szCs w:val="20"/>
      <w:lang w:val="en-GB" w:eastAsia="en-GB" w:bidi="ar-SA"/>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Bordered &amp; Lined - Accent 6"/>
    <w:uiPriority w:val="99"/>
    <w:pPr>
      <w:pBdr/>
      <w:spacing/>
      <w:ind/>
    </w:pPr>
    <w:rPr>
      <w:color w:val="404040"/>
      <w:szCs w:val="20"/>
      <w:lang w:val="en-GB" w:eastAsia="en-GB" w:bidi="ar-SA"/>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Bordered"/>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Bordered - Accent 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Bordered - Accent 2"/>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Bordered - Accent 3"/>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Bordered - Accent 4"/>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Bordered - Accent 5"/>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Bordered - Accent 6"/>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47">
    <w:name w:val="Hyperlink"/>
    <w:uiPriority w:val="99"/>
    <w:unhideWhenUsed/>
    <w:pPr>
      <w:pBdr/>
      <w:spacing/>
      <w:ind/>
    </w:pPr>
    <w:rPr>
      <w:color w:val="0000ff" w:themeColor="hyperlink"/>
      <w:u w:val="single"/>
    </w:rPr>
  </w:style>
  <w:style w:type="paragraph" w:styleId="1148">
    <w:name w:val="footnote text"/>
    <w:basedOn w:val="872"/>
    <w:link w:val="1149"/>
    <w:uiPriority w:val="99"/>
    <w:semiHidden/>
    <w:unhideWhenUsed/>
    <w:pPr>
      <w:pBdr/>
      <w:spacing w:after="40"/>
      <w:ind/>
    </w:pPr>
    <w:rPr>
      <w:sz w:val="18"/>
    </w:rPr>
  </w:style>
  <w:style w:type="character" w:styleId="1149" w:customStyle="1">
    <w:name w:val="Footnote Text Char"/>
    <w:link w:val="1148"/>
    <w:uiPriority w:val="99"/>
    <w:pPr>
      <w:pBdr/>
      <w:spacing/>
      <w:ind/>
    </w:pPr>
    <w:rPr>
      <w:sz w:val="18"/>
    </w:rPr>
  </w:style>
  <w:style w:type="character" w:styleId="1150">
    <w:name w:val="footnote reference"/>
    <w:basedOn w:val="882"/>
    <w:uiPriority w:val="99"/>
    <w:unhideWhenUsed/>
    <w:pPr>
      <w:pBdr/>
      <w:spacing/>
      <w:ind/>
    </w:pPr>
    <w:rPr>
      <w:vertAlign w:val="superscript"/>
    </w:rPr>
  </w:style>
  <w:style w:type="paragraph" w:styleId="1151">
    <w:name w:val="toc 1"/>
    <w:basedOn w:val="872"/>
    <w:next w:val="872"/>
    <w:uiPriority w:val="39"/>
    <w:unhideWhenUsed/>
    <w:pPr>
      <w:pBdr/>
      <w:spacing w:after="57"/>
      <w:ind/>
    </w:pPr>
  </w:style>
  <w:style w:type="paragraph" w:styleId="1152">
    <w:name w:val="toc 2"/>
    <w:basedOn w:val="872"/>
    <w:next w:val="872"/>
    <w:uiPriority w:val="39"/>
    <w:unhideWhenUsed/>
    <w:pPr>
      <w:pBdr/>
      <w:spacing w:after="57"/>
      <w:ind w:left="283"/>
    </w:pPr>
  </w:style>
  <w:style w:type="paragraph" w:styleId="1153">
    <w:name w:val="toc 3"/>
    <w:basedOn w:val="872"/>
    <w:next w:val="872"/>
    <w:uiPriority w:val="39"/>
    <w:unhideWhenUsed/>
    <w:pPr>
      <w:pBdr/>
      <w:spacing w:after="57"/>
      <w:ind w:left="567"/>
    </w:pPr>
  </w:style>
  <w:style w:type="paragraph" w:styleId="1154">
    <w:name w:val="toc 4"/>
    <w:basedOn w:val="872"/>
    <w:next w:val="872"/>
    <w:uiPriority w:val="39"/>
    <w:unhideWhenUsed/>
    <w:pPr>
      <w:pBdr/>
      <w:spacing w:after="57"/>
      <w:ind w:left="850"/>
    </w:pPr>
  </w:style>
  <w:style w:type="paragraph" w:styleId="1155">
    <w:name w:val="toc 5"/>
    <w:basedOn w:val="872"/>
    <w:next w:val="872"/>
    <w:uiPriority w:val="39"/>
    <w:unhideWhenUsed/>
    <w:pPr>
      <w:pBdr/>
      <w:spacing w:after="57"/>
      <w:ind w:left="1134"/>
    </w:pPr>
  </w:style>
  <w:style w:type="paragraph" w:styleId="1156">
    <w:name w:val="toc 6"/>
    <w:basedOn w:val="872"/>
    <w:next w:val="872"/>
    <w:uiPriority w:val="39"/>
    <w:unhideWhenUsed/>
    <w:pPr>
      <w:pBdr/>
      <w:spacing w:after="57"/>
      <w:ind w:left="1417"/>
    </w:pPr>
  </w:style>
  <w:style w:type="paragraph" w:styleId="1157">
    <w:name w:val="toc 7"/>
    <w:basedOn w:val="872"/>
    <w:next w:val="872"/>
    <w:uiPriority w:val="39"/>
    <w:unhideWhenUsed/>
    <w:pPr>
      <w:pBdr/>
      <w:spacing w:after="57"/>
      <w:ind w:left="1701"/>
    </w:pPr>
  </w:style>
  <w:style w:type="paragraph" w:styleId="1158">
    <w:name w:val="toc 8"/>
    <w:basedOn w:val="872"/>
    <w:next w:val="872"/>
    <w:uiPriority w:val="39"/>
    <w:unhideWhenUsed/>
    <w:pPr>
      <w:pBdr/>
      <w:spacing w:after="57"/>
      <w:ind w:left="1984"/>
    </w:pPr>
  </w:style>
  <w:style w:type="paragraph" w:styleId="1159">
    <w:name w:val="toc 9"/>
    <w:basedOn w:val="872"/>
    <w:next w:val="872"/>
    <w:uiPriority w:val="39"/>
    <w:unhideWhenUsed/>
    <w:pPr>
      <w:pBdr/>
      <w:spacing w:after="57"/>
      <w:ind w:left="2268"/>
    </w:pPr>
  </w:style>
  <w:style w:type="paragraph" w:styleId="1160">
    <w:name w:val="TOC Heading"/>
    <w:uiPriority w:val="39"/>
    <w:unhideWhenUsed/>
    <w:pPr>
      <w:pBdr/>
      <w:spacing/>
      <w:ind/>
    </w:pPr>
  </w:style>
  <w:style w:type="paragraph" w:styleId="1161">
    <w:name w:val="Header"/>
    <w:basedOn w:val="872"/>
    <w:link w:val="1019"/>
    <w:uiPriority w:val="99"/>
    <w:pPr>
      <w:pBdr/>
      <w:tabs>
        <w:tab w:val="center" w:leader="none" w:pos="4320"/>
        <w:tab w:val="right" w:leader="none" w:pos="8640"/>
      </w:tabs>
      <w:spacing/>
      <w:ind/>
    </w:pPr>
  </w:style>
  <w:style w:type="character" w:styleId="1162">
    <w:name w:val="page number"/>
    <w:basedOn w:val="882"/>
    <w:pPr>
      <w:pBdr/>
      <w:spacing/>
      <w:ind/>
    </w:pPr>
  </w:style>
  <w:style w:type="paragraph" w:styleId="1163">
    <w:name w:val="Balloon Text"/>
    <w:basedOn w:val="872"/>
    <w:semiHidden/>
    <w:pPr>
      <w:pBdr/>
      <w:spacing/>
      <w:ind/>
    </w:pPr>
    <w:rPr>
      <w:rFonts w:ascii="Tahoma" w:hAnsi="Tahoma"/>
      <w:sz w:val="16"/>
      <w:szCs w:val="16"/>
    </w:rPr>
  </w:style>
  <w:style w:type="paragraph" w:styleId="1164">
    <w:name w:val="Body Text Indent"/>
    <w:basedOn w:val="872"/>
    <w:pPr>
      <w:pBdr/>
      <w:spacing/>
      <w:ind w:firstLine="720"/>
      <w:jc w:val="both"/>
    </w:pPr>
  </w:style>
  <w:style w:type="paragraph" w:styleId="1165">
    <w:name w:val="Footer"/>
    <w:basedOn w:val="872"/>
    <w:link w:val="1020"/>
    <w:pPr>
      <w:pBdr/>
      <w:tabs>
        <w:tab w:val="center" w:leader="none" w:pos="4320"/>
        <w:tab w:val="right" w:leader="none" w:pos="8640"/>
      </w:tabs>
      <w:spacing/>
      <w:ind/>
    </w:pPr>
  </w:style>
  <w:style w:type="paragraph" w:styleId="1166">
    <w:name w:val="Normal (Web)"/>
    <w:basedOn w:val="872"/>
    <w:uiPriority w:val="99"/>
    <w:pPr>
      <w:pBdr/>
      <w:spacing w:after="100" w:afterAutospacing="1" w:before="100" w:beforeAutospacing="1"/>
      <w:ind/>
    </w:pPr>
    <w:rPr>
      <w:sz w:val="24"/>
      <w:szCs w:val="24"/>
    </w:rPr>
  </w:style>
  <w:style w:type="paragraph" w:styleId="1167">
    <w:name w:val="Body Text 2"/>
    <w:basedOn w:val="872"/>
    <w:link w:val="1168"/>
    <w:pPr>
      <w:pBdr/>
      <w:spacing w:after="120" w:line="480" w:lineRule="auto"/>
      <w:ind/>
    </w:pPr>
  </w:style>
  <w:style w:type="character" w:styleId="1168" w:customStyle="1">
    <w:name w:val="Body Text 2 Char"/>
    <w:link w:val="1167"/>
    <w:pPr>
      <w:pBdr/>
      <w:spacing/>
      <w:ind/>
    </w:pPr>
    <w:rPr>
      <w:sz w:val="28"/>
      <w:szCs w:val="28"/>
    </w:rPr>
  </w:style>
  <w:style w:type="character" w:styleId="1169">
    <w:name w:val="Strong"/>
    <w:pPr>
      <w:pBdr/>
      <w:spacing/>
      <w:ind/>
    </w:pPr>
    <w:rPr>
      <w:b/>
      <w:bCs/>
    </w:rPr>
  </w:style>
  <w:style w:type="character" w:styleId="1170" w:customStyle="1">
    <w:name w:val="Văn bản nội dung_"/>
    <w:link w:val="1171"/>
    <w:uiPriority w:val="99"/>
    <w:pPr>
      <w:pBdr/>
      <w:spacing/>
      <w:ind/>
    </w:pPr>
    <w:rPr>
      <w:sz w:val="26"/>
    </w:rPr>
  </w:style>
  <w:style w:type="paragraph" w:styleId="1171" w:customStyle="1">
    <w:name w:val="Văn bản nội dung"/>
    <w:basedOn w:val="872"/>
    <w:link w:val="1170"/>
    <w:uiPriority w:val="99"/>
    <w:pPr>
      <w:widowControl w:val="false"/>
      <w:pBdr>
        <w:top w:val="none" w:color="000000" w:sz="0" w:space="0"/>
        <w:left w:val="none" w:color="000000" w:sz="0" w:space="0"/>
        <w:bottom w:val="none" w:color="000000" w:sz="0" w:space="0"/>
        <w:right w:val="none" w:color="000000" w:sz="0" w:space="0"/>
        <w:between w:val="none" w:color="000000" w:sz="0" w:space="0"/>
      </w:pBdr>
      <w:spacing w:after="240" w:line="283" w:lineRule="auto"/>
      <w:ind w:firstLine="400"/>
    </w:pPr>
    <w:rPr>
      <w:sz w:val="26"/>
      <w:szCs w:val="22"/>
      <w:lang w:bidi="en-US"/>
    </w:rPr>
  </w:style>
  <w:style w:type="character" w:styleId="1172" w:customStyle="1">
    <w:name w:val="docdata"/>
    <w:basedOn w:val="88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bo-may-hanh-chinh/nghi-dinh-112-2020-nd-cp-xu-ly-ky-luat-can-bo-cong-chuc-vien-chuc-453227.aspx"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C7F184-784A-4AF3-BF7E-43636B45A4F4}"/>
</file>

<file path=customXml/itemProps2.xml><?xml version="1.0" encoding="utf-8"?>
<ds:datastoreItem xmlns:ds="http://schemas.openxmlformats.org/officeDocument/2006/customXml" ds:itemID="{A8F28402-EC9E-43AB-920D-A417685AC84A}"/>
</file>

<file path=customXml/itemProps3.xml><?xml version="1.0" encoding="utf-8"?>
<ds:datastoreItem xmlns:ds="http://schemas.openxmlformats.org/officeDocument/2006/customXml" ds:itemID="{6ABC8906-5E6D-42DC-A577-0F3CD75D7441}"/>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Lưu Hương Xuân</cp:lastModifiedBy>
  <cp:revision>26</cp:revision>
  <dcterms:created xsi:type="dcterms:W3CDTF">2025-09-30T04:00:00Z</dcterms:created>
  <dcterms:modified xsi:type="dcterms:W3CDTF">2025-10-08T08:56:59Z</dcterms:modified>
</cp:coreProperties>
</file>