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jc w:val="center"/>
        <w:tblCellMar>
          <w:left w:w="0" w:type="dxa"/>
          <w:right w:w="0" w:type="dxa"/>
        </w:tblCellMar>
        <w:tblLook w:val="04A0" w:firstRow="1" w:lastRow="0" w:firstColumn="1" w:lastColumn="0" w:noHBand="0" w:noVBand="1"/>
      </w:tblPr>
      <w:tblGrid>
        <w:gridCol w:w="3852"/>
        <w:gridCol w:w="6339"/>
      </w:tblGrid>
      <w:tr>
        <w:trPr>
          <w:trHeight w:val="853"/>
          <w:jc w:val="center"/>
        </w:trPr>
        <w:tc>
          <w:tcPr>
            <w:tcW w:w="3852" w:type="dxa"/>
            <w:tcMar>
              <w:top w:w="0" w:type="dxa"/>
              <w:left w:w="108" w:type="dxa"/>
              <w:bottom w:w="0" w:type="dxa"/>
              <w:right w:w="108" w:type="dxa"/>
            </w:tcMar>
          </w:tcPr>
          <w:p>
            <w:pPr>
              <w:jc w:val="center"/>
              <w:rPr>
                <w:b/>
                <w:bCs/>
                <w:sz w:val="26"/>
                <w:szCs w:val="26"/>
              </w:rPr>
            </w:pPr>
            <w:r>
              <w:rPr>
                <w:b/>
                <w:bCs/>
                <w:sz w:val="26"/>
                <w:szCs w:val="26"/>
              </w:rPr>
              <w:t xml:space="preserve">HỘI ĐỒNG NHÂN DÂN </w:t>
            </w:r>
            <w:r>
              <w:rPr>
                <w:b/>
                <w:bCs/>
                <w:sz w:val="26"/>
                <w:szCs w:val="26"/>
              </w:rPr>
              <w:br/>
              <w:t>TỈNH QUẢNG NINH</w:t>
            </w:r>
          </w:p>
          <w:p>
            <w:pPr>
              <w:jc w:val="center"/>
              <w:rPr>
                <w:sz w:val="20"/>
                <w:szCs w:val="20"/>
                <w:vertAlign w:val="superscript"/>
              </w:rPr>
            </w:pPr>
            <w:r>
              <w:rPr>
                <w:b/>
                <w:bCs/>
                <w:sz w:val="20"/>
                <w:szCs w:val="20"/>
                <w:vertAlign w:val="superscript"/>
              </w:rPr>
              <w:t>_________________</w:t>
            </w:r>
          </w:p>
        </w:tc>
        <w:tc>
          <w:tcPr>
            <w:tcW w:w="6339" w:type="dxa"/>
            <w:tcMar>
              <w:top w:w="0" w:type="dxa"/>
              <w:left w:w="108" w:type="dxa"/>
              <w:bottom w:w="0" w:type="dxa"/>
              <w:right w:w="108" w:type="dxa"/>
            </w:tcMar>
          </w:tcPr>
          <w:p>
            <w:pPr>
              <w:jc w:val="center"/>
              <w:rPr>
                <w:b/>
                <w:bCs/>
                <w:sz w:val="28"/>
                <w:szCs w:val="28"/>
              </w:rPr>
            </w:pPr>
            <w:r>
              <w:rPr>
                <w:b/>
                <w:bCs/>
                <w:sz w:val="26"/>
                <w:szCs w:val="26"/>
              </w:rPr>
              <w:t>CỘNG HÒA XÃ HỘI CHỦ NGHĨA VIỆT NAM</w:t>
            </w:r>
            <w:r>
              <w:rPr>
                <w:b/>
                <w:bCs/>
                <w:sz w:val="28"/>
                <w:szCs w:val="28"/>
              </w:rPr>
              <w:br/>
              <w:t>Độc lập - Tự do - Hạnh phúc</w:t>
            </w:r>
          </w:p>
          <w:p>
            <w:pPr>
              <w:jc w:val="center"/>
              <w:rPr>
                <w:sz w:val="20"/>
                <w:szCs w:val="20"/>
              </w:rPr>
            </w:pPr>
            <w:r>
              <w:rPr>
                <w:b/>
                <w:bCs/>
                <w:sz w:val="20"/>
                <w:szCs w:val="20"/>
                <w:vertAlign w:val="superscript"/>
              </w:rPr>
              <w:t>____________________________________________________</w:t>
            </w:r>
            <w:r>
              <w:rPr>
                <w:b/>
                <w:bCs/>
                <w:sz w:val="20"/>
                <w:szCs w:val="20"/>
              </w:rPr>
              <w:t xml:space="preserve"> </w:t>
            </w:r>
          </w:p>
        </w:tc>
      </w:tr>
      <w:tr>
        <w:trPr>
          <w:trHeight w:val="729"/>
          <w:jc w:val="center"/>
        </w:trPr>
        <w:tc>
          <w:tcPr>
            <w:tcW w:w="3852" w:type="dxa"/>
            <w:tcMar>
              <w:top w:w="0" w:type="dxa"/>
              <w:left w:w="108" w:type="dxa"/>
              <w:bottom w:w="0" w:type="dxa"/>
              <w:right w:w="108" w:type="dxa"/>
            </w:tcMar>
          </w:tcPr>
          <w:p>
            <w:pPr>
              <w:spacing w:before="60"/>
              <w:jc w:val="center"/>
              <w:rPr>
                <w:sz w:val="28"/>
                <w:szCs w:val="28"/>
              </w:rPr>
            </w:pPr>
            <w:r>
              <w:rPr>
                <w:sz w:val="28"/>
                <w:szCs w:val="28"/>
              </w:rPr>
              <w:t>Số: 23/2026/NQ-HĐND</w:t>
            </w:r>
          </w:p>
        </w:tc>
        <w:tc>
          <w:tcPr>
            <w:tcW w:w="6339" w:type="dxa"/>
            <w:tcMar>
              <w:top w:w="0" w:type="dxa"/>
              <w:left w:w="108" w:type="dxa"/>
              <w:bottom w:w="0" w:type="dxa"/>
              <w:right w:w="108" w:type="dxa"/>
            </w:tcMar>
          </w:tcPr>
          <w:p>
            <w:pPr>
              <w:spacing w:before="60"/>
              <w:jc w:val="center"/>
              <w:rPr>
                <w:sz w:val="28"/>
                <w:szCs w:val="28"/>
              </w:rPr>
            </w:pPr>
            <w:r>
              <w:rPr>
                <w:i/>
                <w:iCs/>
                <w:sz w:val="28"/>
                <w:szCs w:val="28"/>
              </w:rPr>
              <w:t>Quảng Ninh, ngày 09 tháng 7 năm 2026</w:t>
            </w:r>
          </w:p>
        </w:tc>
      </w:tr>
    </w:tbl>
    <w:p>
      <w:pPr>
        <w:jc w:val="center"/>
        <w:rPr>
          <w:b/>
          <w:bCs/>
          <w:sz w:val="18"/>
          <w:szCs w:val="18"/>
        </w:rPr>
      </w:pPr>
      <w:bookmarkStart w:id="0" w:name="loai_1"/>
    </w:p>
    <w:p>
      <w:pPr>
        <w:jc w:val="center"/>
        <w:rPr>
          <w:sz w:val="28"/>
          <w:szCs w:val="28"/>
        </w:rPr>
      </w:pPr>
      <w:bookmarkStart w:id="1" w:name="_GoBack"/>
      <w:r>
        <w:rPr>
          <w:b/>
          <w:bCs/>
          <w:sz w:val="28"/>
          <w:szCs w:val="28"/>
        </w:rPr>
        <w:t>NGHỊ QUYẾT</w:t>
      </w:r>
      <w:bookmarkEnd w:id="0"/>
    </w:p>
    <w:p>
      <w:pPr>
        <w:jc w:val="center"/>
        <w:rPr>
          <w:b/>
          <w:bCs/>
          <w:sz w:val="28"/>
          <w:szCs w:val="28"/>
        </w:rPr>
      </w:pPr>
      <w:r>
        <w:rPr>
          <w:b/>
          <w:bCs/>
          <w:iCs/>
          <w:spacing w:val="-2"/>
          <w:sz w:val="28"/>
          <w:szCs w:val="28"/>
        </w:rPr>
        <w:t xml:space="preserve">Quy định mức chi đào tạo, bồi dưỡng công chức, viên chức trong nước   </w:t>
      </w:r>
      <w:r>
        <w:rPr>
          <w:b/>
          <w:bCs/>
          <w:sz w:val="28"/>
          <w:szCs w:val="28"/>
          <w:lang w:val="vi-VN"/>
        </w:rPr>
        <w:t xml:space="preserve">thuộc </w:t>
      </w:r>
      <w:r>
        <w:rPr>
          <w:b/>
          <w:bCs/>
          <w:sz w:val="28"/>
          <w:szCs w:val="28"/>
        </w:rPr>
        <w:t>phạm vi</w:t>
      </w:r>
      <w:r>
        <w:rPr>
          <w:b/>
          <w:bCs/>
          <w:sz w:val="28"/>
          <w:szCs w:val="28"/>
          <w:lang w:val="vi-VN"/>
        </w:rPr>
        <w:t xml:space="preserve"> quản lý </w:t>
      </w:r>
      <w:r>
        <w:rPr>
          <w:b/>
          <w:bCs/>
          <w:sz w:val="28"/>
          <w:szCs w:val="28"/>
        </w:rPr>
        <w:t xml:space="preserve">của tỉnh </w:t>
      </w:r>
      <w:r>
        <w:rPr>
          <w:b/>
          <w:bCs/>
          <w:iCs/>
          <w:spacing w:val="-2"/>
          <w:sz w:val="28"/>
          <w:szCs w:val="28"/>
        </w:rPr>
        <w:t>Quảng Ninh</w:t>
      </w:r>
    </w:p>
    <w:bookmarkEnd w:id="1"/>
    <w:p>
      <w:pPr>
        <w:jc w:val="cente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simplePos x="0" y="0"/>
                <wp:positionH relativeFrom="column">
                  <wp:posOffset>2286000</wp:posOffset>
                </wp:positionH>
                <wp:positionV relativeFrom="paragraph">
                  <wp:posOffset>41910</wp:posOffset>
                </wp:positionV>
                <wp:extent cx="1238250" cy="0"/>
                <wp:effectExtent l="0" t="0" r="0" b="0"/>
                <wp:wrapNone/>
                <wp:docPr id="109652296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A4A9E64" id="Straight Arrow Connector 1" o:spid="_x0000_s1026" type="#_x0000_t32" style="position:absolute;margin-left:180pt;margin-top:3.3pt;width:9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"/>
            </w:pict>
          </mc:Fallback>
        </mc:AlternateContent>
      </w:r>
    </w:p>
    <w:p>
      <w:pPr>
        <w:jc w:val="center"/>
        <w:rPr>
          <w:b/>
          <w:bCs/>
          <w:sz w:val="12"/>
          <w:szCs w:val="12"/>
        </w:rPr>
      </w:pPr>
    </w:p>
    <w:p>
      <w:pPr>
        <w:pStyle w:val="BodyText2"/>
        <w:spacing w:before="120" w:line="240" w:lineRule="auto"/>
        <w:ind w:firstLine="567"/>
        <w:jc w:val="both"/>
        <w:rPr>
          <w:i/>
        </w:rPr>
      </w:pPr>
      <w:r>
        <w:rPr>
          <w:i/>
        </w:rPr>
        <w:t xml:space="preserve">Căn cứ Luật Tổ chức chính quyền địa phương số 72/2025/QH15; </w:t>
      </w:r>
    </w:p>
    <w:p>
      <w:pPr>
        <w:pStyle w:val="BodyText2"/>
        <w:spacing w:before="120" w:after="0" w:line="240" w:lineRule="auto"/>
        <w:ind w:firstLine="567"/>
        <w:jc w:val="both"/>
        <w:rPr>
          <w:i/>
        </w:rPr>
      </w:pPr>
      <w:bookmarkStart w:id="2" w:name="_Hlk230880873"/>
      <w:r>
        <w:rPr>
          <w:i/>
        </w:rPr>
        <w:t>Căn cứ Luật Ban hành văn bản quy phạm pháp luật số 64/2025/QH15 được sửa đổi, bổ sung bởi Luật số 87/2025/QH15;</w:t>
      </w:r>
    </w:p>
    <w:p>
      <w:pPr>
        <w:pStyle w:val="BodyText2"/>
        <w:spacing w:before="120" w:after="0" w:line="240" w:lineRule="auto"/>
        <w:ind w:firstLine="567"/>
        <w:jc w:val="both"/>
        <w:rPr>
          <w:b/>
          <w:bCs/>
          <w:i/>
        </w:rPr>
      </w:pPr>
      <w:r>
        <w:rPr>
          <w:i/>
          <w:spacing w:val="-2"/>
        </w:rPr>
        <w:t>Căn cứ Luật Ngân sách nhà nước số 89/2025/QH15;</w:t>
      </w:r>
      <w:r>
        <w:rPr>
          <w:b/>
          <w:bCs/>
          <w:i/>
        </w:rPr>
        <w:t xml:space="preserve"> </w:t>
      </w:r>
    </w:p>
    <w:p>
      <w:pPr>
        <w:pStyle w:val="BodyText2"/>
        <w:spacing w:before="120" w:after="0" w:line="240" w:lineRule="auto"/>
        <w:ind w:firstLine="567"/>
        <w:jc w:val="both"/>
        <w:rPr>
          <w:bCs/>
          <w:i/>
          <w:iCs/>
        </w:rPr>
      </w:pPr>
      <w:r>
        <w:rPr>
          <w:i/>
          <w:iCs/>
        </w:rPr>
        <w:t xml:space="preserve">Căn cứ </w:t>
      </w:r>
      <w:r>
        <w:rPr>
          <w:bCs/>
          <w:i/>
          <w:iCs/>
        </w:rPr>
        <w:t>Luật Cán bộ, công chức số 80/2025/QH15;</w:t>
      </w:r>
    </w:p>
    <w:p>
      <w:pPr>
        <w:pStyle w:val="BodyText2"/>
        <w:spacing w:before="120" w:after="0" w:line="240" w:lineRule="auto"/>
        <w:ind w:firstLine="567"/>
        <w:jc w:val="both"/>
        <w:rPr>
          <w:bCs/>
          <w:i/>
          <w:iCs/>
        </w:rPr>
      </w:pPr>
      <w:r>
        <w:rPr>
          <w:bCs/>
          <w:i/>
          <w:iCs/>
          <w:lang w:val="vi-VN"/>
        </w:rPr>
        <w:t xml:space="preserve">Căn cứ </w:t>
      </w:r>
      <w:r>
        <w:rPr>
          <w:bCs/>
          <w:i/>
          <w:iCs/>
        </w:rPr>
        <w:t>Luật Viên chức số 129/2025/QH15;</w:t>
      </w:r>
    </w:p>
    <w:p>
      <w:pPr>
        <w:pStyle w:val="BodyText2"/>
        <w:spacing w:before="120" w:after="0" w:line="240" w:lineRule="auto"/>
        <w:ind w:firstLine="567"/>
        <w:jc w:val="both"/>
        <w:rPr>
          <w:i/>
          <w:iCs/>
        </w:rPr>
      </w:pPr>
      <w:r>
        <w:rPr>
          <w:i/>
          <w:iCs/>
        </w:rPr>
        <w:t>Căn cứ Nghị định số 171/2025/NĐ-CP của Chính phủ quy định về đào tạo, bồi dưỡng công chức;</w:t>
      </w:r>
    </w:p>
    <w:p>
      <w:pPr>
        <w:pStyle w:val="BodyText2"/>
        <w:spacing w:before="120" w:after="0" w:line="240" w:lineRule="auto"/>
        <w:ind w:firstLine="567"/>
        <w:jc w:val="both"/>
        <w:rPr>
          <w:i/>
          <w:iCs/>
          <w:spacing w:val="-6"/>
        </w:rPr>
      </w:pPr>
      <w:r>
        <w:rPr>
          <w:i/>
          <w:iCs/>
          <w:spacing w:val="-6"/>
        </w:rPr>
        <w:t>Căn cứ Nghị định số 259/2026/NĐ-CP của Chính phủ quy định về tuyển dụng, sử dụng và quản lý viên chức;</w:t>
      </w:r>
    </w:p>
    <w:p>
      <w:pPr>
        <w:widowControl w:val="0"/>
        <w:tabs>
          <w:tab w:val="right" w:leader="dot" w:pos="7920"/>
        </w:tabs>
        <w:spacing w:before="120"/>
        <w:ind w:firstLine="567"/>
        <w:jc w:val="both"/>
        <w:rPr>
          <w:i/>
          <w:iCs/>
          <w:sz w:val="28"/>
          <w:szCs w:val="28"/>
        </w:rPr>
      </w:pPr>
      <w:r>
        <w:rPr>
          <w:rFonts w:eastAsia="Calibri"/>
          <w:i/>
          <w:iCs/>
          <w:sz w:val="28"/>
          <w:szCs w:val="28"/>
          <w:lang w:val="da-DK"/>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r>
        <w:rPr>
          <w:i/>
          <w:iCs/>
          <w:sz w:val="28"/>
          <w:szCs w:val="28"/>
        </w:rPr>
        <w:t xml:space="preserve">; </w:t>
      </w:r>
    </w:p>
    <w:p>
      <w:pPr>
        <w:pStyle w:val="BodyText2"/>
        <w:spacing w:before="120" w:after="0" w:line="240" w:lineRule="auto"/>
        <w:ind w:firstLine="567"/>
        <w:jc w:val="both"/>
        <w:rPr>
          <w:i/>
          <w:iCs/>
        </w:rPr>
      </w:pPr>
      <w:r>
        <w:rPr>
          <w:i/>
          <w:iCs/>
        </w:rPr>
        <w:t>Căn cứ Nghị định số 73/2026/NĐ-CP của Chính phủ quy định chi tiết và hướng dẫn thi hành một số điều của Luật Ngân sách nhà nước;</w:t>
      </w:r>
    </w:p>
    <w:p>
      <w:pPr>
        <w:pStyle w:val="BodyText2"/>
        <w:spacing w:before="120" w:after="0" w:line="240" w:lineRule="auto"/>
        <w:ind w:firstLine="567"/>
        <w:jc w:val="both"/>
        <w:rPr>
          <w:i/>
          <w:iCs/>
          <w:spacing w:val="-2"/>
        </w:rPr>
      </w:pPr>
      <w:r>
        <w:rPr>
          <w:i/>
          <w:iCs/>
        </w:rPr>
        <w:t>Căn cứ Thông tư số 100/2025/TT-BTC của Bộ trưởng Bộ Tài chính hướng dẫn việc lập dự toán, quản lý, sử dụng và quyết toán kinh phí dành cho công tác đào tạo, bồi dưỡng công chức, viên chức</w:t>
      </w:r>
      <w:r>
        <w:rPr>
          <w:i/>
          <w:iCs/>
          <w:spacing w:val="-2"/>
        </w:rPr>
        <w:t>;</w:t>
      </w:r>
    </w:p>
    <w:bookmarkEnd w:id="2"/>
    <w:p>
      <w:pPr>
        <w:spacing w:before="120"/>
        <w:ind w:firstLine="567"/>
        <w:jc w:val="both"/>
        <w:rPr>
          <w:i/>
          <w:iCs/>
          <w:sz w:val="28"/>
          <w:szCs w:val="28"/>
          <w:lang w:val="vi-VN"/>
        </w:rPr>
      </w:pPr>
      <w:r>
        <w:rPr>
          <w:i/>
          <w:iCs/>
          <w:sz w:val="28"/>
          <w:szCs w:val="28"/>
          <w:lang w:val="vi-VN"/>
        </w:rPr>
        <w:t>Xét Tờ trình số</w:t>
      </w:r>
      <w:r>
        <w:rPr>
          <w:i/>
          <w:iCs/>
          <w:sz w:val="28"/>
          <w:szCs w:val="28"/>
        </w:rPr>
        <w:t xml:space="preserve"> 2552</w:t>
      </w:r>
      <w:r>
        <w:rPr>
          <w:i/>
          <w:iCs/>
          <w:sz w:val="28"/>
          <w:szCs w:val="28"/>
          <w:lang w:val="vi-VN"/>
        </w:rPr>
        <w:t>/TTr-UBND ngày</w:t>
      </w:r>
      <w:r>
        <w:rPr>
          <w:i/>
          <w:iCs/>
          <w:sz w:val="28"/>
          <w:szCs w:val="28"/>
        </w:rPr>
        <w:t xml:space="preserve"> 18 </w:t>
      </w:r>
      <w:r>
        <w:rPr>
          <w:i/>
          <w:iCs/>
          <w:sz w:val="28"/>
          <w:szCs w:val="28"/>
          <w:lang w:val="vi-VN"/>
        </w:rPr>
        <w:t xml:space="preserve">tháng </w:t>
      </w:r>
      <w:r>
        <w:rPr>
          <w:i/>
          <w:iCs/>
          <w:sz w:val="28"/>
          <w:szCs w:val="28"/>
        </w:rPr>
        <w:t>6</w:t>
      </w:r>
      <w:r>
        <w:rPr>
          <w:i/>
          <w:iCs/>
          <w:sz w:val="28"/>
          <w:szCs w:val="28"/>
          <w:lang w:val="vi-VN"/>
        </w:rPr>
        <w:t xml:space="preserve"> năm 2026</w:t>
      </w:r>
      <w:r>
        <w:rPr>
          <w:i/>
          <w:iCs/>
          <w:sz w:val="28"/>
          <w:szCs w:val="28"/>
        </w:rPr>
        <w:t xml:space="preserve">, </w:t>
      </w:r>
      <w:r>
        <w:rPr>
          <w:i/>
          <w:sz w:val="28"/>
          <w:szCs w:val="28"/>
          <w:lang w:val="fr-FR"/>
        </w:rPr>
        <w:t xml:space="preserve">Báo cáo số 284/BC-UBND ngày 30 tháng 6 năm 2026 của </w:t>
      </w:r>
      <w:r>
        <w:rPr>
          <w:i/>
          <w:spacing w:val="-6"/>
          <w:sz w:val="28"/>
          <w:szCs w:val="28"/>
          <w:lang w:val="fr-FR"/>
        </w:rPr>
        <w:t>Ủy ban nhân dân tỉnh</w:t>
      </w:r>
      <w:r>
        <w:rPr>
          <w:i/>
          <w:iCs/>
          <w:sz w:val="28"/>
          <w:szCs w:val="28"/>
          <w:lang w:val="vi-VN"/>
        </w:rPr>
        <w:t xml:space="preserve">; Báo cáo </w:t>
      </w:r>
      <w:r>
        <w:rPr>
          <w:i/>
          <w:iCs/>
          <w:spacing w:val="-2"/>
          <w:sz w:val="28"/>
          <w:szCs w:val="28"/>
          <w:lang w:val="vi-VN"/>
        </w:rPr>
        <w:t>thẩm tra số</w:t>
      </w:r>
      <w:r>
        <w:rPr>
          <w:i/>
          <w:iCs/>
          <w:spacing w:val="-2"/>
          <w:sz w:val="28"/>
          <w:szCs w:val="28"/>
        </w:rPr>
        <w:t xml:space="preserve"> 160</w:t>
      </w:r>
      <w:r>
        <w:rPr>
          <w:i/>
          <w:iCs/>
          <w:spacing w:val="-2"/>
          <w:sz w:val="28"/>
          <w:szCs w:val="28"/>
          <w:lang w:val="vi-VN"/>
        </w:rPr>
        <w:t>/BC-HĐND ngày</w:t>
      </w:r>
      <w:r>
        <w:rPr>
          <w:i/>
          <w:iCs/>
          <w:spacing w:val="-2"/>
          <w:sz w:val="28"/>
          <w:szCs w:val="28"/>
        </w:rPr>
        <w:t xml:space="preserve"> </w:t>
      </w:r>
      <w:r>
        <w:rPr>
          <w:i/>
          <w:iCs/>
          <w:spacing w:val="-2"/>
          <w:sz w:val="28"/>
          <w:szCs w:val="28"/>
          <w:lang w:val="fr-FR"/>
        </w:rPr>
        <w:t xml:space="preserve">03 </w:t>
      </w:r>
      <w:r>
        <w:rPr>
          <w:i/>
          <w:iCs/>
          <w:spacing w:val="-2"/>
          <w:sz w:val="28"/>
          <w:szCs w:val="28"/>
          <w:lang w:val="vi-VN"/>
        </w:rPr>
        <w:t>tháng</w:t>
      </w:r>
      <w:r>
        <w:rPr>
          <w:i/>
          <w:iCs/>
          <w:spacing w:val="-2"/>
          <w:sz w:val="28"/>
          <w:szCs w:val="28"/>
          <w:lang w:val="fr-FR"/>
        </w:rPr>
        <w:t xml:space="preserve"> 7 </w:t>
      </w:r>
      <w:r>
        <w:rPr>
          <w:i/>
          <w:iCs/>
          <w:spacing w:val="-2"/>
          <w:sz w:val="28"/>
          <w:szCs w:val="28"/>
          <w:lang w:val="vi-VN"/>
        </w:rPr>
        <w:t xml:space="preserve">năm 2026 của </w:t>
      </w:r>
      <w:r>
        <w:rPr>
          <w:i/>
          <w:iCs/>
          <w:spacing w:val="-2"/>
          <w:sz w:val="28"/>
          <w:szCs w:val="28"/>
          <w:lang w:val="fr-FR"/>
        </w:rPr>
        <w:t>Ban Pháp chế</w:t>
      </w:r>
      <w:r>
        <w:rPr>
          <w:i/>
          <w:iCs/>
          <w:spacing w:val="-2"/>
          <w:sz w:val="28"/>
          <w:szCs w:val="28"/>
          <w:lang w:val="vi-VN"/>
        </w:rPr>
        <w:t xml:space="preserve"> Hội đồng nhân dân tỉnh; </w:t>
      </w:r>
      <w:r>
        <w:rPr>
          <w:i/>
          <w:iCs/>
          <w:spacing w:val="-2"/>
          <w:sz w:val="28"/>
          <w:szCs w:val="28"/>
          <w:lang w:val="fr-FR"/>
        </w:rPr>
        <w:t>ý</w:t>
      </w:r>
      <w:r>
        <w:rPr>
          <w:i/>
          <w:iCs/>
          <w:spacing w:val="-2"/>
          <w:sz w:val="28"/>
          <w:szCs w:val="28"/>
          <w:lang w:val="vi-VN"/>
        </w:rPr>
        <w:t xml:space="preserve"> kiến thảo luận của </w:t>
      </w:r>
      <w:r>
        <w:rPr>
          <w:i/>
          <w:iCs/>
          <w:spacing w:val="-2"/>
          <w:sz w:val="28"/>
          <w:szCs w:val="28"/>
          <w:lang w:val="fr-FR"/>
        </w:rPr>
        <w:t>đ</w:t>
      </w:r>
      <w:r>
        <w:rPr>
          <w:i/>
          <w:iCs/>
          <w:spacing w:val="-2"/>
          <w:sz w:val="28"/>
          <w:szCs w:val="28"/>
          <w:lang w:val="vi-VN"/>
        </w:rPr>
        <w:t>ại biểu Hội đồng nhân dân tỉnh tại kỳ họp;</w:t>
      </w:r>
    </w:p>
    <w:p>
      <w:pPr>
        <w:spacing w:before="120"/>
        <w:ind w:firstLine="567"/>
        <w:jc w:val="both"/>
        <w:rPr>
          <w:i/>
          <w:iCs/>
          <w:spacing w:val="-4"/>
          <w:sz w:val="28"/>
          <w:szCs w:val="28"/>
          <w:lang w:val="vi-VN"/>
        </w:rPr>
      </w:pPr>
      <w:r>
        <w:rPr>
          <w:i/>
          <w:iCs/>
          <w:spacing w:val="-4"/>
          <w:sz w:val="28"/>
          <w:szCs w:val="28"/>
          <w:lang w:val="vi-VN"/>
        </w:rPr>
        <w:t xml:space="preserve">Hội đồng nhân dân ban hành Nghị quyết quy định mức chi đào tạo, bồi dưỡng công chức, viên chức trong nước </w:t>
      </w:r>
      <w:bookmarkStart w:id="3" w:name="_Hlk232002891"/>
      <w:r>
        <w:rPr>
          <w:i/>
          <w:iCs/>
          <w:spacing w:val="-4"/>
          <w:sz w:val="28"/>
          <w:szCs w:val="28"/>
          <w:lang w:val="vi-VN"/>
        </w:rPr>
        <w:t xml:space="preserve">thuộc phạm vi quản lý của </w:t>
      </w:r>
      <w:bookmarkEnd w:id="3"/>
      <w:r>
        <w:rPr>
          <w:i/>
          <w:iCs/>
          <w:spacing w:val="-4"/>
          <w:sz w:val="28"/>
          <w:szCs w:val="28"/>
          <w:lang w:val="vi-VN"/>
        </w:rPr>
        <w:t>tỉnh Quảng Ninh.</w:t>
      </w:r>
    </w:p>
    <w:p>
      <w:pPr>
        <w:spacing w:before="360"/>
        <w:ind w:firstLine="567"/>
        <w:jc w:val="both"/>
        <w:rPr>
          <w:b/>
          <w:bCs/>
          <w:sz w:val="28"/>
          <w:szCs w:val="28"/>
          <w:lang w:val="vi-VN"/>
        </w:rPr>
      </w:pPr>
      <w:bookmarkStart w:id="4" w:name="dieu_1"/>
      <w:bookmarkStart w:id="5" w:name="dieu_2"/>
      <w:r>
        <w:rPr>
          <w:b/>
          <w:bCs/>
          <w:sz w:val="28"/>
          <w:szCs w:val="28"/>
          <w:lang w:val="vi-VN"/>
        </w:rPr>
        <w:t>Điều 1. Phạm vi điều chỉnh và đối tượng áp dụng</w:t>
      </w:r>
    </w:p>
    <w:p>
      <w:pPr>
        <w:spacing w:before="120"/>
        <w:ind w:firstLine="567"/>
        <w:jc w:val="both"/>
        <w:rPr>
          <w:sz w:val="28"/>
          <w:szCs w:val="28"/>
          <w:lang w:val="vi-VN"/>
        </w:rPr>
      </w:pPr>
      <w:r>
        <w:rPr>
          <w:sz w:val="28"/>
          <w:szCs w:val="28"/>
          <w:lang w:val="vi-VN"/>
        </w:rPr>
        <w:t>1. Phạm vi điều chỉnh</w:t>
      </w:r>
    </w:p>
    <w:p>
      <w:pPr>
        <w:spacing w:before="120"/>
        <w:ind w:firstLine="567"/>
        <w:jc w:val="both"/>
        <w:rPr>
          <w:sz w:val="28"/>
          <w:szCs w:val="28"/>
        </w:rPr>
      </w:pPr>
      <w:r>
        <w:rPr>
          <w:sz w:val="28"/>
          <w:szCs w:val="28"/>
          <w:lang w:val="vi-VN"/>
        </w:rPr>
        <w:t>a) Nghị quyết này quy định mức chi đào tạo, bồi dưỡng công chức, viên chức trong nước thuộc thẩm quyền quản lý của tỉnh Quảng Ninh</w:t>
      </w:r>
      <w:r>
        <w:rPr>
          <w:sz w:val="28"/>
          <w:szCs w:val="28"/>
        </w:rPr>
        <w:t>;</w:t>
      </w:r>
    </w:p>
    <w:p>
      <w:pPr>
        <w:spacing w:before="120" w:line="264" w:lineRule="auto"/>
        <w:ind w:firstLine="567"/>
        <w:jc w:val="both"/>
        <w:rPr>
          <w:sz w:val="28"/>
          <w:szCs w:val="28"/>
          <w:lang w:val="vi-VN"/>
        </w:rPr>
      </w:pPr>
      <w:r>
        <w:rPr>
          <w:sz w:val="28"/>
          <w:szCs w:val="28"/>
          <w:lang w:val="vi-VN"/>
        </w:rPr>
        <w:t xml:space="preserve">b) Những mức chi đào tạo, bồi dưỡng công chức, viên chức không quy định tại Nghị quyết này được thực hiện theo Thông tư số 100/2025/TT-BTC ngày 28 </w:t>
      </w:r>
      <w:r>
        <w:rPr>
          <w:sz w:val="28"/>
          <w:szCs w:val="28"/>
          <w:lang w:val="vi-VN"/>
        </w:rPr>
        <w:lastRenderedPageBreak/>
        <w:t>tháng 10 năm 2025 của Bộ trưởng Bộ Tài chính hướng dẫn</w:t>
      </w:r>
      <w:r>
        <w:rPr>
          <w:sz w:val="28"/>
          <w:szCs w:val="28"/>
        </w:rPr>
        <w:t xml:space="preserve"> việc</w:t>
      </w:r>
      <w:r>
        <w:rPr>
          <w:sz w:val="28"/>
          <w:szCs w:val="28"/>
          <w:lang w:val="vi-VN"/>
        </w:rPr>
        <w:t xml:space="preserve"> lập dự toán, quản lý, sử dụng và quyết toán kinh phí dành cho công tác đào tạo, bồi dưỡng công chức, viên chức và các văn bản có liên quan.</w:t>
      </w:r>
    </w:p>
    <w:p>
      <w:pPr>
        <w:spacing w:before="120" w:line="252" w:lineRule="auto"/>
        <w:ind w:firstLine="567"/>
        <w:jc w:val="both"/>
        <w:rPr>
          <w:sz w:val="28"/>
          <w:szCs w:val="28"/>
        </w:rPr>
      </w:pPr>
      <w:r>
        <w:rPr>
          <w:sz w:val="28"/>
          <w:szCs w:val="28"/>
          <w:lang w:val="vi-VN"/>
        </w:rPr>
        <w:t>2. Đối tượng áp dụng</w:t>
      </w:r>
    </w:p>
    <w:p>
      <w:pPr>
        <w:spacing w:before="120" w:line="252" w:lineRule="auto"/>
        <w:ind w:firstLine="567"/>
        <w:jc w:val="both"/>
        <w:rPr>
          <w:sz w:val="28"/>
          <w:szCs w:val="28"/>
          <w:lang w:val="vi-VN"/>
        </w:rPr>
      </w:pPr>
      <w:r>
        <w:rPr>
          <w:sz w:val="28"/>
          <w:szCs w:val="28"/>
          <w:lang w:val="vi-VN"/>
        </w:rPr>
        <w:t>a) Công chức trong cơ quan của Đảng Cộng sản Việt Nam, Nhà nước, Mặt trận Tổ quốc Việt Nam, tổ chức chính trị - xã hội ở cấp tỉnh, cấp xã</w:t>
      </w:r>
      <w:r>
        <w:rPr>
          <w:sz w:val="28"/>
          <w:szCs w:val="28"/>
        </w:rPr>
        <w:t>;</w:t>
      </w:r>
    </w:p>
    <w:p>
      <w:pPr>
        <w:spacing w:before="120" w:line="252" w:lineRule="auto"/>
        <w:ind w:firstLine="567"/>
        <w:jc w:val="both"/>
        <w:rPr>
          <w:sz w:val="28"/>
          <w:szCs w:val="28"/>
        </w:rPr>
      </w:pPr>
      <w:r>
        <w:rPr>
          <w:sz w:val="28"/>
          <w:szCs w:val="28"/>
          <w:lang w:val="vi-VN"/>
        </w:rPr>
        <w:t>b) Viên chức trong đơn vị sự nghiệp công lập</w:t>
      </w:r>
      <w:r>
        <w:rPr>
          <w:sz w:val="28"/>
          <w:szCs w:val="28"/>
        </w:rPr>
        <w:t>;</w:t>
      </w:r>
    </w:p>
    <w:p>
      <w:pPr>
        <w:spacing w:before="120" w:line="252" w:lineRule="auto"/>
        <w:ind w:firstLine="567"/>
        <w:jc w:val="both"/>
        <w:rPr>
          <w:sz w:val="28"/>
          <w:szCs w:val="28"/>
          <w:lang w:val="vi-VN"/>
        </w:rPr>
      </w:pPr>
      <w:r>
        <w:rPr>
          <w:sz w:val="28"/>
          <w:szCs w:val="28"/>
          <w:lang w:val="vi-VN"/>
        </w:rPr>
        <w:t>c) Các cơ quan, tổ chức, cá nhân có liên quan.</w:t>
      </w:r>
    </w:p>
    <w:p>
      <w:pPr>
        <w:spacing w:before="120" w:line="252" w:lineRule="auto"/>
        <w:ind w:firstLine="567"/>
        <w:jc w:val="both"/>
        <w:rPr>
          <w:b/>
          <w:bCs/>
          <w:iCs/>
          <w:strike/>
          <w:sz w:val="28"/>
          <w:szCs w:val="28"/>
          <w:lang w:val="vi-VN"/>
        </w:rPr>
      </w:pPr>
      <w:bookmarkStart w:id="6" w:name="dieu_1_name"/>
      <w:bookmarkEnd w:id="4"/>
      <w:r>
        <w:rPr>
          <w:b/>
          <w:bCs/>
          <w:iCs/>
          <w:sz w:val="28"/>
          <w:szCs w:val="28"/>
          <w:lang w:val="vi-VN"/>
        </w:rPr>
        <w:t xml:space="preserve">Điều 2. </w:t>
      </w:r>
      <w:bookmarkStart w:id="7" w:name="_Hlk233637586"/>
      <w:r>
        <w:rPr>
          <w:b/>
          <w:bCs/>
          <w:sz w:val="28"/>
          <w:szCs w:val="28"/>
          <w:lang w:val="vi-VN"/>
        </w:rPr>
        <w:t xml:space="preserve">Quy định một số mức chi bồi dưỡng công chức </w:t>
      </w:r>
      <w:bookmarkEnd w:id="7"/>
    </w:p>
    <w:p>
      <w:pPr>
        <w:spacing w:before="120" w:line="252" w:lineRule="auto"/>
        <w:ind w:firstLine="567"/>
        <w:jc w:val="both"/>
        <w:rPr>
          <w:bCs/>
          <w:sz w:val="28"/>
          <w:szCs w:val="28"/>
        </w:rPr>
      </w:pPr>
      <w:r>
        <w:rPr>
          <w:bCs/>
          <w:sz w:val="28"/>
          <w:szCs w:val="28"/>
          <w:lang w:val="vi-VN"/>
        </w:rPr>
        <w:t>1.</w:t>
      </w:r>
      <w:r>
        <w:rPr>
          <w:bCs/>
          <w:sz w:val="28"/>
          <w:szCs w:val="28"/>
        </w:rPr>
        <w:t xml:space="preserve"> </w:t>
      </w:r>
      <w:r>
        <w:rPr>
          <w:bCs/>
          <w:sz w:val="28"/>
          <w:szCs w:val="28"/>
          <w:lang w:val="vi-VN"/>
        </w:rPr>
        <w:t>Mức chi tiền công giảng viên, báo cáo viên, trợ giảng trong nước</w:t>
      </w:r>
      <w:r>
        <w:rPr>
          <w:sz w:val="28"/>
          <w:szCs w:val="28"/>
          <w:lang w:val="vi-VN"/>
        </w:rPr>
        <w:t xml:space="preserve"> (một buổi giảng được tính 04 tiết học, bao gồm cả tiền công soạn giáo án, bài giảng)</w:t>
      </w:r>
      <w:r>
        <w:rPr>
          <w:sz w:val="28"/>
          <w:szCs w:val="28"/>
        </w:rPr>
        <w:t>:</w:t>
      </w:r>
    </w:p>
    <w:p>
      <w:pPr>
        <w:spacing w:before="120" w:line="252" w:lineRule="auto"/>
        <w:ind w:firstLine="567"/>
        <w:jc w:val="both"/>
        <w:rPr>
          <w:sz w:val="28"/>
          <w:szCs w:val="28"/>
          <w:lang w:val="vi-VN"/>
        </w:rPr>
      </w:pPr>
      <w:r>
        <w:rPr>
          <w:sz w:val="28"/>
          <w:szCs w:val="28"/>
          <w:lang w:val="vi-VN"/>
        </w:rPr>
        <w:t>a)  Giảng viên, báo cáo viên là Ủy viên Trung ương Đảng</w:t>
      </w:r>
      <w:r>
        <w:rPr>
          <w:sz w:val="28"/>
          <w:szCs w:val="28"/>
        </w:rPr>
        <w:t>,</w:t>
      </w:r>
      <w:r>
        <w:rPr>
          <w:sz w:val="28"/>
          <w:szCs w:val="28"/>
          <w:lang w:val="vi-VN"/>
        </w:rPr>
        <w:t xml:space="preserve"> Bộ trưởng, Bí thư Tỉnh ủy và các chức danh tương đương: 4.000.000 đồng/người/buổi;</w:t>
      </w:r>
    </w:p>
    <w:p>
      <w:pPr>
        <w:spacing w:before="120" w:line="252" w:lineRule="auto"/>
        <w:ind w:firstLine="567"/>
        <w:jc w:val="both"/>
        <w:rPr>
          <w:sz w:val="28"/>
          <w:szCs w:val="28"/>
          <w:lang w:val="vi-VN"/>
        </w:rPr>
      </w:pPr>
      <w:r>
        <w:rPr>
          <w:sz w:val="28"/>
          <w:szCs w:val="28"/>
          <w:lang w:val="vi-VN"/>
        </w:rPr>
        <w:t>b) Giảng viên, báo cáo viên là Thứ trưởng, Phó Bí thư Tỉnh ủy, Chủ tịch Hội đồng nhân dân tỉnh, Chủ tịch Ủy ban nhân dân tỉnh, Trưởng Đoàn đại biểu Quốc hội tỉnh và các chức danh tương đương; giáo sư; chuyên gia cao cấp: 3.500.000 đồng/người/buổi;</w:t>
      </w:r>
    </w:p>
    <w:p>
      <w:pPr>
        <w:spacing w:before="120" w:line="252" w:lineRule="auto"/>
        <w:ind w:firstLine="567"/>
        <w:jc w:val="both"/>
        <w:rPr>
          <w:sz w:val="28"/>
          <w:szCs w:val="28"/>
          <w:lang w:val="vi-VN"/>
        </w:rPr>
      </w:pPr>
      <w:r>
        <w:rPr>
          <w:sz w:val="28"/>
          <w:szCs w:val="28"/>
          <w:lang w:val="vi-VN"/>
        </w:rPr>
        <w:t>c) Giảng viên, báo cáo viên là Ủy viên Ban Thường vụ Tỉnh ủy</w:t>
      </w:r>
      <w:r>
        <w:rPr>
          <w:sz w:val="28"/>
          <w:szCs w:val="28"/>
        </w:rPr>
        <w:t xml:space="preserve">, </w:t>
      </w:r>
      <w:r>
        <w:rPr>
          <w:sz w:val="28"/>
          <w:szCs w:val="28"/>
          <w:lang w:val="vi-VN"/>
        </w:rPr>
        <w:t>Phó Chủ tịch Hội đồng nhân dân tỉnh, Phó Chủ tịch Ủy ban nhân dân tỉnh, Phó Trưởng Đoàn đại biểu Quốc hội tỉnh, Chủ tịch Ủy ban Mặt trận Tổ quốc Việt Nam tỉnh, Vụ trưởng và Phó vụ trưởng thuộc Bộ, Viện trưởng và Phó viện trưởng thuộc Bộ, Cục trưởng và Phó Cục trưởng thuộc Bộ và các chức danh tương đương; phó giáo sư; tiến sỹ: 3.000.000 đồng/người/buổi;</w:t>
      </w:r>
    </w:p>
    <w:p>
      <w:pPr>
        <w:spacing w:before="120" w:line="252" w:lineRule="auto"/>
        <w:ind w:firstLine="567"/>
        <w:jc w:val="both"/>
        <w:rPr>
          <w:sz w:val="28"/>
          <w:szCs w:val="28"/>
          <w:lang w:val="vi-VN"/>
        </w:rPr>
      </w:pPr>
      <w:r>
        <w:rPr>
          <w:sz w:val="28"/>
          <w:szCs w:val="28"/>
          <w:lang w:val="vi-VN"/>
        </w:rPr>
        <w:t>d) Giảng viên, báo cáo viên là lãnh đạo các Sở, ban, ngành thuộc tỉnh, Bí thư đảng ủy xã, phường, đặc khu và các chức danh tương đương; báo cáo viên cấp tỉnh</w:t>
      </w:r>
      <w:r>
        <w:rPr>
          <w:sz w:val="28"/>
          <w:szCs w:val="28"/>
        </w:rPr>
        <w:t xml:space="preserve">; </w:t>
      </w:r>
      <w:r>
        <w:rPr>
          <w:sz w:val="28"/>
          <w:szCs w:val="28"/>
          <w:lang w:val="vi-VN"/>
        </w:rPr>
        <w:t>giảng viên chính: 2.500.000 đồng/người/buổi;</w:t>
      </w:r>
    </w:p>
    <w:p>
      <w:pPr>
        <w:spacing w:before="120" w:line="252" w:lineRule="auto"/>
        <w:ind w:firstLine="567"/>
        <w:jc w:val="both"/>
        <w:rPr>
          <w:sz w:val="28"/>
          <w:szCs w:val="28"/>
          <w:lang w:val="vi-VN"/>
        </w:rPr>
      </w:pPr>
      <w:r>
        <w:rPr>
          <w:sz w:val="28"/>
          <w:szCs w:val="28"/>
          <w:lang w:val="vi-VN"/>
        </w:rPr>
        <w:t>đ) Giảng viên, báo cáo viên là cán bộ, công chức, viên chức công tác tại các cơ quan, đơn vị ở Trung ương, cấp tỉnh và tương đương (ngoài đối tượng giảng viên, báo cáo viên quy định tại điểm a, b, c, d khoản 1 Điều này): 2.000.000 đồng/người/buổi;</w:t>
      </w:r>
    </w:p>
    <w:p>
      <w:pPr>
        <w:spacing w:before="120" w:line="252" w:lineRule="auto"/>
        <w:ind w:firstLine="567"/>
        <w:jc w:val="both"/>
        <w:rPr>
          <w:sz w:val="28"/>
          <w:szCs w:val="28"/>
        </w:rPr>
      </w:pPr>
      <w:r>
        <w:rPr>
          <w:sz w:val="28"/>
          <w:szCs w:val="28"/>
          <w:lang w:val="vi-VN"/>
        </w:rPr>
        <w:t>e) Giảng viên, báo cáo viên còn lại là cán bộ, công chức, viên chức công tác tại các đơn vị cấp xã: 1.000.000 đồng/buổi</w:t>
      </w:r>
      <w:r>
        <w:rPr>
          <w:sz w:val="28"/>
          <w:szCs w:val="28"/>
        </w:rPr>
        <w:t>;</w:t>
      </w:r>
    </w:p>
    <w:p>
      <w:pPr>
        <w:spacing w:before="120" w:line="252" w:lineRule="auto"/>
        <w:ind w:firstLine="567"/>
        <w:jc w:val="both"/>
        <w:rPr>
          <w:sz w:val="28"/>
          <w:szCs w:val="28"/>
        </w:rPr>
      </w:pPr>
      <w:r>
        <w:rPr>
          <w:sz w:val="28"/>
          <w:szCs w:val="28"/>
          <w:lang w:val="vi-VN"/>
        </w:rPr>
        <w:t>g) Trường hợp giảng viên, báo cáo viên thuộc từ hai nhóm đối tượng trở lên thì được áp dụng mức chi tiền công cao nhất</w:t>
      </w:r>
      <w:r>
        <w:rPr>
          <w:sz w:val="28"/>
          <w:szCs w:val="28"/>
        </w:rPr>
        <w:t>;</w:t>
      </w:r>
    </w:p>
    <w:p>
      <w:pPr>
        <w:spacing w:before="120" w:line="252" w:lineRule="auto"/>
        <w:ind w:firstLine="567"/>
        <w:jc w:val="both"/>
        <w:rPr>
          <w:sz w:val="28"/>
          <w:szCs w:val="28"/>
          <w:lang w:val="vi-VN"/>
        </w:rPr>
      </w:pPr>
      <w:r>
        <w:rPr>
          <w:sz w:val="28"/>
          <w:szCs w:val="28"/>
          <w:lang w:val="vi-VN"/>
        </w:rPr>
        <w:t>h) Trợ giảng (nếu có): Mức chi bằng 50% mức chi tiền công đối với giảng viên, báo cáo viên tương ứng.</w:t>
      </w:r>
    </w:p>
    <w:p>
      <w:pPr>
        <w:spacing w:before="120" w:line="264" w:lineRule="auto"/>
        <w:ind w:firstLine="567"/>
        <w:jc w:val="both"/>
        <w:rPr>
          <w:sz w:val="28"/>
          <w:szCs w:val="28"/>
        </w:rPr>
      </w:pPr>
      <w:r>
        <w:rPr>
          <w:bCs/>
          <w:sz w:val="28"/>
          <w:szCs w:val="28"/>
          <w:lang w:val="vi-VN"/>
        </w:rPr>
        <w:t xml:space="preserve">2. Mức chi khen thưởng cho học viên đạt loại giỏi, loại xuất sắc: </w:t>
      </w:r>
      <w:r>
        <w:rPr>
          <w:sz w:val="28"/>
          <w:szCs w:val="28"/>
          <w:lang w:val="vi-VN"/>
        </w:rPr>
        <w:t>400.000 đồng/học viên.</w:t>
      </w:r>
    </w:p>
    <w:p>
      <w:pPr>
        <w:spacing w:before="120"/>
        <w:ind w:firstLine="567"/>
        <w:jc w:val="both"/>
        <w:rPr>
          <w:b/>
          <w:bCs/>
          <w:sz w:val="28"/>
          <w:szCs w:val="28"/>
        </w:rPr>
      </w:pPr>
      <w:r>
        <w:rPr>
          <w:b/>
          <w:sz w:val="28"/>
          <w:szCs w:val="28"/>
          <w:lang w:val="vi-VN"/>
        </w:rPr>
        <w:lastRenderedPageBreak/>
        <w:t xml:space="preserve">Điều 3. </w:t>
      </w:r>
      <w:bookmarkStart w:id="8" w:name="_Hlk233637951"/>
      <w:r>
        <w:rPr>
          <w:b/>
          <w:bCs/>
          <w:sz w:val="28"/>
          <w:szCs w:val="28"/>
          <w:lang w:val="vi-VN"/>
        </w:rPr>
        <w:t xml:space="preserve">Mức chi bồi dưỡng viên chức </w:t>
      </w:r>
      <w:bookmarkEnd w:id="8"/>
    </w:p>
    <w:p>
      <w:pPr>
        <w:spacing w:before="120"/>
        <w:ind w:firstLine="567"/>
        <w:jc w:val="both"/>
        <w:rPr>
          <w:sz w:val="28"/>
          <w:szCs w:val="28"/>
          <w:lang w:val="vi-VN"/>
        </w:rPr>
      </w:pPr>
      <w:r>
        <w:rPr>
          <w:sz w:val="28"/>
          <w:szCs w:val="28"/>
          <w:lang w:val="vi-VN"/>
        </w:rPr>
        <w:t>Căn cứ nguồn lực tài chính bố trí cho công tác đào tạo, bồi dưỡng viên chức và mức chi theo quy định tại Điều 2 Nghị quyết này, thủ trưởng đơn vị sự nghiệp công lập thuộc phạm vi quản lý của tỉnh quyết định mức chi bồi dưỡng viên chức phù hợp với quy định của pháp luật về cơ chế tự chủ tài chính của đơn vị sự nghiệp công lập.</w:t>
      </w:r>
    </w:p>
    <w:p>
      <w:pPr>
        <w:spacing w:before="120"/>
        <w:ind w:firstLine="567"/>
        <w:jc w:val="both"/>
        <w:rPr>
          <w:b/>
          <w:sz w:val="28"/>
          <w:szCs w:val="28"/>
          <w:lang w:val="nl-NL"/>
        </w:rPr>
      </w:pPr>
      <w:bookmarkStart w:id="9" w:name="dieu_2_name"/>
      <w:bookmarkEnd w:id="6"/>
      <w:r>
        <w:rPr>
          <w:b/>
          <w:sz w:val="28"/>
          <w:szCs w:val="28"/>
          <w:lang w:val="nl-NL"/>
        </w:rPr>
        <w:t>Điều 4. Tổ chức thực hiện</w:t>
      </w:r>
    </w:p>
    <w:p>
      <w:pPr>
        <w:spacing w:before="120"/>
        <w:ind w:firstLine="567"/>
        <w:jc w:val="both"/>
        <w:rPr>
          <w:sz w:val="28"/>
          <w:szCs w:val="28"/>
        </w:rPr>
      </w:pPr>
      <w:r>
        <w:rPr>
          <w:sz w:val="28"/>
          <w:szCs w:val="28"/>
        </w:rPr>
        <w:t>1.</w:t>
      </w:r>
      <w:r>
        <w:rPr>
          <w:sz w:val="28"/>
          <w:szCs w:val="28"/>
          <w:lang w:val="vi-VN"/>
        </w:rPr>
        <w:t xml:space="preserve"> Ủy ban nhân dân tỉnh tổ chức triển khai, thực hiện Nghị quyết đảm bảo các quy định của pháp luật.</w:t>
      </w:r>
    </w:p>
    <w:p>
      <w:pPr>
        <w:spacing w:before="120"/>
        <w:ind w:firstLine="567"/>
        <w:jc w:val="both"/>
        <w:rPr>
          <w:sz w:val="28"/>
          <w:szCs w:val="28"/>
          <w:lang w:val="vi-VN"/>
        </w:rPr>
      </w:pPr>
      <w:r>
        <w:rPr>
          <w:sz w:val="28"/>
          <w:szCs w:val="28"/>
          <w:lang w:val="vi-VN"/>
        </w:rPr>
        <w:t>2.</w:t>
      </w:r>
      <w:r>
        <w:rPr>
          <w:sz w:val="28"/>
          <w:szCs w:val="28"/>
        </w:rPr>
        <w:t xml:space="preserve"> </w:t>
      </w:r>
      <w:r>
        <w:rPr>
          <w:sz w:val="28"/>
          <w:szCs w:val="28"/>
          <w:lang w:val="vi-VN"/>
        </w:rPr>
        <w:t xml:space="preserve">Thường trực Hội đồng nhân dân, các </w:t>
      </w:r>
      <w:r>
        <w:rPr>
          <w:sz w:val="28"/>
          <w:szCs w:val="28"/>
        </w:rPr>
        <w:t>b</w:t>
      </w:r>
      <w:r>
        <w:rPr>
          <w:sz w:val="28"/>
          <w:szCs w:val="28"/>
          <w:lang w:val="vi-VN"/>
        </w:rPr>
        <w:t xml:space="preserve">an, các </w:t>
      </w:r>
      <w:r>
        <w:rPr>
          <w:sz w:val="28"/>
          <w:szCs w:val="28"/>
        </w:rPr>
        <w:t>t</w:t>
      </w:r>
      <w:r>
        <w:rPr>
          <w:sz w:val="28"/>
          <w:szCs w:val="28"/>
          <w:lang w:val="vi-VN"/>
        </w:rPr>
        <w:t>ổ đại biểu và đại biểu Hội đồng nhân dân tỉnh giám sát việc thực hiện Nghị quyết.</w:t>
      </w:r>
    </w:p>
    <w:p>
      <w:pPr>
        <w:spacing w:before="120"/>
        <w:ind w:firstLine="567"/>
        <w:jc w:val="both"/>
        <w:rPr>
          <w:b/>
          <w:sz w:val="28"/>
          <w:szCs w:val="28"/>
        </w:rPr>
      </w:pPr>
      <w:r>
        <w:rPr>
          <w:b/>
          <w:sz w:val="28"/>
          <w:szCs w:val="28"/>
          <w:lang w:val="nl-NL"/>
        </w:rPr>
        <w:t>Điều 5. Điều khoản thi hành</w:t>
      </w:r>
    </w:p>
    <w:p>
      <w:pPr>
        <w:spacing w:before="120"/>
        <w:ind w:firstLine="567"/>
        <w:jc w:val="both"/>
        <w:rPr>
          <w:b/>
          <w:sz w:val="28"/>
          <w:szCs w:val="28"/>
          <w:lang w:val="vi-VN"/>
        </w:rPr>
      </w:pPr>
      <w:r>
        <w:rPr>
          <w:sz w:val="28"/>
          <w:szCs w:val="28"/>
          <w:lang w:val="vi-VN"/>
        </w:rPr>
        <w:t>1. Nghị quyết này có hiệu lực thi hành kể từ ngày</w:t>
      </w:r>
      <w:r>
        <w:rPr>
          <w:sz w:val="28"/>
          <w:szCs w:val="28"/>
        </w:rPr>
        <w:t xml:space="preserve"> 19</w:t>
      </w:r>
      <w:r>
        <w:rPr>
          <w:sz w:val="28"/>
          <w:szCs w:val="28"/>
          <w:lang w:val="vi-VN"/>
        </w:rPr>
        <w:t xml:space="preserve"> tháng</w:t>
      </w:r>
      <w:r>
        <w:rPr>
          <w:sz w:val="28"/>
          <w:szCs w:val="28"/>
        </w:rPr>
        <w:t xml:space="preserve"> 7 </w:t>
      </w:r>
      <w:r>
        <w:rPr>
          <w:sz w:val="28"/>
          <w:szCs w:val="28"/>
          <w:lang w:val="vi-VN"/>
        </w:rPr>
        <w:t>năm 2026.</w:t>
      </w:r>
    </w:p>
    <w:p>
      <w:pPr>
        <w:spacing w:before="120"/>
        <w:ind w:firstLine="567"/>
        <w:jc w:val="both"/>
        <w:rPr>
          <w:spacing w:val="-4"/>
          <w:sz w:val="28"/>
          <w:szCs w:val="28"/>
          <w:lang w:val="vi-VN"/>
        </w:rPr>
      </w:pPr>
      <w:r>
        <w:rPr>
          <w:sz w:val="28"/>
          <w:szCs w:val="28"/>
          <w:lang w:val="vi-VN"/>
        </w:rPr>
        <w:t>Nghị quyết số 138/2018/NQ-HĐND ngày 07 tháng 12 năm 2018 của Hội đồng nhân dân tỉnh về việc quy định mức chi đào tạo, bồi dưỡng cán bộ, công chức, viên chức trong nước trên địa bàn tỉnh Quảng Ninh hết hiệu lực thi hành kể từ ngày Nghị quyết này có hiệu lực</w:t>
      </w:r>
      <w:r>
        <w:rPr>
          <w:spacing w:val="-4"/>
          <w:sz w:val="28"/>
          <w:szCs w:val="28"/>
          <w:lang w:val="vi-VN"/>
        </w:rPr>
        <w:t>.</w:t>
      </w:r>
    </w:p>
    <w:p>
      <w:pPr>
        <w:spacing w:before="120"/>
        <w:ind w:firstLine="567"/>
        <w:jc w:val="both"/>
        <w:rPr>
          <w:sz w:val="28"/>
          <w:szCs w:val="28"/>
        </w:rPr>
      </w:pPr>
      <w:r>
        <w:rPr>
          <w:sz w:val="28"/>
          <w:szCs w:val="28"/>
        </w:rPr>
        <w:t xml:space="preserve">2. </w:t>
      </w:r>
      <w:r>
        <w:rPr>
          <w:iCs/>
          <w:sz w:val="28"/>
          <w:szCs w:val="28"/>
          <w:lang w:val="vi-VN"/>
        </w:rPr>
        <w:t>Các lớp đào tạo, bồi dưỡng công chức,</w:t>
      </w:r>
      <w:r>
        <w:rPr>
          <w:iCs/>
          <w:sz w:val="28"/>
          <w:szCs w:val="28"/>
        </w:rPr>
        <w:t xml:space="preserve"> </w:t>
      </w:r>
      <w:r>
        <w:rPr>
          <w:iCs/>
          <w:sz w:val="28"/>
          <w:szCs w:val="28"/>
          <w:lang w:val="vi-VN"/>
        </w:rPr>
        <w:t>viên chức đã được cấp có thẩm quyền phê duyệt kế hoạch, dự toán và triển khai trước ngày Nghị quyết này có hiệu lực thi hành thì tiếp tục thực hiện theo mức chi và chế độ quy định tại văn bản đang áp dụng tại thời điểm phê duyệt.</w:t>
      </w:r>
    </w:p>
    <w:p>
      <w:pPr>
        <w:spacing w:before="120"/>
        <w:ind w:firstLine="567"/>
        <w:jc w:val="both"/>
        <w:rPr>
          <w:sz w:val="28"/>
          <w:szCs w:val="28"/>
        </w:rPr>
      </w:pPr>
      <w:r>
        <w:rPr>
          <w:sz w:val="28"/>
          <w:szCs w:val="28"/>
        </w:rPr>
        <w:t xml:space="preserve">3. Các cơ quan, đơn vị tổ chức bồi dưỡng đối với đối tượng </w:t>
      </w:r>
      <w:bookmarkStart w:id="10" w:name="_Hlk233893001"/>
      <w:r>
        <w:rPr>
          <w:sz w:val="28"/>
          <w:szCs w:val="28"/>
        </w:rPr>
        <w:t xml:space="preserve">cán bộ; những người hoạt động không chuyên trách ở thôn, khu phố </w:t>
      </w:r>
      <w:bookmarkEnd w:id="10"/>
      <w:r>
        <w:rPr>
          <w:sz w:val="28"/>
          <w:szCs w:val="28"/>
        </w:rPr>
        <w:t>theo quy định của cấp có thẩm quyền được áp dụng quy định tại Nghị quyết này.</w:t>
      </w:r>
    </w:p>
    <w:bookmarkEnd w:id="9"/>
    <w:p>
      <w:pPr>
        <w:spacing w:before="120"/>
        <w:ind w:firstLine="567"/>
        <w:jc w:val="both"/>
        <w:rPr>
          <w:sz w:val="28"/>
          <w:szCs w:val="28"/>
          <w:lang w:val="vi-VN"/>
        </w:rPr>
      </w:pPr>
      <w:r>
        <w:rPr>
          <w:sz w:val="28"/>
          <w:szCs w:val="28"/>
        </w:rPr>
        <w:t>4</w:t>
      </w:r>
      <w:r>
        <w:rPr>
          <w:sz w:val="28"/>
          <w:szCs w:val="28"/>
          <w:lang w:val="vi-VN"/>
        </w:rPr>
        <w:t>. Trường hợp văn bản viện dẫn tại Nghị quyết này được sửa đổi, bổ sung hoặc thay thế bằng văn bản mới thì được áp dụng theo các văn bản sửa đổi, bổ sung hoặc thay thế.</w:t>
      </w:r>
    </w:p>
    <w:p>
      <w:pPr>
        <w:spacing w:before="120"/>
        <w:ind w:firstLine="567"/>
        <w:jc w:val="both"/>
        <w:rPr>
          <w:i/>
          <w:iCs/>
          <w:sz w:val="28"/>
          <w:szCs w:val="28"/>
        </w:rPr>
      </w:pPr>
      <w:r>
        <w:rPr>
          <w:i/>
          <w:iCs/>
          <w:sz w:val="28"/>
          <w:szCs w:val="28"/>
          <w:lang w:val="vi-VN"/>
        </w:rPr>
        <w:t>Nghị quyết này đã được Hội đồng nhân dân tỉnh</w:t>
      </w:r>
      <w:r>
        <w:rPr>
          <w:i/>
          <w:iCs/>
          <w:sz w:val="28"/>
          <w:szCs w:val="28"/>
        </w:rPr>
        <w:t xml:space="preserve"> Quảng Ninh</w:t>
      </w:r>
      <w:r>
        <w:rPr>
          <w:i/>
          <w:iCs/>
          <w:sz w:val="28"/>
          <w:szCs w:val="28"/>
          <w:lang w:val="vi-VN"/>
        </w:rPr>
        <w:t xml:space="preserve"> khóa XV, </w:t>
      </w:r>
      <w:r>
        <w:rPr>
          <w:i/>
          <w:iCs/>
          <w:sz w:val="28"/>
          <w:szCs w:val="28"/>
        </w:rPr>
        <w:t xml:space="preserve">                  </w:t>
      </w:r>
      <w:r>
        <w:rPr>
          <w:i/>
          <w:iCs/>
          <w:sz w:val="28"/>
          <w:szCs w:val="28"/>
          <w:lang w:val="vi-VN"/>
        </w:rPr>
        <w:t xml:space="preserve">Kỳ họp thứ </w:t>
      </w:r>
      <w:r>
        <w:rPr>
          <w:i/>
          <w:iCs/>
          <w:sz w:val="28"/>
          <w:szCs w:val="28"/>
        </w:rPr>
        <w:t xml:space="preserve">6 </w:t>
      </w:r>
      <w:r>
        <w:rPr>
          <w:i/>
          <w:iCs/>
          <w:sz w:val="28"/>
          <w:szCs w:val="28"/>
          <w:lang w:val="vi-VN"/>
        </w:rPr>
        <w:t xml:space="preserve">thông qua ngày </w:t>
      </w:r>
      <w:r>
        <w:rPr>
          <w:i/>
          <w:iCs/>
          <w:sz w:val="28"/>
          <w:szCs w:val="28"/>
        </w:rPr>
        <w:t>09</w:t>
      </w:r>
      <w:r>
        <w:rPr>
          <w:i/>
          <w:iCs/>
          <w:sz w:val="28"/>
          <w:szCs w:val="28"/>
          <w:lang w:val="vi-VN"/>
        </w:rPr>
        <w:t xml:space="preserve"> tháng </w:t>
      </w:r>
      <w:r>
        <w:rPr>
          <w:i/>
          <w:iCs/>
          <w:sz w:val="28"/>
          <w:szCs w:val="28"/>
        </w:rPr>
        <w:t>7</w:t>
      </w:r>
      <w:r>
        <w:rPr>
          <w:i/>
          <w:iCs/>
          <w:sz w:val="28"/>
          <w:szCs w:val="28"/>
          <w:lang w:val="vi-VN"/>
        </w:rPr>
        <w:t xml:space="preserve"> năm 2026./.</w:t>
      </w:r>
      <w:bookmarkEnd w:id="5"/>
    </w:p>
    <w:p>
      <w:pPr>
        <w:spacing w:before="120"/>
        <w:ind w:firstLine="567"/>
        <w:jc w:val="both"/>
        <w:rPr>
          <w:i/>
          <w:iCs/>
          <w:sz w:val="16"/>
          <w:szCs w:val="16"/>
        </w:rPr>
      </w:pPr>
    </w:p>
    <w:tbl>
      <w:tblPr>
        <w:tblW w:w="9352" w:type="dxa"/>
        <w:tblLayout w:type="fixed"/>
        <w:tblCellMar>
          <w:left w:w="0" w:type="dxa"/>
          <w:right w:w="0" w:type="dxa"/>
        </w:tblCellMar>
        <w:tblLook w:val="0000" w:firstRow="0" w:lastRow="0" w:firstColumn="0" w:lastColumn="0" w:noHBand="0" w:noVBand="0"/>
      </w:tblPr>
      <w:tblGrid>
        <w:gridCol w:w="5245"/>
        <w:gridCol w:w="4107"/>
      </w:tblGrid>
      <w:tr>
        <w:trPr>
          <w:trHeight w:val="317"/>
        </w:trPr>
        <w:tc>
          <w:tcPr>
            <w:tcW w:w="5245" w:type="dxa"/>
            <w:tcMar>
              <w:left w:w="0" w:type="dxa"/>
              <w:right w:w="0" w:type="dxa"/>
            </w:tcMar>
          </w:tcPr>
          <w:p>
            <w:pPr>
              <w:rPr>
                <w:bCs/>
                <w:iCs/>
                <w:sz w:val="22"/>
              </w:rPr>
            </w:pPr>
            <w:r>
              <w:rPr>
                <w:b/>
                <w:i/>
                <w:lang w:val="vi-VN"/>
              </w:rPr>
              <w:t>  Nơi nhận:</w:t>
            </w:r>
            <w:r>
              <w:rPr>
                <w:b/>
                <w:i/>
                <w:lang w:val="vi-VN"/>
              </w:rPr>
              <w:br/>
            </w:r>
            <w:r>
              <w:rPr>
                <w:bCs/>
                <w:iCs/>
                <w:sz w:val="22"/>
                <w:lang w:val="vi-VN"/>
              </w:rPr>
              <w:t>- Ủy ban Thường vụ Quốc hội (báo cáo);</w:t>
            </w:r>
          </w:p>
          <w:p>
            <w:pPr>
              <w:rPr>
                <w:spacing w:val="-6"/>
                <w:sz w:val="22"/>
                <w:szCs w:val="22"/>
                <w:lang w:val="vi-VN"/>
              </w:rPr>
            </w:pPr>
            <w:r>
              <w:rPr>
                <w:bCs/>
                <w:iCs/>
                <w:sz w:val="22"/>
              </w:rPr>
              <w:t>- Chính phủ (báo cáo);</w:t>
            </w:r>
            <w:r>
              <w:rPr>
                <w:bCs/>
                <w:iCs/>
                <w:sz w:val="22"/>
                <w:lang w:val="vi-VN"/>
              </w:rPr>
              <w:br/>
              <w:t xml:space="preserve">- Các bộ: </w:t>
            </w:r>
            <w:r>
              <w:rPr>
                <w:spacing w:val="-6"/>
                <w:sz w:val="22"/>
                <w:szCs w:val="22"/>
                <w:lang w:val="vi-VN"/>
              </w:rPr>
              <w:t>Tài chính, Tư pháp;</w:t>
            </w:r>
          </w:p>
          <w:p>
            <w:pPr>
              <w:rPr>
                <w:bCs/>
                <w:iCs/>
                <w:sz w:val="22"/>
                <w:lang w:val="vi-VN"/>
              </w:rPr>
            </w:pPr>
            <w:r>
              <w:rPr>
                <w:bCs/>
                <w:iCs/>
                <w:sz w:val="22"/>
                <w:lang w:val="vi-VN"/>
              </w:rPr>
              <w:t>- Thường trực Tỉnh ủy (báo cáo);</w:t>
            </w:r>
          </w:p>
          <w:p>
            <w:pPr>
              <w:rPr>
                <w:bCs/>
                <w:iCs/>
                <w:sz w:val="22"/>
                <w:lang w:val="vi-VN"/>
              </w:rPr>
            </w:pPr>
            <w:r>
              <w:rPr>
                <w:bCs/>
                <w:iCs/>
                <w:sz w:val="22"/>
                <w:lang w:val="vi-VN"/>
              </w:rPr>
              <w:t>- Thường trực HĐND tỉnh, UBND tỉnh;</w:t>
            </w:r>
          </w:p>
          <w:p>
            <w:pPr>
              <w:rPr>
                <w:bCs/>
                <w:iCs/>
                <w:sz w:val="22"/>
                <w:lang w:val="vi-VN"/>
              </w:rPr>
            </w:pPr>
            <w:r>
              <w:rPr>
                <w:bCs/>
                <w:iCs/>
                <w:sz w:val="22"/>
                <w:lang w:val="vi-VN"/>
              </w:rPr>
              <w:t>- Đoàn đại biểu Quốc hội tỉnh;</w:t>
            </w:r>
            <w:r>
              <w:rPr>
                <w:bCs/>
                <w:iCs/>
                <w:sz w:val="22"/>
                <w:lang w:val="vi-VN"/>
              </w:rPr>
              <w:br/>
              <w:t>- Đại biểu HĐND tỉnh khóa XV;</w:t>
            </w:r>
            <w:r>
              <w:rPr>
                <w:bCs/>
                <w:iCs/>
                <w:sz w:val="22"/>
                <w:lang w:val="vi-VN"/>
              </w:rPr>
              <w:br/>
              <w:t>- Các ban xây dựng Đảng và VP Tỉnh ủy;</w:t>
            </w:r>
          </w:p>
          <w:p>
            <w:pPr>
              <w:rPr>
                <w:bCs/>
                <w:iCs/>
                <w:sz w:val="22"/>
                <w:lang w:val="vi-VN"/>
              </w:rPr>
            </w:pPr>
            <w:r>
              <w:rPr>
                <w:bCs/>
                <w:iCs/>
                <w:sz w:val="22"/>
                <w:lang w:val="vi-VN"/>
              </w:rPr>
              <w:t>- Ủy ban MTTQ, các tổ chức CTXH tỉnh;</w:t>
            </w:r>
            <w:r>
              <w:rPr>
                <w:bCs/>
                <w:iCs/>
                <w:sz w:val="22"/>
                <w:lang w:val="vi-VN"/>
              </w:rPr>
              <w:br/>
              <w:t>- Các sở, ban, ngành thuộc tỉnh;</w:t>
            </w:r>
            <w:r>
              <w:rPr>
                <w:bCs/>
                <w:iCs/>
                <w:sz w:val="22"/>
                <w:lang w:val="vi-VN"/>
              </w:rPr>
              <w:br/>
              <w:t>- VP: Đoàn ĐBQH và HĐND tỉnh, UBND tỉnh;</w:t>
            </w:r>
          </w:p>
          <w:p>
            <w:pPr>
              <w:rPr>
                <w:bCs/>
                <w:iCs/>
                <w:sz w:val="22"/>
                <w:lang w:val="vi-VN"/>
              </w:rPr>
            </w:pPr>
            <w:r>
              <w:rPr>
                <w:bCs/>
                <w:iCs/>
                <w:sz w:val="22"/>
                <w:lang w:val="vi-VN"/>
              </w:rPr>
              <w:t>- Thường trực HĐND, UBND cấp xã;</w:t>
            </w:r>
          </w:p>
          <w:p>
            <w:pPr>
              <w:rPr>
                <w:bCs/>
                <w:iCs/>
                <w:sz w:val="22"/>
                <w:lang w:val="vi-VN"/>
              </w:rPr>
            </w:pPr>
            <w:r>
              <w:rPr>
                <w:bCs/>
                <w:iCs/>
                <w:sz w:val="22"/>
                <w:lang w:val="vi-VN"/>
              </w:rPr>
              <w:t xml:space="preserve">- Báo và Phát thanh, Truyền hình tỉnh; </w:t>
            </w:r>
          </w:p>
          <w:p>
            <w:pPr>
              <w:rPr>
                <w:bCs/>
                <w:iCs/>
                <w:lang w:val="vi-VN"/>
              </w:rPr>
            </w:pPr>
            <w:r>
              <w:rPr>
                <w:bCs/>
                <w:iCs/>
                <w:sz w:val="22"/>
                <w:lang w:val="vi-VN"/>
              </w:rPr>
              <w:t>- Công báo tỉnh;</w:t>
            </w:r>
            <w:r>
              <w:rPr>
                <w:bCs/>
                <w:iCs/>
                <w:sz w:val="22"/>
                <w:lang w:val="vi-VN"/>
              </w:rPr>
              <w:br/>
              <w:t>- Lưu: VT</w:t>
            </w:r>
            <w:r>
              <w:rPr>
                <w:bCs/>
                <w:iCs/>
                <w:sz w:val="22"/>
              </w:rPr>
              <w:t>, HĐ2</w:t>
            </w:r>
            <w:r>
              <w:rPr>
                <w:bCs/>
                <w:iCs/>
                <w:sz w:val="22"/>
                <w:lang w:val="vi-VN"/>
              </w:rPr>
              <w:t>.</w:t>
            </w:r>
          </w:p>
        </w:tc>
        <w:tc>
          <w:tcPr>
            <w:tcW w:w="4107" w:type="dxa"/>
            <w:tcMar>
              <w:left w:w="0" w:type="dxa"/>
              <w:right w:w="0" w:type="dxa"/>
            </w:tcMar>
          </w:tcPr>
          <w:p>
            <w:pPr>
              <w:jc w:val="center"/>
              <w:rPr>
                <w:b/>
                <w:sz w:val="28"/>
                <w:szCs w:val="28"/>
                <w:lang w:val="vi-VN"/>
              </w:rPr>
            </w:pPr>
            <w:r>
              <w:rPr>
                <w:b/>
                <w:sz w:val="28"/>
                <w:szCs w:val="28"/>
                <w:lang w:val="vi-VN"/>
              </w:rPr>
              <w:t>CHỦ TỊCH</w:t>
            </w:r>
          </w:p>
          <w:p>
            <w:pPr>
              <w:jc w:val="center"/>
              <w:rPr>
                <w:b/>
                <w:sz w:val="28"/>
                <w:szCs w:val="28"/>
                <w:lang w:val="vi-VN"/>
              </w:rPr>
            </w:pPr>
          </w:p>
          <w:p>
            <w:pPr>
              <w:jc w:val="center"/>
              <w:rPr>
                <w:b/>
                <w:sz w:val="28"/>
                <w:szCs w:val="28"/>
                <w:lang w:val="vi-VN"/>
              </w:rPr>
            </w:pPr>
          </w:p>
          <w:p>
            <w:pPr>
              <w:jc w:val="center"/>
              <w:rPr>
                <w:b/>
                <w:sz w:val="28"/>
                <w:szCs w:val="28"/>
                <w:lang w:val="vi-VN"/>
              </w:rPr>
            </w:pPr>
          </w:p>
          <w:p>
            <w:pPr>
              <w:jc w:val="center"/>
              <w:rPr>
                <w:b/>
                <w:sz w:val="28"/>
                <w:szCs w:val="28"/>
                <w:lang w:val="vi-VN"/>
              </w:rPr>
            </w:pPr>
          </w:p>
          <w:p>
            <w:pPr>
              <w:rPr>
                <w:b/>
                <w:sz w:val="28"/>
                <w:szCs w:val="28"/>
                <w:lang w:val="vi-VN"/>
              </w:rPr>
            </w:pPr>
          </w:p>
          <w:p>
            <w:pPr>
              <w:jc w:val="center"/>
              <w:rPr>
                <w:b/>
                <w:sz w:val="28"/>
                <w:szCs w:val="28"/>
                <w:lang w:val="vi-VN"/>
              </w:rPr>
            </w:pPr>
          </w:p>
          <w:p>
            <w:pPr>
              <w:jc w:val="center"/>
              <w:rPr>
                <w:b/>
                <w:sz w:val="28"/>
                <w:szCs w:val="28"/>
                <w:lang w:val="vi-VN"/>
              </w:rPr>
            </w:pPr>
            <w:r>
              <w:rPr>
                <w:b/>
                <w:sz w:val="28"/>
                <w:szCs w:val="28"/>
                <w:lang w:val="vi-VN"/>
              </w:rPr>
              <w:t>Trịnh Thị Minh Thanh</w:t>
            </w:r>
          </w:p>
          <w:p>
            <w:pPr>
              <w:jc w:val="center"/>
              <w:rPr>
                <w:b/>
                <w:sz w:val="28"/>
                <w:szCs w:val="28"/>
                <w:lang w:val="vi-VN"/>
              </w:rPr>
            </w:pPr>
            <w:r>
              <w:rPr>
                <w:b/>
                <w:sz w:val="28"/>
                <w:szCs w:val="28"/>
                <w:lang w:val="vi-VN"/>
              </w:rPr>
              <w:t xml:space="preserve"> </w:t>
            </w:r>
          </w:p>
        </w:tc>
      </w:tr>
    </w:tbl>
    <w:p>
      <w:pPr>
        <w:spacing w:before="120" w:after="280" w:afterAutospacing="1"/>
        <w:rPr>
          <w:sz w:val="28"/>
          <w:szCs w:val="28"/>
        </w:rPr>
      </w:pPr>
    </w:p>
    <w:sectPr>
      <w:headerReference w:type="default" r:id="rId7"/>
      <w:pgSz w:w="11907" w:h="16840" w:code="9"/>
      <w:pgMar w:top="851" w:right="1134" w:bottom="851" w:left="1701" w:header="34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Header"/>
      <w:jc w:val="center"/>
    </w:pPr>
    <w:r>
      <w:rPr>
        <w:sz w:val="28"/>
        <w:szCs w:val="28"/>
      </w:rPr>
      <w:fldChar w:fldCharType="begin"/>
    </w:r>
    <w:r>
      <w:rPr>
        <w:sz w:val="28"/>
        <w:szCs w:val="28"/>
      </w:rPr>
      <w:instrText xml:space="preserve"> PAGE   \* MERGEFORMAT </w:instrText>
    </w:r>
    <w:r>
      <w:rPr>
        <w:sz w:val="28"/>
        <w:szCs w:val="28"/>
      </w:rPr>
      <w:fldChar w:fldCharType="separate"/>
    </w:r>
    <w:r>
      <w:rPr>
        <w:noProof/>
        <w:sz w:val="28"/>
        <w:szCs w:val="28"/>
      </w:rPr>
      <w:t>4</w:t>
    </w:r>
    <w:r>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0B1B3C"/>
    <w:multiLevelType w:val="hybridMultilevel"/>
    <w:tmpl w:val="792880DA"/>
    <w:lvl w:ilvl="0" w:tplc="EB4E9AA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hideGrammaticalErrors/>
  <w:revisionView w:inkAnnotation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EB8A50-2AF3-4F0A-8ED5-512B16B4F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kern w:val="0"/>
      <w:sz w:val="20"/>
      <w:szCs w:val="20"/>
      <w14:ligatures w14:val="none"/>
    </w:rPr>
  </w:style>
  <w:style w:type="paragraph" w:styleId="BodyText2">
    <w:name w:val="Body Text 2"/>
    <w:basedOn w:val="Normal"/>
    <w:link w:val="BodyText2Char"/>
    <w:unhideWhenUsed/>
    <w:pPr>
      <w:spacing w:after="120" w:line="480" w:lineRule="auto"/>
    </w:pPr>
    <w:rPr>
      <w:sz w:val="28"/>
      <w:szCs w:val="28"/>
    </w:rPr>
  </w:style>
  <w:style w:type="character" w:customStyle="1" w:styleId="BodyText2Char">
    <w:name w:val="Body Text 2 Char"/>
    <w:basedOn w:val="DefaultParagraphFont"/>
    <w:link w:val="BodyText2"/>
    <w:rPr>
      <w:rFonts w:ascii="Times New Roman" w:eastAsia="Times New Roman" w:hAnsi="Times New Roman" w:cs="Times New Roman"/>
      <w:kern w:val="0"/>
      <w:sz w:val="28"/>
      <w:szCs w:val="28"/>
      <w14:ligatures w14:val="none"/>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rmalWeb">
    <w:name w:val="Normal (Web)"/>
    <w:aliases w:val="Char Char,Normal (Web) Char1,Char8 Char,Char8,webb, Char Char, Char8 Char, Char8,Обычный (веб)1,Обычный (веб) Знак,Обычный (веб) Знак1,Обычный (веб) Знак Знак,Geneva 9,표준 (웹),Char Char5,Normal (Web) Char Char Char Char Char,Char Cha"/>
    <w:basedOn w:val="Normal"/>
    <w:link w:val="NormalWebChar"/>
    <w:uiPriority w:val="99"/>
    <w:unhideWhenUsed/>
    <w:qFormat/>
    <w:pPr>
      <w:spacing w:before="100" w:beforeAutospacing="1" w:after="100" w:afterAutospacing="1"/>
    </w:pPr>
  </w:style>
  <w:style w:type="character" w:customStyle="1" w:styleId="NormalWebChar">
    <w:name w:val="Normal (Web) Char"/>
    <w:aliases w:val="Char Char Char,Normal (Web) Char1 Char,Char8 Char Char,Char8 Char1,webb Char, Char Char Char, Char8 Char Char, Char8 Char1,Обычный (веб)1 Char,Обычный (веб) Знак Char,Обычный (веб) Знак1 Char,Обычный (веб) Знак Знак Char,Geneva 9 Char"/>
    <w:link w:val="NormalWeb"/>
    <w:uiPriority w:val="99"/>
    <w:qFormat/>
    <w:locked/>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kern w:val="0"/>
      <w:sz w:val="18"/>
      <w:szCs w:val="18"/>
      <w14:ligatures w14:val="none"/>
    </w:rPr>
  </w:style>
  <w:style w:type="paragraph" w:styleId="BodyTextIndent">
    <w:name w:val="Body Text Indent"/>
    <w:basedOn w:val="Normal"/>
    <w:link w:val="BodyTextIndentChar"/>
    <w:uiPriority w:val="99"/>
    <w:unhideWhenUsed/>
    <w:pPr>
      <w:spacing w:after="120"/>
      <w:ind w:left="360"/>
    </w:pPr>
  </w:style>
  <w:style w:type="character" w:customStyle="1" w:styleId="BodyTextIndentChar">
    <w:name w:val="Body Text Indent Char"/>
    <w:basedOn w:val="DefaultParagraphFont"/>
    <w:link w:val="BodyTextIndent"/>
    <w:uiPriority w:val="99"/>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477512">
      <w:bodyDiv w:val="1"/>
      <w:marLeft w:val="0"/>
      <w:marRight w:val="0"/>
      <w:marTop w:val="0"/>
      <w:marBottom w:val="0"/>
      <w:divBdr>
        <w:top w:val="none" w:sz="0" w:space="0" w:color="auto"/>
        <w:left w:val="none" w:sz="0" w:space="0" w:color="auto"/>
        <w:bottom w:val="none" w:sz="0" w:space="0" w:color="auto"/>
        <w:right w:val="none" w:sz="0" w:space="0" w:color="auto"/>
      </w:divBdr>
    </w:div>
    <w:div w:id="201090741">
      <w:bodyDiv w:val="1"/>
      <w:marLeft w:val="0"/>
      <w:marRight w:val="0"/>
      <w:marTop w:val="0"/>
      <w:marBottom w:val="0"/>
      <w:divBdr>
        <w:top w:val="none" w:sz="0" w:space="0" w:color="auto"/>
        <w:left w:val="none" w:sz="0" w:space="0" w:color="auto"/>
        <w:bottom w:val="none" w:sz="0" w:space="0" w:color="auto"/>
        <w:right w:val="none" w:sz="0" w:space="0" w:color="auto"/>
      </w:divBdr>
    </w:div>
    <w:div w:id="377554082">
      <w:bodyDiv w:val="1"/>
      <w:marLeft w:val="0"/>
      <w:marRight w:val="0"/>
      <w:marTop w:val="0"/>
      <w:marBottom w:val="0"/>
      <w:divBdr>
        <w:top w:val="none" w:sz="0" w:space="0" w:color="auto"/>
        <w:left w:val="none" w:sz="0" w:space="0" w:color="auto"/>
        <w:bottom w:val="none" w:sz="0" w:space="0" w:color="auto"/>
        <w:right w:val="none" w:sz="0" w:space="0" w:color="auto"/>
      </w:divBdr>
    </w:div>
    <w:div w:id="416708419">
      <w:bodyDiv w:val="1"/>
      <w:marLeft w:val="0"/>
      <w:marRight w:val="0"/>
      <w:marTop w:val="0"/>
      <w:marBottom w:val="0"/>
      <w:divBdr>
        <w:top w:val="none" w:sz="0" w:space="0" w:color="auto"/>
        <w:left w:val="none" w:sz="0" w:space="0" w:color="auto"/>
        <w:bottom w:val="none" w:sz="0" w:space="0" w:color="auto"/>
        <w:right w:val="none" w:sz="0" w:space="0" w:color="auto"/>
      </w:divBdr>
    </w:div>
    <w:div w:id="608437730">
      <w:bodyDiv w:val="1"/>
      <w:marLeft w:val="0"/>
      <w:marRight w:val="0"/>
      <w:marTop w:val="0"/>
      <w:marBottom w:val="0"/>
      <w:divBdr>
        <w:top w:val="none" w:sz="0" w:space="0" w:color="auto"/>
        <w:left w:val="none" w:sz="0" w:space="0" w:color="auto"/>
        <w:bottom w:val="none" w:sz="0" w:space="0" w:color="auto"/>
        <w:right w:val="none" w:sz="0" w:space="0" w:color="auto"/>
      </w:divBdr>
    </w:div>
    <w:div w:id="686179599">
      <w:bodyDiv w:val="1"/>
      <w:marLeft w:val="0"/>
      <w:marRight w:val="0"/>
      <w:marTop w:val="0"/>
      <w:marBottom w:val="0"/>
      <w:divBdr>
        <w:top w:val="none" w:sz="0" w:space="0" w:color="auto"/>
        <w:left w:val="none" w:sz="0" w:space="0" w:color="auto"/>
        <w:bottom w:val="none" w:sz="0" w:space="0" w:color="auto"/>
        <w:right w:val="none" w:sz="0" w:space="0" w:color="auto"/>
      </w:divBdr>
    </w:div>
    <w:div w:id="826091579">
      <w:bodyDiv w:val="1"/>
      <w:marLeft w:val="0"/>
      <w:marRight w:val="0"/>
      <w:marTop w:val="0"/>
      <w:marBottom w:val="0"/>
      <w:divBdr>
        <w:top w:val="none" w:sz="0" w:space="0" w:color="auto"/>
        <w:left w:val="none" w:sz="0" w:space="0" w:color="auto"/>
        <w:bottom w:val="none" w:sz="0" w:space="0" w:color="auto"/>
        <w:right w:val="none" w:sz="0" w:space="0" w:color="auto"/>
      </w:divBdr>
    </w:div>
    <w:div w:id="1197699515">
      <w:bodyDiv w:val="1"/>
      <w:marLeft w:val="0"/>
      <w:marRight w:val="0"/>
      <w:marTop w:val="0"/>
      <w:marBottom w:val="0"/>
      <w:divBdr>
        <w:top w:val="none" w:sz="0" w:space="0" w:color="auto"/>
        <w:left w:val="none" w:sz="0" w:space="0" w:color="auto"/>
        <w:bottom w:val="none" w:sz="0" w:space="0" w:color="auto"/>
        <w:right w:val="none" w:sz="0" w:space="0" w:color="auto"/>
      </w:divBdr>
    </w:div>
    <w:div w:id="1659847235">
      <w:bodyDiv w:val="1"/>
      <w:marLeft w:val="0"/>
      <w:marRight w:val="0"/>
      <w:marTop w:val="0"/>
      <w:marBottom w:val="0"/>
      <w:divBdr>
        <w:top w:val="none" w:sz="0" w:space="0" w:color="auto"/>
        <w:left w:val="none" w:sz="0" w:space="0" w:color="auto"/>
        <w:bottom w:val="none" w:sz="0" w:space="0" w:color="auto"/>
        <w:right w:val="none" w:sz="0" w:space="0" w:color="auto"/>
      </w:divBdr>
    </w:div>
    <w:div w:id="1962951689">
      <w:bodyDiv w:val="1"/>
      <w:marLeft w:val="0"/>
      <w:marRight w:val="0"/>
      <w:marTop w:val="0"/>
      <w:marBottom w:val="0"/>
      <w:divBdr>
        <w:top w:val="none" w:sz="0" w:space="0" w:color="auto"/>
        <w:left w:val="none" w:sz="0" w:space="0" w:color="auto"/>
        <w:bottom w:val="none" w:sz="0" w:space="0" w:color="auto"/>
        <w:right w:val="none" w:sz="0" w:space="0" w:color="auto"/>
      </w:divBdr>
    </w:div>
    <w:div w:id="1983316137">
      <w:bodyDiv w:val="1"/>
      <w:marLeft w:val="0"/>
      <w:marRight w:val="0"/>
      <w:marTop w:val="0"/>
      <w:marBottom w:val="0"/>
      <w:divBdr>
        <w:top w:val="none" w:sz="0" w:space="0" w:color="auto"/>
        <w:left w:val="none" w:sz="0" w:space="0" w:color="auto"/>
        <w:bottom w:val="none" w:sz="0" w:space="0" w:color="auto"/>
        <w:right w:val="none" w:sz="0" w:space="0" w:color="auto"/>
      </w:divBdr>
    </w:div>
    <w:div w:id="213228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HUE</dc:creator>
  <cp:keywords/>
  <dc:description/>
  <cp:lastModifiedBy>User</cp:lastModifiedBy>
  <cp:revision>2</cp:revision>
  <cp:lastPrinted>2026-07-09T08:08:00Z</cp:lastPrinted>
  <dcterms:created xsi:type="dcterms:W3CDTF">2026-07-13T03:15:00Z</dcterms:created>
  <dcterms:modified xsi:type="dcterms:W3CDTF">2026-07-13T03:15:00Z</dcterms:modified>
</cp:coreProperties>
</file>